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HighPeak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54610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203200</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tbl>
      <w:tblPr>
        <w:tblLayout w:type="fixed"/>
        <w:tblInd w:w="1160" w:type="dxa"/>
        <w:tblCellMar>
          <w:top w:w="0" w:type="dxa"/>
          <w:left w:w="0" w:type="dxa"/>
          <w:bottom w:w="0" w:type="dxa"/>
          <w:right w:w="0" w:type="dxa"/>
        </w:tblCellMar>
      </w:tblPr>
      <w:tr>
        <w:trPr>
          <w:trHeight w:val="220"/>
        </w:trPr>
        <w:tc>
          <w:tcPr>
            <w:tcW w:w="4720" w:type="dxa"/>
            <w:vAlign w:val="bottom"/>
          </w:tcPr>
          <w:p>
            <w:pPr>
              <w:jc w:val="center"/>
              <w:ind w:right="1310"/>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center"/>
              <w:ind w:left="1330"/>
              <w:spacing w:after="0"/>
              <w:rPr>
                <w:sz w:val="20"/>
                <w:szCs w:val="20"/>
                <w:color w:val="auto"/>
              </w:rPr>
            </w:pPr>
            <w:r>
              <w:rPr>
                <w:rFonts w:ascii="Arial" w:cs="Arial" w:eastAsia="Arial" w:hAnsi="Arial"/>
                <w:sz w:val="18"/>
                <w:szCs w:val="18"/>
                <w:b w:val="1"/>
                <w:bCs w:val="1"/>
                <w:color w:val="auto"/>
                <w:w w:val="89"/>
              </w:rPr>
              <w:t>84-3533602</w:t>
            </w:r>
          </w:p>
        </w:tc>
      </w:tr>
      <w:tr>
        <w:trPr>
          <w:trHeight w:val="216"/>
        </w:trPr>
        <w:tc>
          <w:tcPr>
            <w:tcW w:w="4720" w:type="dxa"/>
            <w:vAlign w:val="bottom"/>
          </w:tcPr>
          <w:p>
            <w:pPr>
              <w:jc w:val="center"/>
              <w:ind w:right="1330"/>
              <w:spacing w:after="0"/>
              <w:rPr>
                <w:sz w:val="20"/>
                <w:szCs w:val="20"/>
                <w:color w:val="auto"/>
              </w:rPr>
            </w:pPr>
            <w:r>
              <w:rPr>
                <w:rFonts w:ascii="Arial" w:cs="Arial" w:eastAsia="Arial" w:hAnsi="Arial"/>
                <w:sz w:val="18"/>
                <w:szCs w:val="18"/>
                <w:color w:val="auto"/>
                <w:w w:val="92"/>
              </w:rPr>
              <w:t>(State or other jurisdiction of incorporation or</w:t>
            </w:r>
          </w:p>
        </w:tc>
        <w:tc>
          <w:tcPr>
            <w:tcW w:w="3680" w:type="dxa"/>
            <w:vAlign w:val="bottom"/>
          </w:tcPr>
          <w:p>
            <w:pPr>
              <w:jc w:val="center"/>
              <w:ind w:left="13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4720" w:type="dxa"/>
            <w:vAlign w:val="bottom"/>
          </w:tcPr>
          <w:p>
            <w:pPr>
              <w:jc w:val="center"/>
              <w:ind w:right="1310"/>
              <w:spacing w:after="0"/>
              <w:rPr>
                <w:sz w:val="20"/>
                <w:szCs w:val="20"/>
                <w:color w:val="auto"/>
              </w:rPr>
            </w:pPr>
            <w:r>
              <w:rPr>
                <w:rFonts w:ascii="Arial" w:cs="Arial" w:eastAsia="Arial" w:hAnsi="Arial"/>
                <w:sz w:val="18"/>
                <w:szCs w:val="18"/>
                <w:color w:val="auto"/>
                <w:w w:val="92"/>
              </w:rPr>
              <w:t>organization)</w:t>
            </w:r>
          </w:p>
        </w:tc>
        <w:tc>
          <w:tcPr>
            <w:tcW w:w="3680" w:type="dxa"/>
            <w:vAlign w:val="bottom"/>
          </w:tcPr>
          <w:p>
            <w:pPr>
              <w:jc w:val="center"/>
              <w:ind w:left="1330"/>
              <w:spacing w:after="0"/>
              <w:rPr>
                <w:sz w:val="20"/>
                <w:szCs w:val="20"/>
                <w:color w:val="auto"/>
              </w:rPr>
            </w:pPr>
            <w:r>
              <w:rPr>
                <w:rFonts w:ascii="Arial" w:cs="Arial" w:eastAsia="Arial" w:hAnsi="Arial"/>
                <w:sz w:val="18"/>
                <w:szCs w:val="18"/>
                <w:color w:val="auto"/>
                <w:w w:val="99"/>
              </w:rPr>
              <w:t>No.)</w:t>
            </w:r>
          </w:p>
        </w:tc>
      </w:tr>
    </w:tbl>
    <w:p>
      <w:pPr>
        <w:spacing w:after="0" w:line="198"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421 W. 3rd St., Suite 1000</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Fort Worth, Texas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(817) 850-9200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Title of each class</w:t>
            </w:r>
          </w:p>
        </w:tc>
        <w:tc>
          <w:tcPr>
            <w:tcW w:w="14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120" w:type="dxa"/>
            <w:vAlign w:val="bottom"/>
          </w:tcPr>
          <w:p>
            <w:pPr>
              <w:spacing w:after="0"/>
              <w:rPr>
                <w:sz w:val="20"/>
                <w:szCs w:val="20"/>
                <w:color w:val="auto"/>
              </w:rPr>
            </w:pPr>
          </w:p>
        </w:tc>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auto"/>
            </w:tcBorders>
          </w:tcPr>
          <w:p>
            <w:pPr>
              <w:spacing w:after="0"/>
              <w:rPr>
                <w:sz w:val="18"/>
                <w:szCs w:val="18"/>
                <w:color w:val="auto"/>
              </w:rPr>
            </w:pPr>
          </w:p>
        </w:tc>
        <w:tc>
          <w:tcPr>
            <w:tcW w:w="140" w:type="dxa"/>
            <w:vAlign w:val="bottom"/>
            <w:vMerge w:val="restart"/>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400" w:type="dxa"/>
            <w:vAlign w:val="bottom"/>
          </w:tcPr>
          <w:p>
            <w:pPr>
              <w:jc w:val="center"/>
              <w:ind w:left="50"/>
              <w:spacing w:after="0" w:line="195" w:lineRule="exact"/>
              <w:rPr>
                <w:sz w:val="20"/>
                <w:szCs w:val="20"/>
                <w:color w:val="auto"/>
              </w:rPr>
            </w:pPr>
            <w:r>
              <w:rPr>
                <w:rFonts w:ascii="Arial" w:cs="Arial" w:eastAsia="Arial" w:hAnsi="Arial"/>
                <w:sz w:val="18"/>
                <w:szCs w:val="18"/>
                <w:color w:val="auto"/>
                <w:w w:val="89"/>
              </w:rPr>
              <w:t>Common Stock, par value $0.0001 per share</w:t>
            </w:r>
          </w:p>
        </w:tc>
        <w:tc>
          <w:tcPr>
            <w:tcW w:w="140" w:type="dxa"/>
            <w:vAlign w:val="bottom"/>
            <w:vMerge w:val="continue"/>
          </w:tcPr>
          <w:p>
            <w:pPr>
              <w:spacing w:after="0"/>
              <w:rPr>
                <w:sz w:val="16"/>
                <w:szCs w:val="16"/>
                <w:color w:val="auto"/>
              </w:rPr>
            </w:pPr>
          </w:p>
        </w:tc>
        <w:tc>
          <w:tcPr>
            <w:tcW w:w="2160" w:type="dxa"/>
            <w:vAlign w:val="bottom"/>
          </w:tcPr>
          <w:p>
            <w:pPr>
              <w:jc w:val="center"/>
              <w:spacing w:after="0" w:line="195" w:lineRule="exact"/>
              <w:rPr>
                <w:sz w:val="20"/>
                <w:szCs w:val="20"/>
                <w:color w:val="auto"/>
              </w:rPr>
            </w:pPr>
            <w:r>
              <w:rPr>
                <w:rFonts w:ascii="Arial" w:cs="Arial" w:eastAsia="Arial" w:hAnsi="Arial"/>
                <w:sz w:val="18"/>
                <w:szCs w:val="18"/>
                <w:color w:val="auto"/>
                <w:w w:val="97"/>
              </w:rPr>
              <w:t>HPK</w:t>
            </w:r>
          </w:p>
        </w:tc>
        <w:tc>
          <w:tcPr>
            <w:tcW w:w="120" w:type="dxa"/>
            <w:vAlign w:val="bottom"/>
            <w:vMerge w:val="continue"/>
          </w:tcPr>
          <w:p>
            <w:pPr>
              <w:spacing w:after="0"/>
              <w:rPr>
                <w:sz w:val="16"/>
                <w:szCs w:val="16"/>
                <w:color w:val="auto"/>
              </w:rPr>
            </w:pPr>
          </w:p>
        </w:tc>
        <w:tc>
          <w:tcPr>
            <w:tcW w:w="4420" w:type="dxa"/>
            <w:vAlign w:val="bottom"/>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30"/>
        </w:trPr>
        <w:tc>
          <w:tcPr>
            <w:tcW w:w="4400" w:type="dxa"/>
            <w:vAlign w:val="bottom"/>
          </w:tcPr>
          <w:p>
            <w:pPr>
              <w:jc w:val="center"/>
              <w:ind w:left="50"/>
              <w:spacing w:after="0"/>
              <w:rPr>
                <w:sz w:val="20"/>
                <w:szCs w:val="20"/>
                <w:color w:val="auto"/>
              </w:rPr>
            </w:pPr>
            <w:r>
              <w:rPr>
                <w:rFonts w:ascii="Arial" w:cs="Arial" w:eastAsia="Arial" w:hAnsi="Arial"/>
                <w:sz w:val="18"/>
                <w:szCs w:val="18"/>
                <w:color w:val="auto"/>
                <w:w w:val="89"/>
              </w:rPr>
              <w:t>Warrants to purchase Common Stock</w:t>
            </w:r>
          </w:p>
        </w:tc>
        <w:tc>
          <w:tcPr>
            <w:tcW w:w="14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HPKEW</w:t>
            </w:r>
          </w:p>
        </w:tc>
        <w:tc>
          <w:tcPr>
            <w:tcW w:w="120" w:type="dxa"/>
            <w:vAlign w:val="bottom"/>
          </w:tcPr>
          <w:p>
            <w:pPr>
              <w:spacing w:after="0"/>
              <w:rPr>
                <w:sz w:val="20"/>
                <w:szCs w:val="20"/>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23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1880"/>
              <w:spacing w:after="0"/>
              <w:rPr>
                <w:sz w:val="20"/>
                <w:szCs w:val="20"/>
                <w:color w:val="auto"/>
              </w:rPr>
            </w:pPr>
            <w:r>
              <w:rPr>
                <w:rFonts w:ascii="Arial" w:cs="Arial" w:eastAsia="Arial" w:hAnsi="Arial"/>
                <w:sz w:val="18"/>
                <w:szCs w:val="18"/>
                <w:b w:val="1"/>
                <w:bCs w:val="1"/>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23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1880"/>
              <w:spacing w:after="0"/>
              <w:rPr>
                <w:sz w:val="20"/>
                <w:szCs w:val="20"/>
                <w:color w:val="auto"/>
              </w:rPr>
            </w:pPr>
            <w:r>
              <w:rPr>
                <w:rFonts w:ascii="Arial" w:cs="Arial" w:eastAsia="Arial" w:hAnsi="Arial"/>
                <w:sz w:val="18"/>
                <w:szCs w:val="18"/>
                <w:b w:val="1"/>
                <w:bCs w:val="1"/>
                <w:color w:val="auto"/>
                <w:w w:val="92"/>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60" w:type="dxa"/>
            <w:vAlign w:val="bottom"/>
          </w:tcPr>
          <w:p>
            <w:pPr>
              <w:ind w:left="1880"/>
              <w:spacing w:after="0"/>
              <w:rPr>
                <w:sz w:val="20"/>
                <w:szCs w:val="20"/>
                <w:color w:val="auto"/>
              </w:rPr>
            </w:pPr>
            <w:r>
              <w:rPr>
                <w:rFonts w:ascii="Arial" w:cs="Arial" w:eastAsia="Arial" w:hAnsi="Arial"/>
                <w:sz w:val="18"/>
                <w:szCs w:val="18"/>
                <w:b w:val="1"/>
                <w:bCs w:val="1"/>
                <w:color w:val="auto"/>
                <w:w w:val="93"/>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0"/>
          <w:szCs w:val="20"/>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2" w:lineRule="exact"/>
        <w:rPr>
          <w:sz w:val="20"/>
          <w:szCs w:val="20"/>
          <w:color w:val="auto"/>
        </w:rPr>
      </w:pPr>
    </w:p>
    <w:p>
      <w:pPr>
        <w:ind w:right="100"/>
        <w:spacing w:after="0" w:line="23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196"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Arial" w:cs="Arial" w:eastAsia="Arial" w:hAnsi="Arial"/>
          <w:sz w:val="17"/>
          <w:szCs w:val="17"/>
          <w:b w:val="1"/>
          <w:bCs w:val="1"/>
          <w:color w:val="auto"/>
        </w:rPr>
        <w:t>Yes</w:t>
      </w:r>
      <w:r>
        <w:rPr>
          <w:rFonts w:ascii="Arial" w:cs="Arial" w:eastAsia="Arial" w:hAnsi="Arial"/>
          <w:sz w:val="17"/>
          <w:szCs w:val="17"/>
          <w:color w:val="auto"/>
        </w:rPr>
        <w:t xml:space="preserve">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June 30, 2022, the aggregate market value of the common stock of the Registrant held by non-affiliates was $356,382,424, based on the closing price as reported on the Nasdaq Global Market of $25.62.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outstanding as of March 2, 2023 – 113,165,027.</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jc w:val="both"/>
        <w:ind w:left="540" w:right="40" w:hanging="357"/>
        <w:spacing w:after="0" w:line="255"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Portions of the Definitive Proxy Statement for the Company’s Annual Meeting of Stockholders to be held in June 2023, which will be filed with the U.S. Securities and Exchange Commission within 120 days of December 31, 2022, are incorporated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Page</w:t>
            </w:r>
          </w:p>
        </w:tc>
      </w:tr>
      <w:tr>
        <w:trPr>
          <w:trHeight w:val="210"/>
        </w:trPr>
        <w:tc>
          <w:tcPr>
            <w:tcW w:w="106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Definitions of Certain Terms and Conventions Used Herein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600" w:type="dxa"/>
            <w:vAlign w:val="bottom"/>
            <w:gridSpan w:val="8"/>
          </w:tcPr>
          <w:p>
            <w:pPr>
              <w:spacing w:after="0"/>
              <w:rPr>
                <w:sz w:val="20"/>
                <w:szCs w:val="20"/>
                <w:color w:val="auto"/>
              </w:rPr>
            </w:pPr>
            <w:r>
              <w:rPr>
                <w:rFonts w:ascii="Arial" w:cs="Arial" w:eastAsia="Arial" w:hAnsi="Arial"/>
                <w:sz w:val="18"/>
                <w:szCs w:val="18"/>
                <w:color w:val="auto"/>
              </w:rPr>
              <w:t>Cautionary Statement Concerning Forward-Looking Statements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196"/>
        </w:trPr>
        <w:tc>
          <w:tcPr>
            <w:tcW w:w="940" w:type="dxa"/>
            <w:vAlign w:val="bottom"/>
            <w:shd w:val="clear" w:color="auto" w:fill="CCEEFF"/>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300" w:type="dxa"/>
            <w:vAlign w:val="bottom"/>
            <w:gridSpan w:val="5"/>
            <w:shd w:val="clear" w:color="auto" w:fill="CCEEFF"/>
          </w:tcPr>
          <w:p>
            <w:pPr>
              <w:jc w:val="center"/>
              <w:ind w:right="4640"/>
              <w:spacing w:after="0" w:line="176" w:lineRule="exact"/>
              <w:rPr>
                <w:sz w:val="20"/>
                <w:szCs w:val="20"/>
                <w:color w:val="auto"/>
              </w:rPr>
            </w:pPr>
            <w:r>
              <w:rPr>
                <w:rFonts w:ascii="Arial" w:cs="Arial" w:eastAsia="Arial" w:hAnsi="Arial"/>
                <w:sz w:val="18"/>
                <w:szCs w:val="18"/>
                <w:b w:val="1"/>
                <w:bCs w:val="1"/>
                <w:color w:val="auto"/>
                <w:w w:val="98"/>
              </w:rPr>
              <w:t>PART I</w:t>
            </w:r>
          </w:p>
        </w:tc>
        <w:tc>
          <w:tcPr>
            <w:tcW w:w="640" w:type="dxa"/>
            <w:vAlign w:val="bottom"/>
            <w:shd w:val="clear" w:color="auto" w:fill="CCEEFF"/>
          </w:tcPr>
          <w:p>
            <w:pPr>
              <w:spacing w:after="0"/>
              <w:rPr>
                <w:sz w:val="17"/>
                <w:szCs w:val="17"/>
                <w:color w:val="auto"/>
              </w:rPr>
            </w:pPr>
          </w:p>
        </w:tc>
      </w:tr>
      <w:tr>
        <w:trPr>
          <w:trHeight w:val="216"/>
        </w:trPr>
        <w:tc>
          <w:tcPr>
            <w:tcW w:w="534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Items 1 and 2. Business and Properties</w:t>
            </w:r>
          </w:p>
        </w:tc>
        <w:tc>
          <w:tcPr>
            <w:tcW w:w="580" w:type="dxa"/>
            <w:vAlign w:val="bottom"/>
            <w:tcBorders>
              <w:top w:val="single" w:sz="8" w:color="auto"/>
            </w:tcBorders>
          </w:tcPr>
          <w:p>
            <w:pPr>
              <w:spacing w:after="0"/>
              <w:rPr>
                <w:sz w:val="18"/>
                <w:szCs w:val="18"/>
                <w:color w:val="auto"/>
              </w:rPr>
            </w:pPr>
          </w:p>
        </w:tc>
        <w:tc>
          <w:tcPr>
            <w:tcW w:w="4680" w:type="dxa"/>
            <w:vAlign w:val="bottom"/>
            <w:tcBorders>
              <w:top w:val="single" w:sz="8" w:color="CCEEFF"/>
            </w:tcBorders>
            <w:gridSpan w:val="3"/>
          </w:tcPr>
          <w:p>
            <w:pPr>
              <w:spacing w:after="0"/>
              <w:rPr>
                <w:sz w:val="18"/>
                <w:szCs w:val="18"/>
                <w:color w:val="auto"/>
              </w:rPr>
            </w:pPr>
          </w:p>
        </w:tc>
        <w:tc>
          <w:tcPr>
            <w:tcW w:w="64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6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Risk Factors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1B.</w:t>
            </w:r>
          </w:p>
        </w:tc>
        <w:tc>
          <w:tcPr>
            <w:tcW w:w="9660" w:type="dxa"/>
            <w:vAlign w:val="bottom"/>
            <w:gridSpan w:val="7"/>
          </w:tcPr>
          <w:p>
            <w:pPr>
              <w:ind w:left="160"/>
              <w:spacing w:after="0"/>
              <w:rPr>
                <w:sz w:val="20"/>
                <w:szCs w:val="20"/>
                <w:color w:val="auto"/>
              </w:rPr>
            </w:pPr>
            <w:r>
              <w:rPr>
                <w:rFonts w:ascii="Arial" w:cs="Arial" w:eastAsia="Arial" w:hAnsi="Arial"/>
                <w:sz w:val="18"/>
                <w:szCs w:val="18"/>
                <w:color w:val="auto"/>
              </w:rPr>
              <w:t>Unresolved Staff Comments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6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Legal Proceedings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gridSpan w:val="7"/>
          </w:tcPr>
          <w:p>
            <w:pPr>
              <w:ind w:left="160"/>
              <w:spacing w:after="0"/>
              <w:rPr>
                <w:sz w:val="20"/>
                <w:szCs w:val="20"/>
                <w:color w:val="auto"/>
              </w:rPr>
            </w:pPr>
            <w:r>
              <w:rPr>
                <w:rFonts w:ascii="Arial" w:cs="Arial" w:eastAsia="Arial" w:hAnsi="Arial"/>
                <w:sz w:val="18"/>
                <w:szCs w:val="18"/>
                <w:color w:val="auto"/>
              </w:rPr>
              <w:t>Mine Safety Disclosures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176"/>
        </w:trPr>
        <w:tc>
          <w:tcPr>
            <w:tcW w:w="940" w:type="dxa"/>
            <w:vAlign w:val="bottom"/>
            <w:shd w:val="clear" w:color="auto" w:fill="CCEEFF"/>
          </w:tcPr>
          <w:p>
            <w:pPr>
              <w:spacing w:after="0"/>
              <w:rPr>
                <w:sz w:val="15"/>
                <w:szCs w:val="15"/>
                <w:color w:val="auto"/>
              </w:rPr>
            </w:pPr>
          </w:p>
        </w:tc>
        <w:tc>
          <w:tcPr>
            <w:tcW w:w="4320" w:type="dxa"/>
            <w:vAlign w:val="bottom"/>
            <w:shd w:val="clear" w:color="auto" w:fill="CCEEFF"/>
          </w:tcPr>
          <w:p>
            <w:pPr>
              <w:spacing w:after="0"/>
              <w:rPr>
                <w:sz w:val="15"/>
                <w:szCs w:val="15"/>
                <w:color w:val="auto"/>
              </w:rPr>
            </w:pPr>
          </w:p>
        </w:tc>
        <w:tc>
          <w:tcPr>
            <w:tcW w:w="5340" w:type="dxa"/>
            <w:vAlign w:val="bottom"/>
            <w:gridSpan w:val="6"/>
            <w:shd w:val="clear" w:color="auto" w:fill="CCEEFF"/>
          </w:tcPr>
          <w:p>
            <w:pPr>
              <w:jc w:val="center"/>
              <w:ind w:right="4600"/>
              <w:spacing w:after="0" w:line="176" w:lineRule="exact"/>
              <w:rPr>
                <w:sz w:val="20"/>
                <w:szCs w:val="20"/>
                <w:color w:val="auto"/>
              </w:rPr>
            </w:pPr>
            <w:r>
              <w:rPr>
                <w:rFonts w:ascii="Arial" w:cs="Arial" w:eastAsia="Arial" w:hAnsi="Arial"/>
                <w:sz w:val="18"/>
                <w:szCs w:val="18"/>
                <w:b w:val="1"/>
                <w:bCs w:val="1"/>
                <w:color w:val="auto"/>
              </w:rPr>
              <w:t>PART II</w:t>
            </w:r>
          </w:p>
        </w:tc>
        <w:tc>
          <w:tcPr>
            <w:tcW w:w="640" w:type="dxa"/>
            <w:vAlign w:val="bottom"/>
            <w:shd w:val="clear" w:color="auto" w:fill="CCEEFF"/>
          </w:tcPr>
          <w:p>
            <w:pPr>
              <w:spacing w:after="0"/>
              <w:rPr>
                <w:sz w:val="15"/>
                <w:szCs w:val="15"/>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9660" w:type="dxa"/>
            <w:vAlign w:val="bottom"/>
            <w:gridSpan w:val="7"/>
          </w:tcPr>
          <w:p>
            <w:pPr>
              <w:ind w:left="16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6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[Reserved]</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7.</w:t>
            </w:r>
          </w:p>
        </w:tc>
        <w:tc>
          <w:tcPr>
            <w:tcW w:w="9660" w:type="dxa"/>
            <w:vAlign w:val="bottom"/>
            <w:gridSpan w:val="7"/>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7A.</w:t>
            </w:r>
          </w:p>
        </w:tc>
        <w:tc>
          <w:tcPr>
            <w:tcW w:w="96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8.</w:t>
            </w:r>
          </w:p>
        </w:tc>
        <w:tc>
          <w:tcPr>
            <w:tcW w:w="9660" w:type="dxa"/>
            <w:vAlign w:val="bottom"/>
            <w:gridSpan w:val="7"/>
          </w:tcPr>
          <w:p>
            <w:pPr>
              <w:ind w:left="160"/>
              <w:spacing w:after="0"/>
              <w:rPr>
                <w:sz w:val="20"/>
                <w:szCs w:val="20"/>
                <w:color w:val="auto"/>
              </w:rPr>
            </w:pPr>
            <w:r>
              <w:rPr>
                <w:rFonts w:ascii="Arial" w:cs="Arial" w:eastAsia="Arial" w:hAnsi="Arial"/>
                <w:sz w:val="18"/>
                <w:szCs w:val="18"/>
                <w:color w:val="auto"/>
              </w:rPr>
              <w:t>Financial Statements and Supplementary Data</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72</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96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106</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9A.</w:t>
            </w:r>
          </w:p>
        </w:tc>
        <w:tc>
          <w:tcPr>
            <w:tcW w:w="9660" w:type="dxa"/>
            <w:vAlign w:val="bottom"/>
            <w:gridSpan w:val="7"/>
          </w:tcPr>
          <w:p>
            <w:pPr>
              <w:ind w:left="160"/>
              <w:spacing w:after="0"/>
              <w:rPr>
                <w:sz w:val="20"/>
                <w:szCs w:val="20"/>
                <w:color w:val="auto"/>
              </w:rPr>
            </w:pPr>
            <w:r>
              <w:rPr>
                <w:rFonts w:ascii="Arial" w:cs="Arial" w:eastAsia="Arial" w:hAnsi="Arial"/>
                <w:sz w:val="18"/>
                <w:szCs w:val="18"/>
                <w:color w:val="auto"/>
              </w:rPr>
              <w:t>Controls and Procedures</w:t>
            </w: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106</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9B.</w:t>
            </w:r>
          </w:p>
        </w:tc>
        <w:tc>
          <w:tcPr>
            <w:tcW w:w="96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Other Information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106</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9C.</w:t>
            </w:r>
          </w:p>
        </w:tc>
        <w:tc>
          <w:tcPr>
            <w:tcW w:w="9660" w:type="dxa"/>
            <w:vAlign w:val="bottom"/>
            <w:gridSpan w:val="7"/>
          </w:tcPr>
          <w:p>
            <w:pPr>
              <w:ind w:left="16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640" w:type="dxa"/>
            <w:vAlign w:val="bottom"/>
          </w:tcPr>
          <w:p>
            <w:pPr>
              <w:spacing w:after="0"/>
              <w:rPr>
                <w:sz w:val="18"/>
                <w:szCs w:val="18"/>
                <w:color w:val="auto"/>
              </w:rPr>
            </w:pPr>
          </w:p>
        </w:tc>
      </w:tr>
      <w:tr>
        <w:trPr>
          <w:trHeight w:val="196"/>
        </w:trPr>
        <w:tc>
          <w:tcPr>
            <w:tcW w:w="940" w:type="dxa"/>
            <w:vAlign w:val="bottom"/>
            <w:shd w:val="clear" w:color="auto" w:fill="CCEEFF"/>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5340" w:type="dxa"/>
            <w:vAlign w:val="bottom"/>
            <w:gridSpan w:val="6"/>
            <w:shd w:val="clear" w:color="auto" w:fill="CCEEFF"/>
          </w:tcPr>
          <w:p>
            <w:pPr>
              <w:jc w:val="center"/>
              <w:ind w:right="4620"/>
              <w:spacing w:after="0" w:line="176" w:lineRule="exact"/>
              <w:rPr>
                <w:sz w:val="20"/>
                <w:szCs w:val="20"/>
                <w:color w:val="auto"/>
              </w:rPr>
            </w:pPr>
            <w:r>
              <w:rPr>
                <w:rFonts w:ascii="Arial" w:cs="Arial" w:eastAsia="Arial" w:hAnsi="Arial"/>
                <w:sz w:val="18"/>
                <w:szCs w:val="18"/>
                <w:b w:val="1"/>
                <w:bCs w:val="1"/>
                <w:color w:val="auto"/>
              </w:rPr>
              <w:t>PART III</w:t>
            </w:r>
          </w:p>
        </w:tc>
        <w:tc>
          <w:tcPr>
            <w:tcW w:w="640" w:type="dxa"/>
            <w:vAlign w:val="bottom"/>
            <w:shd w:val="clear" w:color="auto" w:fill="CCEEFF"/>
          </w:tcPr>
          <w:p>
            <w:pPr>
              <w:spacing w:after="0"/>
              <w:rPr>
                <w:sz w:val="17"/>
                <w:szCs w:val="17"/>
                <w:color w:val="auto"/>
              </w:rPr>
            </w:pPr>
          </w:p>
        </w:tc>
      </w:tr>
      <w:tr>
        <w:trPr>
          <w:trHeight w:val="216"/>
        </w:trPr>
        <w:tc>
          <w:tcPr>
            <w:tcW w:w="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Item 10.</w:t>
            </w:r>
          </w:p>
        </w:tc>
        <w:tc>
          <w:tcPr>
            <w:tcW w:w="432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w w:val="91"/>
              </w:rPr>
              <w:t>Directors, Executive Officers and Corporate Governance</w:t>
            </w:r>
          </w:p>
        </w:tc>
        <w:tc>
          <w:tcPr>
            <w:tcW w:w="720" w:type="dxa"/>
            <w:vAlign w:val="bottom"/>
            <w:tcBorders>
              <w:top w:val="single" w:sz="8" w:color="auto"/>
            </w:tcBorders>
            <w:gridSpan w:val="5"/>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3"/>
              </w:rPr>
              <w:t>106</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96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Executive Compensation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106</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12.</w:t>
            </w:r>
          </w:p>
        </w:tc>
        <w:tc>
          <w:tcPr>
            <w:tcW w:w="9660" w:type="dxa"/>
            <w:vAlign w:val="bottom"/>
            <w:gridSpan w:val="7"/>
          </w:tcPr>
          <w:p>
            <w:pPr>
              <w:ind w:left="1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106</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96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107</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14.</w:t>
            </w:r>
          </w:p>
        </w:tc>
        <w:tc>
          <w:tcPr>
            <w:tcW w:w="9660" w:type="dxa"/>
            <w:vAlign w:val="bottom"/>
            <w:gridSpan w:val="7"/>
          </w:tcPr>
          <w:p>
            <w:pPr>
              <w:ind w:left="160"/>
              <w:spacing w:after="0"/>
              <w:rPr>
                <w:sz w:val="20"/>
                <w:szCs w:val="20"/>
                <w:color w:val="auto"/>
              </w:rPr>
            </w:pPr>
            <w:r>
              <w:rPr>
                <w:rFonts w:ascii="Arial" w:cs="Arial" w:eastAsia="Arial" w:hAnsi="Arial"/>
                <w:sz w:val="18"/>
                <w:szCs w:val="18"/>
                <w:color w:val="auto"/>
              </w:rPr>
              <w:t>Principal Accountant Fees and Services</w:t>
            </w: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107</w:t>
            </w:r>
          </w:p>
        </w:tc>
      </w:tr>
      <w:tr>
        <w:trPr>
          <w:trHeight w:val="196"/>
        </w:trPr>
        <w:tc>
          <w:tcPr>
            <w:tcW w:w="940" w:type="dxa"/>
            <w:vAlign w:val="bottom"/>
            <w:shd w:val="clear" w:color="auto" w:fill="CCEEFF"/>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5340" w:type="dxa"/>
            <w:vAlign w:val="bottom"/>
            <w:gridSpan w:val="6"/>
            <w:shd w:val="clear" w:color="auto" w:fill="CCEEFF"/>
          </w:tcPr>
          <w:p>
            <w:pPr>
              <w:jc w:val="center"/>
              <w:ind w:right="4620"/>
              <w:spacing w:after="0" w:line="176" w:lineRule="exact"/>
              <w:rPr>
                <w:sz w:val="20"/>
                <w:szCs w:val="20"/>
                <w:color w:val="auto"/>
              </w:rPr>
            </w:pPr>
            <w:r>
              <w:rPr>
                <w:rFonts w:ascii="Arial" w:cs="Arial" w:eastAsia="Arial" w:hAnsi="Arial"/>
                <w:sz w:val="18"/>
                <w:szCs w:val="18"/>
                <w:b w:val="1"/>
                <w:bCs w:val="1"/>
                <w:color w:val="auto"/>
              </w:rPr>
              <w:t>PART IV</w:t>
            </w:r>
          </w:p>
        </w:tc>
        <w:tc>
          <w:tcPr>
            <w:tcW w:w="640" w:type="dxa"/>
            <w:vAlign w:val="bottom"/>
            <w:shd w:val="clear" w:color="auto" w:fill="CCEEFF"/>
          </w:tcPr>
          <w:p>
            <w:pPr>
              <w:spacing w:after="0"/>
              <w:rPr>
                <w:sz w:val="17"/>
                <w:szCs w:val="17"/>
                <w:color w:val="auto"/>
              </w:rPr>
            </w:pPr>
          </w:p>
        </w:tc>
      </w:tr>
      <w:tr>
        <w:trPr>
          <w:trHeight w:val="216"/>
        </w:trPr>
        <w:tc>
          <w:tcPr>
            <w:tcW w:w="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Item 15.</w:t>
            </w:r>
          </w:p>
        </w:tc>
        <w:tc>
          <w:tcPr>
            <w:tcW w:w="432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Exhibits, Financial Statement Schedules</w:t>
            </w:r>
          </w:p>
        </w:tc>
        <w:tc>
          <w:tcPr>
            <w:tcW w:w="720" w:type="dxa"/>
            <w:vAlign w:val="bottom"/>
            <w:tcBorders>
              <w:top w:val="single" w:sz="8" w:color="auto"/>
            </w:tcBorders>
            <w:gridSpan w:val="5"/>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3"/>
              </w:rPr>
              <w:t>107</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16.</w:t>
            </w:r>
          </w:p>
        </w:tc>
        <w:tc>
          <w:tcPr>
            <w:tcW w:w="96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Form 10-K Summary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Signatures</w:t>
            </w:r>
          </w:p>
        </w:tc>
        <w:tc>
          <w:tcPr>
            <w:tcW w:w="4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111</w:t>
            </w:r>
          </w:p>
        </w:tc>
      </w:tr>
      <w:tr>
        <w:trPr>
          <w:trHeight w:val="560"/>
        </w:trPr>
        <w:tc>
          <w:tcPr>
            <w:tcW w:w="9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3" w:name="page4"/>
    <w:bookmarkEnd w:id="3"/>
    <w:p>
      <w:pPr>
        <w:ind w:left="4500"/>
        <w:spacing w:after="0"/>
        <w:rPr>
          <w:sz w:val="20"/>
          <w:szCs w:val="20"/>
          <w:color w:val="auto"/>
        </w:rPr>
      </w:pPr>
      <w:r>
        <w:rPr>
          <w:rFonts w:ascii="Arial" w:cs="Arial" w:eastAsia="Arial" w:hAnsi="Arial"/>
          <w:sz w:val="18"/>
          <w:szCs w:val="18"/>
          <w:b w:val="1"/>
          <w:bCs w:val="1"/>
          <w:color w:val="auto"/>
        </w:rPr>
        <w:t>HIGHPEAK ENERGY,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Certain Terms and Conventions Used Herein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Within this Annual Report on Form 10-K (this “Annual Report”), the following terms and conventions have specific meanings:</w:t>
      </w:r>
    </w:p>
    <w:p>
      <w:pPr>
        <w:spacing w:after="0" w:line="225" w:lineRule="exact"/>
        <w:rPr>
          <w:sz w:val="20"/>
          <w:szCs w:val="20"/>
          <w:color w:val="auto"/>
        </w:rPr>
      </w:pPr>
    </w:p>
    <w:p>
      <w:pPr>
        <w:ind w:left="660" w:right="60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“10.000% Senior Notes</w:t>
      </w:r>
      <w:r>
        <w:rPr>
          <w:rFonts w:ascii="Arial" w:cs="Arial" w:eastAsia="Arial" w:hAnsi="Arial"/>
          <w:sz w:val="18"/>
          <w:szCs w:val="18"/>
          <w:color w:val="auto"/>
        </w:rPr>
        <w:t>” means the $225.0 million aggregate principal amount of our 10.000% Senior Notes due 2024, which were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an indenture in February 2022.</w:t>
      </w:r>
    </w:p>
    <w:p>
      <w:pPr>
        <w:spacing w:after="0" w:line="1" w:lineRule="exact"/>
        <w:rPr>
          <w:rFonts w:ascii="Arial" w:cs="Arial" w:eastAsia="Arial" w:hAnsi="Arial"/>
          <w:sz w:val="18"/>
          <w:szCs w:val="18"/>
          <w:color w:val="auto"/>
        </w:rPr>
      </w:pPr>
    </w:p>
    <w:p>
      <w:pPr>
        <w:ind w:left="660" w:right="20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“10.625% Senior Notes</w:t>
      </w:r>
      <w:r>
        <w:rPr>
          <w:rFonts w:ascii="Arial" w:cs="Arial" w:eastAsia="Arial" w:hAnsi="Arial"/>
          <w:sz w:val="16"/>
          <w:szCs w:val="16"/>
          <w:color w:val="auto"/>
        </w:rPr>
        <w:t>” means the $250.0 million aggregate principal amount of our 10.625% Senior Notes due 2024, $225.0 million of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were issued pursuant to an indenture in November 2022 and $25.0 million of which were issued pursuant to an indenture in December 2022.</w:t>
      </w:r>
    </w:p>
    <w:p>
      <w:pPr>
        <w:spacing w:after="0" w:line="1" w:lineRule="exact"/>
        <w:rPr>
          <w:rFonts w:ascii="Arial" w:cs="Arial" w:eastAsia="Arial" w:hAnsi="Arial"/>
          <w:sz w:val="16"/>
          <w:szCs w:val="16"/>
          <w:color w:val="auto"/>
        </w:rPr>
      </w:pPr>
    </w:p>
    <w:p>
      <w:pPr>
        <w:ind w:left="660" w:right="8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“3-D seismic</w:t>
      </w:r>
      <w:r>
        <w:rPr>
          <w:rFonts w:ascii="Arial" w:cs="Arial" w:eastAsia="Arial" w:hAnsi="Arial"/>
          <w:sz w:val="17"/>
          <w:szCs w:val="17"/>
          <w:color w:val="auto"/>
        </w:rPr>
        <w:t>” means three-dimensional seismic data which is geophysical data that depicts the subsurface strata in three dimensions. 3-D seismic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typically provides a more detailed and accurate interpretation of the subsurface strata than two-dimensional data.</w:t>
      </w:r>
    </w:p>
    <w:p>
      <w:pPr>
        <w:ind w:left="660" w:right="4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“Alamo Acquisitions</w:t>
      </w:r>
      <w:r>
        <w:rPr>
          <w:rFonts w:ascii="Arial" w:cs="Arial" w:eastAsia="Arial" w:hAnsi="Arial"/>
          <w:sz w:val="17"/>
          <w:szCs w:val="17"/>
          <w:color w:val="auto"/>
        </w:rPr>
        <w:t>” means the acquisitions of certain crude oil and natural gas properties in Borden County, Texas, collectively, from (i) Alamo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Borden County II, LLC (“Alamo II”), Alamo Borden County III, LLC (“Alamo III”) and Alamo Borden County IV, LLC (“Alamo IV”) pursuant to that certain Purchase and Sale Agreement dated February 15, 2022 by and among HighPeak Energy, HighPeak Energy Assets, LLC (together with HighPeak Energy, the “HighPeak Parties”), Alamo II, Alamo III, and Alamo IV and (ii) Alamo Borden County 1, LLC (“Alamo I”) pursuant to that certain Purchase and Sale Agreement dated June 3, 2022 by and among the HighPeak Parties and Alamo I.</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“ASU</w:t>
      </w:r>
      <w:r>
        <w:rPr>
          <w:rFonts w:ascii="Arial" w:cs="Arial" w:eastAsia="Arial" w:hAnsi="Arial"/>
          <w:sz w:val="18"/>
          <w:szCs w:val="18"/>
          <w:color w:val="auto"/>
        </w:rPr>
        <w:t>” means Accounting Standards Update.</w:t>
      </w:r>
    </w:p>
    <w:p>
      <w:pPr>
        <w:spacing w:after="0" w:line="9" w:lineRule="exact"/>
        <w:rPr>
          <w:rFonts w:ascii="Arial" w:cs="Arial" w:eastAsia="Arial" w:hAnsi="Arial"/>
          <w:sz w:val="18"/>
          <w:szCs w:val="18"/>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b w:val="1"/>
          <w:bCs w:val="1"/>
          <w:i w:val="1"/>
          <w:iCs w:val="1"/>
          <w:color w:val="auto"/>
        </w:rPr>
        <w:t>“ASC</w:t>
      </w:r>
      <w:r>
        <w:rPr>
          <w:rFonts w:ascii="Arial" w:cs="Arial" w:eastAsia="Arial" w:hAnsi="Arial"/>
          <w:sz w:val="18"/>
          <w:szCs w:val="18"/>
          <w:color w:val="auto"/>
        </w:rPr>
        <w:t>” means Accounting Standards Codification.</w:t>
      </w:r>
    </w:p>
    <w:p>
      <w:pPr>
        <w:spacing w:after="0" w:line="29"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“Basin</w:t>
      </w:r>
      <w:r>
        <w:rPr>
          <w:rFonts w:ascii="Arial" w:cs="Arial" w:eastAsia="Arial" w:hAnsi="Arial"/>
          <w:sz w:val="18"/>
          <w:szCs w:val="18"/>
          <w:color w:val="auto"/>
        </w:rPr>
        <w:t>” means a large natural depression on the earth’s surface in which sediments generally brought by water accumulate.</w:t>
      </w:r>
    </w:p>
    <w:p>
      <w:pPr>
        <w:spacing w:after="0" w:line="20" w:lineRule="exact"/>
        <w:rPr>
          <w:rFonts w:ascii="Arial" w:cs="Arial" w:eastAsia="Arial" w:hAnsi="Arial"/>
          <w:sz w:val="18"/>
          <w:szCs w:val="18"/>
          <w:color w:val="auto"/>
        </w:rPr>
      </w:pPr>
    </w:p>
    <w:p>
      <w:pPr>
        <w:ind w:left="660" w:right="5760" w:hanging="328"/>
        <w:spacing w:after="0" w:line="28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“Bbl</w:t>
      </w:r>
      <w:r>
        <w:rPr>
          <w:rFonts w:ascii="Arial" w:cs="Arial" w:eastAsia="Arial" w:hAnsi="Arial"/>
          <w:sz w:val="18"/>
          <w:szCs w:val="18"/>
          <w:color w:val="auto"/>
        </w:rPr>
        <w:t>” means a standard barrel containing 42 United States gallons.</w:t>
      </w:r>
      <w:r>
        <w:rPr>
          <w:rFonts w:ascii="Arial" w:cs="Arial" w:eastAsia="Arial" w:hAnsi="Arial"/>
          <w:sz w:val="18"/>
          <w:szCs w:val="18"/>
          <w:b w:val="1"/>
          <w:bCs w:val="1"/>
          <w:i w:val="1"/>
          <w:iCs w:val="1"/>
          <w:color w:val="auto"/>
        </w:rPr>
        <w:t xml:space="preserve"> “Bcf</w:t>
      </w:r>
      <w:r>
        <w:rPr>
          <w:rFonts w:ascii="Arial" w:cs="Arial" w:eastAsia="Arial" w:hAnsi="Arial"/>
          <w:sz w:val="18"/>
          <w:szCs w:val="18"/>
          <w:color w:val="auto"/>
        </w:rPr>
        <w:t>” means one billion cubic feet.</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“Boe</w:t>
      </w:r>
      <w:r>
        <w:rPr>
          <w:rFonts w:ascii="Arial" w:cs="Arial" w:eastAsia="Arial" w:hAnsi="Arial"/>
          <w:sz w:val="18"/>
          <w:szCs w:val="18"/>
          <w:color w:val="auto"/>
        </w:rPr>
        <w:t>” means a barrel of crude oil equivalent and is a standard convention used to express crude oil and natural gas volumes on a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crude oil equivalent basis. Natural gas equivalents are determined under the relative energy content method by using the ratio of six thousand cubic feet of natural gas to one Bbl of crude oil or NGL.</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“Boepd</w:t>
      </w:r>
      <w:r>
        <w:rPr>
          <w:rFonts w:ascii="Arial" w:cs="Arial" w:eastAsia="Arial" w:hAnsi="Arial"/>
          <w:sz w:val="18"/>
          <w:szCs w:val="18"/>
          <w:color w:val="auto"/>
        </w:rPr>
        <w:t>” means Boe per day.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“Bopd</w:t>
      </w:r>
      <w:r>
        <w:rPr>
          <w:rFonts w:ascii="Arial" w:cs="Arial" w:eastAsia="Arial" w:hAnsi="Arial"/>
          <w:sz w:val="18"/>
          <w:szCs w:val="18"/>
          <w:color w:val="auto"/>
        </w:rPr>
        <w:t>” means one barrel of crude oil per day.</w:t>
      </w:r>
    </w:p>
    <w:p>
      <w:pPr>
        <w:spacing w:after="0" w:line="36" w:lineRule="exact"/>
        <w:rPr>
          <w:rFonts w:ascii="Arial" w:cs="Arial" w:eastAsia="Arial" w:hAnsi="Arial"/>
          <w:sz w:val="18"/>
          <w:szCs w:val="18"/>
          <w:color w:val="auto"/>
        </w:rPr>
      </w:pPr>
    </w:p>
    <w:p>
      <w:pPr>
        <w:ind w:left="660" w:right="6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“Btu</w:t>
      </w:r>
      <w:r>
        <w:rPr>
          <w:rFonts w:ascii="Arial" w:cs="Arial" w:eastAsia="Arial" w:hAnsi="Arial"/>
          <w:sz w:val="18"/>
          <w:szCs w:val="18"/>
          <w:color w:val="auto"/>
        </w:rPr>
        <w:t>” means British thermal unit, which is a measure of the amount of energy required to raise the temperature of one pound of water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degree Fahrenheit.</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“Business Combination Agreement</w:t>
      </w:r>
      <w:r>
        <w:rPr>
          <w:rFonts w:ascii="Arial" w:cs="Arial" w:eastAsia="Arial" w:hAnsi="Arial"/>
          <w:sz w:val="16"/>
          <w:szCs w:val="16"/>
          <w:color w:val="auto"/>
        </w:rPr>
        <w:t>” are to the Business Combination Agreement, dated May 4, 2020, as amended, by and among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Pure, MergerSub, HighPeak I, HighPeak II, HPK GP, and solely for the limited purposes specified therein, HPK Energy Management, LLC, pursuant to which, among other things and subject to the terms and conditions contained therein, (i) MergerSub merged with and into Pure, with Pure surviving as a wholly owned subsidiary of HighPeak Energy, (ii) each outstanding share of Pure’s Class A common stock, par value $0.0001 per share, and Pure’s Class B common stock, par value $0.0001 per share (other than certain shares of Pure’s Class B common stock that were surrendered for cancellation by HighPeak Pure Acquisition, LLC (“Pure’s Sponsor”)) were converted into the right to receive (A) one share of HighPeak Energy’s common stock (and cash in lieu of fractional shares, if any), and (B) solely with respect to each outstanding share of Pure’s Class A common stock, (I) a cash amount, without interest, equal to $0.62, which represented the amount by which the per-share redemption value of Pure’s Class A common stock at the closing exceeded $10.00 per share, without interest, in each case, totaling approximately $767,902, (II) one</w:t>
      </w:r>
    </w:p>
    <w:p>
      <w:pPr>
        <w:spacing w:after="0" w:line="5" w:lineRule="exact"/>
        <w:rPr>
          <w:rFonts w:ascii="Arial" w:cs="Arial" w:eastAsia="Arial" w:hAnsi="Arial"/>
          <w:sz w:val="16"/>
          <w:szCs w:val="16"/>
          <w:color w:val="auto"/>
        </w:rPr>
      </w:pPr>
    </w:p>
    <w:p>
      <w:pPr>
        <w:ind w:left="660" w:right="20"/>
        <w:spacing w:after="0" w:line="285" w:lineRule="auto"/>
        <w:rPr>
          <w:rFonts w:ascii="Arial" w:cs="Arial" w:eastAsia="Arial" w:hAnsi="Arial"/>
          <w:sz w:val="16"/>
          <w:szCs w:val="16"/>
          <w:color w:val="auto"/>
        </w:rPr>
      </w:pPr>
      <w:r>
        <w:rPr>
          <w:rFonts w:ascii="Arial" w:cs="Arial" w:eastAsia="Arial" w:hAnsi="Arial"/>
          <w:sz w:val="16"/>
          <w:szCs w:val="16"/>
          <w:color w:val="auto"/>
        </w:rPr>
        <w:t>(1) Contingent Value Right, for each one whole share of HighPeak Energy’s common stock (excluding fractional shares) issued to holders of Pure’s Class A common stock pursuant to clause (A), representing the right to receive additional shares of HighPeak Energy’s common stock (or such other specified consideration as is specified with respect to certain events) under certain circumstances if necessary to satisfy a 10% preferred simple annual return, subject to a floor downside per-share price of $4.00, as measured at the applicable maturity, which occurred on August 21, 2022 and (III) one warrant to purchase one share of HighPeak Energy’s common stock for each one whole share of HighPeak Energy’s common stock (excluding fractional shares) issued to holders of Pure’s Class A common stock pursuant to clause (A), (iii) the HPK Contributors contributed their limited partner interests in HPK LP to HighPeak Energy in exchange for HighPeak Energy common stock and the general partner interests in HPK LP to a wholly owned subsidiary of HighPeak Energy in exchange for no consideration, and contributed the outstanding Sponsor Loans (as defined in the Business Combination Agreement) in exchange for HighPeak Energy common stock and such Sponsor Loans (as defined in the Business Combination Agreement) were cancelled in connection with the closing, and (iv) following the consummation of the foregoing transactions, HighPeak Energy caused HPK LP to merge with and into the HighPeak Energy Acquisition (as successor to Pure) and all interests in HPK LP were cancelled in exchange for no consideration.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 w:name="page5"/>
    <w:bookmarkEnd w:id="4"/>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or “</w:t>
      </w:r>
      <w:r>
        <w:rPr>
          <w:rFonts w:ascii="Arial" w:cs="Arial" w:eastAsia="Arial" w:hAnsi="Arial"/>
          <w:sz w:val="18"/>
          <w:szCs w:val="18"/>
          <w:b w:val="1"/>
          <w:bCs w:val="1"/>
          <w:i w:val="1"/>
          <w:iCs w:val="1"/>
          <w:color w:val="auto"/>
        </w:rPr>
        <w:t>HighPeak Energy common stock</w:t>
      </w:r>
      <w:r>
        <w:rPr>
          <w:rFonts w:ascii="Arial" w:cs="Arial" w:eastAsia="Arial" w:hAnsi="Arial"/>
          <w:sz w:val="18"/>
          <w:szCs w:val="18"/>
          <w:color w:val="auto"/>
        </w:rPr>
        <w:t>” means the Company’s common stock, par value $0.0001 per share.</w:t>
      </w:r>
    </w:p>
    <w:p>
      <w:pPr>
        <w:spacing w:after="0" w:line="23" w:lineRule="exact"/>
        <w:rPr>
          <w:rFonts w:ascii="Arial" w:cs="Arial" w:eastAsia="Arial" w:hAnsi="Arial"/>
          <w:sz w:val="18"/>
          <w:szCs w:val="18"/>
          <w:color w:val="auto"/>
        </w:rPr>
      </w:pPr>
    </w:p>
    <w:p>
      <w:pPr>
        <w:ind w:left="328" w:right="52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“Completion</w:t>
      </w:r>
      <w:r>
        <w:rPr>
          <w:rFonts w:ascii="Arial" w:cs="Arial" w:eastAsia="Arial" w:hAnsi="Arial"/>
          <w:sz w:val="18"/>
          <w:szCs w:val="18"/>
          <w:color w:val="auto"/>
        </w:rPr>
        <w:t>” The process of treating a drilled well followed by the installation of permanent equipment for the production of crude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or in the case of a dry hole, the reporting of abandonment to the appropriate agency.</w:t>
      </w:r>
    </w:p>
    <w:p>
      <w:pPr>
        <w:ind w:left="328" w:right="220" w:hanging="328"/>
        <w:spacing w:after="0" w:line="265"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means the Company’s Credit Agreement, dated as of December 17, 2020, as amended from time to time, among HighPeak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Energy, Inc., as Borrower, Wells Fargo Bank, National Association, as administrative agent, and the Lenders party thereto.</w:t>
      </w: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“DD&amp;A</w:t>
      </w:r>
      <w:r>
        <w:rPr>
          <w:rFonts w:ascii="Arial" w:cs="Arial" w:eastAsia="Arial" w:hAnsi="Arial"/>
          <w:sz w:val="18"/>
          <w:szCs w:val="18"/>
          <w:color w:val="auto"/>
        </w:rPr>
        <w:t>” means depletion, depreciation and amortization.</w:t>
      </w:r>
    </w:p>
    <w:p>
      <w:pPr>
        <w:spacing w:after="0" w:line="9" w:lineRule="exact"/>
        <w:rPr>
          <w:rFonts w:ascii="Arial" w:cs="Arial" w:eastAsia="Arial" w:hAnsi="Arial"/>
          <w:sz w:val="18"/>
          <w:szCs w:val="18"/>
          <w:color w:val="auto"/>
        </w:rPr>
      </w:pPr>
    </w:p>
    <w:p>
      <w:pPr>
        <w:ind w:left="328" w:right="120" w:hanging="328"/>
        <w:spacing w:after="0" w:line="265"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“Development costs</w:t>
      </w:r>
      <w:r>
        <w:rPr>
          <w:rFonts w:ascii="Arial" w:cs="Arial" w:eastAsia="Arial" w:hAnsi="Arial"/>
          <w:sz w:val="17"/>
          <w:szCs w:val="17"/>
          <w:color w:val="auto"/>
        </w:rPr>
        <w:t>” Costs incurred to obtain access to proved reserves and to provide facilities for extracting, treating, gathering and storing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crude oil and natural gas. For a complete definition of development costs, refer to the SEC’s Regulation S-X, Rule 4-10(a)(7).</w:t>
      </w:r>
    </w:p>
    <w:p>
      <w:pPr>
        <w:jc w:val="both"/>
        <w:ind w:left="328" w:right="220" w:hanging="328"/>
        <w:spacing w:after="0" w:line="265"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“Development project</w:t>
      </w:r>
      <w:r>
        <w:rPr>
          <w:rFonts w:ascii="Arial" w:cs="Arial" w:eastAsia="Arial" w:hAnsi="Arial"/>
          <w:sz w:val="17"/>
          <w:szCs w:val="17"/>
          <w:color w:val="auto"/>
        </w:rPr>
        <w:t>” A development project is the means by which petroleum resources are brought to the status of economically producible.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examples, the development of a single reservoir or field, an incremental development in a producing field or the integrated development of a group of several fields and associated facilities with a common ownership may constitute a development project.</w:t>
      </w:r>
    </w:p>
    <w:p>
      <w:pPr>
        <w:ind w:left="328" w:right="2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“Development well</w:t>
      </w:r>
      <w:r>
        <w:rPr>
          <w:rFonts w:ascii="Arial" w:cs="Arial" w:eastAsia="Arial" w:hAnsi="Arial"/>
          <w:sz w:val="18"/>
          <w:szCs w:val="18"/>
          <w:color w:val="auto"/>
        </w:rPr>
        <w:t>” A well drilled within the proved area of a crude oil or natural gas reservoir to the depth of a stratigraphic horizon known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productive.</w:t>
      </w:r>
    </w:p>
    <w:p>
      <w:pPr>
        <w:ind w:left="328" w:right="52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“Differential</w:t>
      </w:r>
      <w:r>
        <w:rPr>
          <w:rFonts w:ascii="Arial" w:cs="Arial" w:eastAsia="Arial" w:hAnsi="Arial"/>
          <w:sz w:val="18"/>
          <w:szCs w:val="18"/>
          <w:color w:val="auto"/>
        </w:rPr>
        <w:t>” An adjustment to the price of crude oil, NGL or natural gas from an established spot market price to reflect differences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and/or location of crude oil, NGL or natural gas.</w:t>
      </w:r>
    </w:p>
    <w:p>
      <w:pPr>
        <w:ind w:left="328" w:right="10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“Dry hole</w:t>
      </w:r>
      <w:r>
        <w:rPr>
          <w:rFonts w:ascii="Arial" w:cs="Arial" w:eastAsia="Arial" w:hAnsi="Arial"/>
          <w:sz w:val="18"/>
          <w:szCs w:val="18"/>
          <w:color w:val="auto"/>
        </w:rPr>
        <w:t>” or “</w:t>
      </w:r>
      <w:r>
        <w:rPr>
          <w:rFonts w:ascii="Arial" w:cs="Arial" w:eastAsia="Arial" w:hAnsi="Arial"/>
          <w:sz w:val="18"/>
          <w:szCs w:val="18"/>
          <w:b w:val="1"/>
          <w:bCs w:val="1"/>
          <w:i w:val="1"/>
          <w:iCs w:val="1"/>
          <w:color w:val="auto"/>
        </w:rPr>
        <w:t>dry well</w:t>
      </w:r>
      <w:r>
        <w:rPr>
          <w:rFonts w:ascii="Arial" w:cs="Arial" w:eastAsia="Arial" w:hAnsi="Arial"/>
          <w:sz w:val="18"/>
          <w:szCs w:val="18"/>
          <w:color w:val="auto"/>
        </w:rPr>
        <w:t>” A well found to be incapable of producing hydrocarbons in sufficient quantities such that proceeds from the sale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exceed production expenses and taxes.</w:t>
      </w:r>
    </w:p>
    <w:p>
      <w:pPr>
        <w:ind w:left="328" w:right="4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“Economically producible</w:t>
      </w:r>
      <w:r>
        <w:rPr>
          <w:rFonts w:ascii="Arial" w:cs="Arial" w:eastAsia="Arial" w:hAnsi="Arial"/>
          <w:sz w:val="18"/>
          <w:szCs w:val="18"/>
          <w:color w:val="auto"/>
        </w:rPr>
        <w:t>” The term economically producible, as it relates to a resource, means a resource which generates revenue that exceeds,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is reasonably expected to exceed, the costs of the operation.</w:t>
      </w:r>
    </w:p>
    <w:p>
      <w:pPr>
        <w:ind w:left="328" w:hanging="328"/>
        <w:spacing w:after="0"/>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“EUR</w:t>
      </w:r>
      <w:r>
        <w:rPr>
          <w:rFonts w:ascii="Arial" w:cs="Arial" w:eastAsia="Arial" w:hAnsi="Arial"/>
          <w:sz w:val="17"/>
          <w:szCs w:val="17"/>
          <w:color w:val="auto"/>
        </w:rPr>
        <w:t>” or “</w:t>
      </w:r>
      <w:r>
        <w:rPr>
          <w:rFonts w:ascii="Arial" w:cs="Arial" w:eastAsia="Arial" w:hAnsi="Arial"/>
          <w:sz w:val="17"/>
          <w:szCs w:val="17"/>
          <w:b w:val="1"/>
          <w:bCs w:val="1"/>
          <w:i w:val="1"/>
          <w:iCs w:val="1"/>
          <w:color w:val="auto"/>
        </w:rPr>
        <w:t>Estimated ultimate recovery</w:t>
      </w:r>
      <w:r>
        <w:rPr>
          <w:rFonts w:ascii="Arial" w:cs="Arial" w:eastAsia="Arial" w:hAnsi="Arial"/>
          <w:sz w:val="17"/>
          <w:szCs w:val="17"/>
          <w:color w:val="auto"/>
        </w:rPr>
        <w:t>” The sum of reserves remaining as of a given date and cumulative production as of that date.</w:t>
      </w:r>
    </w:p>
    <w:p>
      <w:pPr>
        <w:spacing w:after="0" w:line="20" w:lineRule="exact"/>
        <w:rPr>
          <w:rFonts w:ascii="Arial" w:cs="Arial" w:eastAsia="Arial" w:hAnsi="Arial"/>
          <w:sz w:val="17"/>
          <w:szCs w:val="17"/>
          <w:color w:val="auto"/>
        </w:rPr>
      </w:pPr>
    </w:p>
    <w:p>
      <w:pPr>
        <w:jc w:val="both"/>
        <w:ind w:left="328" w:right="10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“Exploratory well</w:t>
      </w:r>
      <w:r>
        <w:rPr>
          <w:rFonts w:ascii="Arial" w:cs="Arial" w:eastAsia="Arial" w:hAnsi="Arial"/>
          <w:sz w:val="18"/>
          <w:szCs w:val="18"/>
          <w:color w:val="auto"/>
        </w:rPr>
        <w:t>” An exploratory well is a well drilled to find a new field, to find a new reservoir in a field previously found to be productive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crude oil or natural gas in another reservoir. Generally, an exploratory well is any well that is not a development well, an extension well, a service well or a stratigraphic test well as those items are defined by the SEC.</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“Extension well</w:t>
      </w:r>
      <w:r>
        <w:rPr>
          <w:rFonts w:ascii="Arial" w:cs="Arial" w:eastAsia="Arial" w:hAnsi="Arial"/>
          <w:sz w:val="18"/>
          <w:szCs w:val="18"/>
          <w:color w:val="auto"/>
        </w:rPr>
        <w:t>” An extension well is a well drilled to extend the limits of a known reservoir.</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“FASB</w:t>
      </w:r>
      <w:r>
        <w:rPr>
          <w:rFonts w:ascii="Arial" w:cs="Arial" w:eastAsia="Arial" w:hAnsi="Arial"/>
          <w:sz w:val="18"/>
          <w:szCs w:val="18"/>
          <w:color w:val="auto"/>
        </w:rPr>
        <w:t>” Financial Accounting Standards Board.</w:t>
      </w:r>
    </w:p>
    <w:p>
      <w:pPr>
        <w:spacing w:after="0" w:line="9" w:lineRule="exact"/>
        <w:rPr>
          <w:rFonts w:ascii="Arial" w:cs="Arial" w:eastAsia="Arial" w:hAnsi="Arial"/>
          <w:sz w:val="18"/>
          <w:szCs w:val="18"/>
          <w:color w:val="auto"/>
        </w:rPr>
      </w:pPr>
    </w:p>
    <w:p>
      <w:pPr>
        <w:ind w:left="328" w:right="52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“Field</w:t>
      </w:r>
      <w:r>
        <w:rPr>
          <w:rFonts w:ascii="Arial" w:cs="Arial" w:eastAsia="Arial" w:hAnsi="Arial"/>
          <w:sz w:val="18"/>
          <w:szCs w:val="18"/>
          <w:color w:val="auto"/>
        </w:rPr>
        <w:t>” An area consisting of a single reservoir or multiple reservoirs all grouped on, or related to, the same individual geological structural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feature or stratigraphic condition. The field name refers to the surface area, although it may refer to both the surface and the underground productive formations.</w:t>
      </w:r>
    </w:p>
    <w:p>
      <w:pPr>
        <w:spacing w:after="0" w:line="1" w:lineRule="exact"/>
        <w:rPr>
          <w:rFonts w:ascii="Arial" w:cs="Arial" w:eastAsia="Arial" w:hAnsi="Arial"/>
          <w:sz w:val="18"/>
          <w:szCs w:val="18"/>
          <w:color w:val="auto"/>
        </w:rPr>
      </w:pPr>
    </w:p>
    <w:p>
      <w:pPr>
        <w:ind w:left="328" w:right="28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“Fifth Amendment</w:t>
      </w:r>
      <w:r>
        <w:rPr>
          <w:rFonts w:ascii="Arial" w:cs="Arial" w:eastAsia="Arial" w:hAnsi="Arial"/>
          <w:sz w:val="18"/>
          <w:szCs w:val="18"/>
          <w:color w:val="auto"/>
        </w:rPr>
        <w:t>” means the Fifth Amendment to Credit Agreement, dated as of October 14, 2022, by and among HighPeak Energy, Inc.,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Fifth Third Bank, National Association, as the existing administrative agent, Wells Fargo Bank, National Association, as the new administrative agent, the guarantors party thereto and the lenders party thereto.</w:t>
      </w:r>
    </w:p>
    <w:p>
      <w:pPr>
        <w:spacing w:after="0" w:line="1" w:lineRule="exact"/>
        <w:rPr>
          <w:rFonts w:ascii="Arial" w:cs="Arial" w:eastAsia="Arial" w:hAnsi="Arial"/>
          <w:sz w:val="18"/>
          <w:szCs w:val="18"/>
          <w:color w:val="auto"/>
        </w:rPr>
      </w:pPr>
    </w:p>
    <w:p>
      <w:pPr>
        <w:ind w:left="328" w:right="32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“First Amendment</w:t>
      </w:r>
      <w:r>
        <w:rPr>
          <w:rFonts w:ascii="Arial" w:cs="Arial" w:eastAsia="Arial" w:hAnsi="Arial"/>
          <w:sz w:val="18"/>
          <w:szCs w:val="18"/>
          <w:color w:val="auto"/>
        </w:rPr>
        <w:t>” means the First Amendment to Credit Agreement, dated as of June 23, 2021, among HighPeak Energy, Inc., as Borrower,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Fifth Third Bank, National Association, as administrative agent, and the Guarantors and Lenders party thereto.</w:t>
      </w: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“Formation</w:t>
      </w:r>
      <w:r>
        <w:rPr>
          <w:rFonts w:ascii="Arial" w:cs="Arial" w:eastAsia="Arial" w:hAnsi="Arial"/>
          <w:sz w:val="18"/>
          <w:szCs w:val="18"/>
          <w:color w:val="auto"/>
        </w:rPr>
        <w:t>” A layer of rock which has distinct characteristics that differs from nearby rocks.</w:t>
      </w:r>
    </w:p>
    <w:p>
      <w:pPr>
        <w:spacing w:after="0" w:line="9" w:lineRule="exact"/>
        <w:rPr>
          <w:rFonts w:ascii="Arial" w:cs="Arial" w:eastAsia="Arial" w:hAnsi="Arial"/>
          <w:sz w:val="18"/>
          <w:szCs w:val="18"/>
          <w:color w:val="auto"/>
        </w:rPr>
      </w:pPr>
    </w:p>
    <w:p>
      <w:pPr>
        <w:ind w:left="328"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“Fourth Amendment</w:t>
      </w:r>
      <w:r>
        <w:rPr>
          <w:rFonts w:ascii="Arial" w:cs="Arial" w:eastAsia="Arial" w:hAnsi="Arial"/>
          <w:sz w:val="18"/>
          <w:szCs w:val="18"/>
          <w:color w:val="auto"/>
        </w:rPr>
        <w:t>” means the Fourth Amendment to Credit Agreement, dated as of June 27, 2022, among HighPeak Energy, Inc., as Borrower,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Fifth Third Bank, National Association, as administrative agent, and the Guarantors and Lenders party thereto.</w:t>
      </w: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accounting principles generally accepted in the United States of America.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“Gross wells</w:t>
      </w:r>
      <w:r>
        <w:rPr>
          <w:rFonts w:ascii="Arial" w:cs="Arial" w:eastAsia="Arial" w:hAnsi="Arial"/>
          <w:sz w:val="18"/>
          <w:szCs w:val="18"/>
          <w:color w:val="auto"/>
        </w:rPr>
        <w:t>” means the total wells in which a working interest is owned.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“HH</w:t>
      </w:r>
      <w:r>
        <w:rPr>
          <w:rFonts w:ascii="Arial" w:cs="Arial" w:eastAsia="Arial" w:hAnsi="Arial"/>
          <w:sz w:val="17"/>
          <w:szCs w:val="17"/>
          <w:color w:val="auto"/>
        </w:rPr>
        <w:t>” means Henry Hub, a distribution hub in Louisiana that serves as the delivery location for natural gas futures contracts on the NYMEX.</w:t>
      </w:r>
    </w:p>
    <w:p>
      <w:pPr>
        <w:spacing w:after="0" w:line="20" w:lineRule="exact"/>
        <w:rPr>
          <w:rFonts w:ascii="Arial" w:cs="Arial" w:eastAsia="Arial" w:hAnsi="Arial"/>
          <w:sz w:val="17"/>
          <w:szCs w:val="17"/>
          <w:color w:val="auto"/>
        </w:rPr>
      </w:pPr>
    </w:p>
    <w:p>
      <w:pPr>
        <w:ind w:left="328" w:right="12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“Hannathon Acquisition</w:t>
      </w:r>
      <w:r>
        <w:rPr>
          <w:rFonts w:ascii="Arial" w:cs="Arial" w:eastAsia="Arial" w:hAnsi="Arial"/>
          <w:sz w:val="18"/>
          <w:szCs w:val="18"/>
          <w:color w:val="auto"/>
        </w:rPr>
        <w:t>” means the acquisition of various crude oil and natural gas properties largely contiguous to the Company’s Signal Peak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area in Howard County, Texas pursuant to that certain Purchase and Sale Agreement dated as of April 26, 2022, with Hannathon Petroleum, LLC and certain other third-party private sellers set forth therein.</w:t>
      </w:r>
    </w:p>
    <w:p>
      <w:pPr>
        <w:spacing w:after="0" w:line="1" w:lineRule="exact"/>
        <w:rPr>
          <w:rFonts w:ascii="Arial" w:cs="Arial" w:eastAsia="Arial" w:hAnsi="Arial"/>
          <w:sz w:val="18"/>
          <w:szCs w:val="18"/>
          <w:color w:val="auto"/>
        </w:rPr>
      </w:pPr>
    </w:p>
    <w:p>
      <w:pPr>
        <w:ind w:left="328" w:right="660" w:hanging="328"/>
        <w:spacing w:after="0" w:line="250"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“Held by production</w:t>
      </w:r>
      <w:r>
        <w:rPr>
          <w:rFonts w:ascii="Arial" w:cs="Arial" w:eastAsia="Arial" w:hAnsi="Arial"/>
          <w:sz w:val="18"/>
          <w:szCs w:val="18"/>
          <w:color w:val="auto"/>
        </w:rPr>
        <w:t>” Acreage covered by a mineral lease that perpetuates a company’s right to operate a property as long as the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produces a minimum paying quantity of crude oil or natural gas.</w:t>
      </w:r>
    </w:p>
    <w:p>
      <w:pPr>
        <w:ind w:left="328" w:hanging="328"/>
        <w:spacing w:after="0"/>
        <w:tabs>
          <w:tab w:leader="none" w:pos="328"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“HighPeak business combination</w:t>
      </w:r>
      <w:r>
        <w:rPr>
          <w:rFonts w:ascii="Arial" w:cs="Arial" w:eastAsia="Arial" w:hAnsi="Arial"/>
          <w:sz w:val="16"/>
          <w:szCs w:val="16"/>
          <w:color w:val="auto"/>
        </w:rPr>
        <w:t>” means the transactions detailed in the Business Combination Agreement, which closed on August 21, 2020.</w:t>
      </w: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4" w:right="339" w:bottom="1440" w:gutter="0" w:footer="0" w:header="0"/>
        </w:sectPr>
      </w:pPr>
    </w:p>
    <w:bookmarkStart w:id="5" w:name="page6"/>
    <w:bookmarkEnd w:id="5"/>
    <w:p>
      <w:pPr>
        <w:ind w:left="328" w:right="620" w:hanging="328"/>
        <w:spacing w:after="0" w:line="258"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“HighPeak Energy</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at the time of and after the HighPeak business combination, HighPeak Energy, Inc.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(the “Successor”) and, prior to the HighPeak business combination, the Predecessor.</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“HighPeak Energy Acquisition</w:t>
      </w:r>
      <w:r>
        <w:rPr>
          <w:rFonts w:ascii="Arial" w:cs="Arial" w:eastAsia="Arial" w:hAnsi="Arial"/>
          <w:sz w:val="18"/>
          <w:szCs w:val="18"/>
          <w:color w:val="auto"/>
        </w:rPr>
        <w:t>” means HighPeak Energy Acquisition Corp., a Delaware corporation.</w:t>
      </w:r>
    </w:p>
    <w:p>
      <w:pPr>
        <w:spacing w:after="0" w:line="21" w:lineRule="exact"/>
        <w:rPr>
          <w:rFonts w:ascii="Arial" w:cs="Arial" w:eastAsia="Arial" w:hAnsi="Arial"/>
          <w:sz w:val="18"/>
          <w:szCs w:val="18"/>
          <w:color w:val="auto"/>
        </w:rPr>
      </w:pPr>
    </w:p>
    <w:p>
      <w:pPr>
        <w:ind w:left="328" w:right="140" w:hanging="328"/>
        <w:spacing w:after="0" w:line="274" w:lineRule="auto"/>
        <w:tabs>
          <w:tab w:leader="none" w:pos="328"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“HighPeak Group</w:t>
      </w:r>
      <w:r>
        <w:rPr>
          <w:rFonts w:ascii="Arial" w:cs="Arial" w:eastAsia="Arial" w:hAnsi="Arial"/>
          <w:sz w:val="17"/>
          <w:szCs w:val="17"/>
          <w:color w:val="auto"/>
        </w:rPr>
        <w:t>” means HighPeak Pure Acquisition, LLC, a Delaware limited liability company, and wholly owned subsidiary of HighPeak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HPK Contributors and Jack Hightower and each of their respective affiliates and certain permitted transferees, collectively.</w:t>
      </w: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“HighPeak I</w:t>
      </w:r>
      <w:r>
        <w:rPr>
          <w:rFonts w:ascii="Arial" w:cs="Arial" w:eastAsia="Arial" w:hAnsi="Arial"/>
          <w:sz w:val="18"/>
          <w:szCs w:val="18"/>
          <w:color w:val="auto"/>
        </w:rPr>
        <w:t>” means HighPeak Energy, LP, a Delaware limited partnership.</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“HighPeak II</w:t>
      </w:r>
      <w:r>
        <w:rPr>
          <w:rFonts w:ascii="Arial" w:cs="Arial" w:eastAsia="Arial" w:hAnsi="Arial"/>
          <w:sz w:val="18"/>
          <w:szCs w:val="18"/>
          <w:color w:val="auto"/>
        </w:rPr>
        <w:t>” means HighPeak Energy II, LP, a Delaware limited partnership.</w:t>
      </w:r>
    </w:p>
    <w:p>
      <w:pPr>
        <w:spacing w:after="0" w:line="36" w:lineRule="exact"/>
        <w:rPr>
          <w:rFonts w:ascii="Arial" w:cs="Arial" w:eastAsia="Arial" w:hAnsi="Arial"/>
          <w:sz w:val="18"/>
          <w:szCs w:val="18"/>
          <w:color w:val="auto"/>
        </w:rPr>
      </w:pPr>
    </w:p>
    <w:p>
      <w:pPr>
        <w:ind w:left="328" w:right="100" w:hanging="328"/>
        <w:spacing w:after="0" w:line="258"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“Horizontal drilling</w:t>
      </w:r>
      <w:r>
        <w:rPr>
          <w:rFonts w:ascii="Arial" w:cs="Arial" w:eastAsia="Arial" w:hAnsi="Arial"/>
          <w:sz w:val="18"/>
          <w:szCs w:val="18"/>
          <w:color w:val="auto"/>
        </w:rPr>
        <w:t>” A drilling technique used in certain formations where a well is drilled vertically to a certain depth and then drilled at a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angle within a specified interval.</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“HPK Contributors</w:t>
      </w:r>
      <w:r>
        <w:rPr>
          <w:rFonts w:ascii="Arial" w:cs="Arial" w:eastAsia="Arial" w:hAnsi="Arial"/>
          <w:sz w:val="18"/>
          <w:szCs w:val="18"/>
          <w:color w:val="auto"/>
        </w:rPr>
        <w:t>” means HighPeak I, HighPeak II and HPK GP.</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“HPK GP</w:t>
      </w:r>
      <w:r>
        <w:rPr>
          <w:rFonts w:ascii="Arial" w:cs="Arial" w:eastAsia="Arial" w:hAnsi="Arial"/>
          <w:sz w:val="18"/>
          <w:szCs w:val="18"/>
          <w:color w:val="auto"/>
        </w:rPr>
        <w:t>” means HPK Energy, LLC, a Delaware limited liability company.</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“HPK LP</w:t>
      </w:r>
      <w:r>
        <w:rPr>
          <w:rFonts w:ascii="Arial" w:cs="Arial" w:eastAsia="Arial" w:hAnsi="Arial"/>
          <w:sz w:val="18"/>
          <w:szCs w:val="18"/>
          <w:color w:val="auto"/>
        </w:rPr>
        <w:t>” means HPK Energy, LP, a Delaware limited partnership.</w:t>
      </w:r>
    </w:p>
    <w:p>
      <w:pPr>
        <w:spacing w:after="0" w:line="36" w:lineRule="exact"/>
        <w:rPr>
          <w:rFonts w:ascii="Arial" w:cs="Arial" w:eastAsia="Arial" w:hAnsi="Arial"/>
          <w:sz w:val="18"/>
          <w:szCs w:val="18"/>
          <w:color w:val="auto"/>
        </w:rPr>
      </w:pPr>
    </w:p>
    <w:p>
      <w:pPr>
        <w:jc w:val="both"/>
        <w:ind w:left="328" w:right="320" w:hanging="328"/>
        <w:spacing w:after="0" w:line="255"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“Hydraulic fracturing</w:t>
      </w:r>
      <w:r>
        <w:rPr>
          <w:rFonts w:ascii="Arial" w:cs="Arial" w:eastAsia="Arial" w:hAnsi="Arial"/>
          <w:sz w:val="18"/>
          <w:szCs w:val="18"/>
          <w:color w:val="auto"/>
        </w:rPr>
        <w:t>” is the technique of stimulating the production of hydrocarbons from tight formations. The Company routinely utilizes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hydraulic fracturing techniques in its drilling and completion programs. The process involves the injection of water, sand, and chemicals under pressure into the formation to fracture the surrounding rock and stimulate production.</w:t>
      </w:r>
    </w:p>
    <w:p>
      <w:pPr>
        <w:spacing w:after="0" w:line="2" w:lineRule="exact"/>
        <w:rPr>
          <w:rFonts w:ascii="Arial" w:cs="Arial" w:eastAsia="Arial" w:hAnsi="Arial"/>
          <w:sz w:val="18"/>
          <w:szCs w:val="18"/>
          <w:color w:val="auto"/>
        </w:rPr>
      </w:pPr>
    </w:p>
    <w:p>
      <w:pPr>
        <w:ind w:left="328" w:right="340" w:hanging="328"/>
        <w:spacing w:after="0" w:line="250"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“Lease operating expenses</w:t>
      </w:r>
      <w:r>
        <w:rPr>
          <w:rFonts w:ascii="Arial" w:cs="Arial" w:eastAsia="Arial" w:hAnsi="Arial"/>
          <w:sz w:val="18"/>
          <w:szCs w:val="18"/>
          <w:color w:val="auto"/>
        </w:rPr>
        <w:t>” The expenses of lifting crude oil or natural gas from a producing formation to the surface, constituting part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operating expenses of a working interest including labor, superintendence, supplies, repairs, short-lived assets, maintenance, allocated overhead costs, workover, marketing and transportation costs, insurance and other expenses incidental to production, but excluding lease acquisition or drilling or completion expenses.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“MBbl</w:t>
      </w:r>
      <w:r>
        <w:rPr>
          <w:rFonts w:ascii="Arial" w:cs="Arial" w:eastAsia="Arial" w:hAnsi="Arial"/>
          <w:sz w:val="18"/>
          <w:szCs w:val="18"/>
          <w:color w:val="auto"/>
        </w:rPr>
        <w:t>” means one thousand Bbls.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“MBoe</w:t>
      </w:r>
      <w:r>
        <w:rPr>
          <w:rFonts w:ascii="Arial" w:cs="Arial" w:eastAsia="Arial" w:hAnsi="Arial"/>
          <w:sz w:val="18"/>
          <w:szCs w:val="18"/>
          <w:color w:val="auto"/>
        </w:rPr>
        <w:t>” means one thousand Boes.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“Mcf</w:t>
      </w:r>
      <w:r>
        <w:rPr>
          <w:rFonts w:ascii="Arial" w:cs="Arial" w:eastAsia="Arial" w:hAnsi="Arial"/>
          <w:sz w:val="18"/>
          <w:szCs w:val="18"/>
          <w:color w:val="auto"/>
        </w:rPr>
        <w:t>” means one thousand cubic feet and is a measure of natural gas volume.</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“MergerSub</w:t>
      </w:r>
      <w:r>
        <w:rPr>
          <w:rFonts w:ascii="Arial" w:cs="Arial" w:eastAsia="Arial" w:hAnsi="Arial"/>
          <w:sz w:val="18"/>
          <w:szCs w:val="18"/>
          <w:color w:val="auto"/>
        </w:rPr>
        <w:t>” means Pure Acquisition Merger Sub, Inc., a Delaware corporation.</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“MMBbl</w:t>
      </w:r>
      <w:r>
        <w:rPr>
          <w:rFonts w:ascii="Arial" w:cs="Arial" w:eastAsia="Arial" w:hAnsi="Arial"/>
          <w:sz w:val="18"/>
          <w:szCs w:val="18"/>
          <w:color w:val="auto"/>
        </w:rPr>
        <w:t>” means one million Bbls.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“MMBtu</w:t>
      </w:r>
      <w:r>
        <w:rPr>
          <w:rFonts w:ascii="Arial" w:cs="Arial" w:eastAsia="Arial" w:hAnsi="Arial"/>
          <w:sz w:val="18"/>
          <w:szCs w:val="18"/>
          <w:color w:val="auto"/>
        </w:rPr>
        <w:t>” means one million Btus.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“MMcf</w:t>
      </w:r>
      <w:r>
        <w:rPr>
          <w:rFonts w:ascii="Arial" w:cs="Arial" w:eastAsia="Arial" w:hAnsi="Arial"/>
          <w:sz w:val="18"/>
          <w:szCs w:val="18"/>
          <w:color w:val="auto"/>
        </w:rPr>
        <w:t>” means one million cubic feet and is a measure of natural gas volume.</w:t>
      </w:r>
    </w:p>
    <w:p>
      <w:pPr>
        <w:spacing w:after="0" w:line="36" w:lineRule="exact"/>
        <w:rPr>
          <w:rFonts w:ascii="Arial" w:cs="Arial" w:eastAsia="Arial" w:hAnsi="Arial"/>
          <w:sz w:val="18"/>
          <w:szCs w:val="18"/>
          <w:color w:val="auto"/>
        </w:rPr>
      </w:pPr>
    </w:p>
    <w:p>
      <w:pPr>
        <w:ind w:left="328" w:hanging="328"/>
        <w:spacing w:after="0" w:line="258"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“Net acres</w:t>
      </w:r>
      <w:r>
        <w:rPr>
          <w:rFonts w:ascii="Arial" w:cs="Arial" w:eastAsia="Arial" w:hAnsi="Arial"/>
          <w:sz w:val="18"/>
          <w:szCs w:val="18"/>
          <w:color w:val="auto"/>
        </w:rPr>
        <w:t>” The percentage of total acres an owner has out of a particular number of gross acres or a specified tract. As an example. an owner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50% interest in 100 gross acres owns 50 net acres.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“Net production</w:t>
      </w:r>
      <w:r>
        <w:rPr>
          <w:rFonts w:ascii="Arial" w:cs="Arial" w:eastAsia="Arial" w:hAnsi="Arial"/>
          <w:sz w:val="18"/>
          <w:szCs w:val="18"/>
          <w:color w:val="auto"/>
        </w:rPr>
        <w:t>” Production that is owned by us, less royalties and production due others.</w:t>
      </w:r>
    </w:p>
    <w:p>
      <w:pPr>
        <w:spacing w:after="0" w:line="21" w:lineRule="exact"/>
        <w:rPr>
          <w:rFonts w:ascii="Arial" w:cs="Arial" w:eastAsia="Arial" w:hAnsi="Arial"/>
          <w:sz w:val="18"/>
          <w:szCs w:val="18"/>
          <w:color w:val="auto"/>
        </w:rPr>
      </w:pPr>
    </w:p>
    <w:p>
      <w:pPr>
        <w:ind w:left="328" w:right="200" w:hanging="328"/>
        <w:spacing w:after="0" w:line="258"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“NGL</w:t>
      </w:r>
      <w:r>
        <w:rPr>
          <w:rFonts w:ascii="Arial" w:cs="Arial" w:eastAsia="Arial" w:hAnsi="Arial"/>
          <w:sz w:val="18"/>
          <w:szCs w:val="18"/>
          <w:color w:val="auto"/>
        </w:rPr>
        <w:t>” means natural gas liquids, which are the heavier hydrocarbon liquids that are separated from the natural gas stream; such liquids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ethane, propane, isobutane, normal butane and gasoline.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“NYMEX</w:t>
      </w:r>
      <w:r>
        <w:rPr>
          <w:rFonts w:ascii="Arial" w:cs="Arial" w:eastAsia="Arial" w:hAnsi="Arial"/>
          <w:sz w:val="18"/>
          <w:szCs w:val="18"/>
          <w:color w:val="auto"/>
        </w:rPr>
        <w:t>” means the New York Mercantile Exchange.</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“OPEC</w:t>
      </w:r>
      <w:r>
        <w:rPr>
          <w:rFonts w:ascii="Arial" w:cs="Arial" w:eastAsia="Arial" w:hAnsi="Arial"/>
          <w:sz w:val="18"/>
          <w:szCs w:val="18"/>
          <w:color w:val="auto"/>
        </w:rPr>
        <w:t>” means the Organization of Petroleum Exporting Countries.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“Operator</w:t>
      </w:r>
      <w:r>
        <w:rPr>
          <w:rFonts w:ascii="Arial" w:cs="Arial" w:eastAsia="Arial" w:hAnsi="Arial"/>
          <w:sz w:val="18"/>
          <w:szCs w:val="18"/>
          <w:color w:val="auto"/>
        </w:rPr>
        <w:t>” The individual or company responsible for the exploration and/or production of a crude oil or natural gas well or lease.</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“Plugging</w:t>
      </w:r>
      <w:r>
        <w:rPr>
          <w:rFonts w:ascii="Arial" w:cs="Arial" w:eastAsia="Arial" w:hAnsi="Arial"/>
          <w:sz w:val="18"/>
          <w:szCs w:val="18"/>
          <w:color w:val="auto"/>
        </w:rPr>
        <w:t>” A downhole tool that is set inside the casing to isolate the lower part of the wellbore.</w:t>
      </w:r>
    </w:p>
    <w:p>
      <w:pPr>
        <w:spacing w:after="0" w:line="36" w:lineRule="exact"/>
        <w:rPr>
          <w:rFonts w:ascii="Arial" w:cs="Arial" w:eastAsia="Arial" w:hAnsi="Arial"/>
          <w:sz w:val="18"/>
          <w:szCs w:val="18"/>
          <w:color w:val="auto"/>
        </w:rPr>
      </w:pPr>
    </w:p>
    <w:p>
      <w:pPr>
        <w:ind w:left="328" w:right="340" w:hanging="328"/>
        <w:spacing w:after="0" w:line="258"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“Pooling</w:t>
      </w:r>
      <w:r>
        <w:rPr>
          <w:rFonts w:ascii="Arial" w:cs="Arial" w:eastAsia="Arial" w:hAnsi="Arial"/>
          <w:sz w:val="18"/>
          <w:szCs w:val="18"/>
          <w:color w:val="auto"/>
        </w:rPr>
        <w:t>” The bringing together of small tracts or fractional mineral interests in one or more tracts to form a drilling and production unit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under applicable spacing rules.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“Predecessor</w:t>
      </w:r>
      <w:r>
        <w:rPr>
          <w:rFonts w:ascii="Arial" w:cs="Arial" w:eastAsia="Arial" w:hAnsi="Arial"/>
          <w:sz w:val="18"/>
          <w:szCs w:val="18"/>
          <w:color w:val="auto"/>
        </w:rPr>
        <w:t>” refers to HPK LP for the period from January 1, 2020 to August 21, 2020.</w:t>
      </w:r>
    </w:p>
    <w:p>
      <w:pPr>
        <w:spacing w:after="0" w:line="21" w:lineRule="exact"/>
        <w:rPr>
          <w:rFonts w:ascii="Arial" w:cs="Arial" w:eastAsia="Arial" w:hAnsi="Arial"/>
          <w:sz w:val="18"/>
          <w:szCs w:val="18"/>
          <w:color w:val="auto"/>
        </w:rPr>
      </w:pPr>
    </w:p>
    <w:p>
      <w:pPr>
        <w:ind w:left="328" w:right="180" w:hanging="328"/>
        <w:spacing w:after="0" w:line="255"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“Production costs</w:t>
      </w:r>
      <w:r>
        <w:rPr>
          <w:rFonts w:ascii="Arial" w:cs="Arial" w:eastAsia="Arial" w:hAnsi="Arial"/>
          <w:sz w:val="18"/>
          <w:szCs w:val="18"/>
          <w:color w:val="auto"/>
        </w:rPr>
        <w:t>” Costs incurred to operate and maintain wells and related equipment and facilities, including depreciation and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costs of support equipment and facilities and other costs of operating and maintaining those wells and related equipment and facilities. For a complete definition of production costs, refer to the SEC’s Regulation S-X, Rule 4-10(a)(20).</w:t>
      </w:r>
    </w:p>
    <w:p>
      <w:pPr>
        <w:spacing w:after="0" w:line="2" w:lineRule="exact"/>
        <w:rPr>
          <w:rFonts w:ascii="Arial" w:cs="Arial" w:eastAsia="Arial" w:hAnsi="Arial"/>
          <w:sz w:val="18"/>
          <w:szCs w:val="18"/>
          <w:color w:val="auto"/>
        </w:rPr>
      </w:pPr>
    </w:p>
    <w:p>
      <w:pPr>
        <w:ind w:left="328" w:right="340" w:hanging="328"/>
        <w:spacing w:after="0" w:line="250"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“Productive well</w:t>
      </w:r>
      <w:r>
        <w:rPr>
          <w:rFonts w:ascii="Arial" w:cs="Arial" w:eastAsia="Arial" w:hAnsi="Arial"/>
          <w:sz w:val="18"/>
          <w:szCs w:val="18"/>
          <w:color w:val="auto"/>
        </w:rPr>
        <w:t>” A well that is found to be capable of producing hydrocarbons in sufficient quantities such that proceeds from the sale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exceed production expenses and taxes.</w:t>
      </w:r>
    </w:p>
    <w:p>
      <w:pPr>
        <w:ind w:left="328" w:right="480" w:hanging="328"/>
        <w:spacing w:after="0" w:line="250"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“Proration unit</w:t>
      </w:r>
      <w:r>
        <w:rPr>
          <w:rFonts w:ascii="Arial" w:cs="Arial" w:eastAsia="Arial" w:hAnsi="Arial"/>
          <w:sz w:val="18"/>
          <w:szCs w:val="18"/>
          <w:color w:val="auto"/>
        </w:rPr>
        <w:t>” A unit that can be effectively and efficiently drained by one well, as allocated by a governmental agency having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w:t>
      </w:r>
    </w:p>
    <w:p>
      <w:pPr>
        <w:ind w:left="328" w:right="200" w:hanging="328"/>
        <w:spacing w:after="0" w:line="265" w:lineRule="auto"/>
        <w:tabs>
          <w:tab w:leader="none" w:pos="328"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“Prospect</w:t>
      </w:r>
      <w:r>
        <w:rPr>
          <w:rFonts w:ascii="Arial" w:cs="Arial" w:eastAsia="Arial" w:hAnsi="Arial"/>
          <w:sz w:val="17"/>
          <w:szCs w:val="17"/>
          <w:color w:val="auto"/>
        </w:rPr>
        <w:t>” A specific geographic area which, based on supporting geological, geophysical or other data and also preliminary economic analysis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using reasonably anticipated prices and costs, is deemed to have potential for the discovery of commercial hydrocarbons.</w:t>
      </w: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nonproducing reserves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PDNP</w:t>
      </w:r>
      <w:r>
        <w:rPr>
          <w:rFonts w:ascii="Arial" w:cs="Arial" w:eastAsia="Arial" w:hAnsi="Arial"/>
          <w:sz w:val="18"/>
          <w:szCs w:val="18"/>
          <w:color w:val="auto"/>
        </w:rPr>
        <w:t>” means proved reserves that are developed nonproducing reserves.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producing reserves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PDP</w:t>
      </w:r>
      <w:r>
        <w:rPr>
          <w:rFonts w:ascii="Arial" w:cs="Arial" w:eastAsia="Arial" w:hAnsi="Arial"/>
          <w:sz w:val="18"/>
          <w:szCs w:val="18"/>
          <w:color w:val="auto"/>
        </w:rPr>
        <w:t>” means proved reserves that are developed producing reserves.</w:t>
      </w:r>
    </w:p>
    <w:p>
      <w:pPr>
        <w:spacing w:after="0" w:line="36" w:lineRule="exact"/>
        <w:rPr>
          <w:rFonts w:ascii="Arial" w:cs="Arial" w:eastAsia="Arial" w:hAnsi="Arial"/>
          <w:sz w:val="18"/>
          <w:szCs w:val="18"/>
          <w:color w:val="auto"/>
        </w:rPr>
      </w:pPr>
    </w:p>
    <w:p>
      <w:pPr>
        <w:ind w:left="328" w:right="100" w:hanging="328"/>
        <w:spacing w:after="0" w:line="263"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reserves</w:t>
      </w:r>
      <w:r>
        <w:rPr>
          <w:rFonts w:ascii="Arial" w:cs="Arial" w:eastAsia="Arial" w:hAnsi="Arial"/>
          <w:sz w:val="18"/>
          <w:szCs w:val="18"/>
          <w:color w:val="auto"/>
        </w:rPr>
        <w:t>” means proved reserves that can be expected to be recovered through existing wells with existing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methods and can be expected to be recovered through extraction technology installed and operational at the time of the reserve estimate and can be subdivided into PDP and PDNP reserves.</w:t>
      </w:r>
    </w:p>
    <w:p>
      <w:pPr>
        <w:spacing w:after="0" w:line="18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4" w:right="339" w:bottom="1440" w:gutter="0" w:footer="0" w:header="0"/>
        </w:sectPr>
      </w:pPr>
    </w:p>
    <w:bookmarkStart w:id="6" w:name="page7"/>
    <w:bookmarkEnd w:id="6"/>
    <w:p>
      <w:pPr>
        <w:ind w:left="328" w:hanging="328"/>
        <w:spacing w:after="0" w:line="253"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Proved reserves</w:t>
      </w:r>
      <w:r>
        <w:rPr>
          <w:rFonts w:ascii="Arial" w:cs="Arial" w:eastAsia="Arial" w:hAnsi="Arial"/>
          <w:sz w:val="18"/>
          <w:szCs w:val="18"/>
          <w:color w:val="auto"/>
        </w:rPr>
        <w:t>” Those quantities of crude oil and natural gas, which, by analysis of geosciences and engineering data, can be estimated 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 w:lineRule="exact"/>
        <w:rPr>
          <w:rFonts w:ascii="Arial" w:cs="Arial" w:eastAsia="Arial" w:hAnsi="Arial"/>
          <w:sz w:val="18"/>
          <w:szCs w:val="18"/>
          <w:color w:val="auto"/>
        </w:rPr>
      </w:pPr>
    </w:p>
    <w:p>
      <w:pPr>
        <w:ind w:left="328" w:right="380" w:hanging="4"/>
        <w:spacing w:after="0" w:line="250" w:lineRule="auto"/>
        <w:tabs>
          <w:tab w:leader="none" w:pos="585"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p>
      <w:pPr>
        <w:spacing w:after="0" w:line="1" w:lineRule="exact"/>
        <w:rPr>
          <w:rFonts w:ascii="Arial" w:cs="Arial" w:eastAsia="Arial" w:hAnsi="Arial"/>
          <w:sz w:val="18"/>
          <w:szCs w:val="18"/>
          <w:color w:val="auto"/>
        </w:rPr>
      </w:pPr>
    </w:p>
    <w:p>
      <w:pPr>
        <w:ind w:left="328" w:right="400" w:hanging="4"/>
        <w:spacing w:after="0" w:line="281" w:lineRule="auto"/>
        <w:tabs>
          <w:tab w:leader="none" w:pos="638" w:val="left"/>
        </w:tabs>
        <w:numPr>
          <w:ilvl w:val="1"/>
          <w:numId w:val="7"/>
        </w:numPr>
        <w:rPr>
          <w:rFonts w:ascii="Arial" w:cs="Arial" w:eastAsia="Arial" w:hAnsi="Arial"/>
          <w:sz w:val="16"/>
          <w:szCs w:val="16"/>
          <w:color w:val="auto"/>
        </w:rPr>
      </w:pPr>
      <w:r>
        <w:rPr>
          <w:rFonts w:ascii="Arial" w:cs="Arial" w:eastAsia="Arial" w:hAnsi="Arial"/>
          <w:sz w:val="16"/>
          <w:szCs w:val="16"/>
          <w:color w:val="auto"/>
        </w:rPr>
        <w:t>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p>
      <w:pPr>
        <w:spacing w:after="0" w:line="1" w:lineRule="exact"/>
        <w:rPr>
          <w:rFonts w:ascii="Arial" w:cs="Arial" w:eastAsia="Arial" w:hAnsi="Arial"/>
          <w:sz w:val="16"/>
          <w:szCs w:val="16"/>
          <w:color w:val="auto"/>
        </w:rPr>
      </w:pPr>
    </w:p>
    <w:p>
      <w:pPr>
        <w:jc w:val="both"/>
        <w:ind w:left="328" w:right="260" w:hanging="4"/>
        <w:spacing w:after="0" w:line="250" w:lineRule="auto"/>
        <w:tabs>
          <w:tab w:leader="none" w:pos="685" w:val="left"/>
        </w:tabs>
        <w:numPr>
          <w:ilvl w:val="1"/>
          <w:numId w:val="7"/>
        </w:numPr>
        <w:rPr>
          <w:rFonts w:ascii="Arial" w:cs="Arial" w:eastAsia="Arial" w:hAnsi="Arial"/>
          <w:sz w:val="18"/>
          <w:szCs w:val="18"/>
          <w:color w:val="auto"/>
        </w:rPr>
      </w:pPr>
      <w:r>
        <w:rPr>
          <w:rFonts w:ascii="Arial" w:cs="Arial" w:eastAsia="Arial" w:hAnsi="Arial"/>
          <w:sz w:val="18"/>
          <w:szCs w:val="18"/>
          <w:color w:val="auto"/>
        </w:rPr>
        <w:t>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p>
      <w:pPr>
        <w:spacing w:after="0" w:line="1" w:lineRule="exact"/>
        <w:rPr>
          <w:rFonts w:ascii="Arial" w:cs="Arial" w:eastAsia="Arial" w:hAnsi="Arial"/>
          <w:sz w:val="18"/>
          <w:szCs w:val="18"/>
          <w:color w:val="auto"/>
        </w:rPr>
      </w:pPr>
    </w:p>
    <w:p>
      <w:pPr>
        <w:ind w:left="328" w:right="80" w:hanging="4"/>
        <w:spacing w:after="0" w:line="265" w:lineRule="auto"/>
        <w:tabs>
          <w:tab w:leader="none" w:pos="678" w:val="left"/>
        </w:tabs>
        <w:numPr>
          <w:ilvl w:val="1"/>
          <w:numId w:val="7"/>
        </w:numPr>
        <w:rPr>
          <w:rFonts w:ascii="Arial" w:cs="Arial" w:eastAsia="Arial" w:hAnsi="Arial"/>
          <w:sz w:val="17"/>
          <w:szCs w:val="17"/>
          <w:color w:val="auto"/>
        </w:rPr>
      </w:pPr>
      <w:r>
        <w:rPr>
          <w:rFonts w:ascii="Arial" w:cs="Arial" w:eastAsia="Arial" w:hAnsi="Arial"/>
          <w:sz w:val="17"/>
          <w:szCs w:val="17"/>
          <w:color w:val="auto"/>
        </w:rPr>
        <w:t>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ind w:left="328" w:hanging="4"/>
        <w:spacing w:after="0" w:line="250" w:lineRule="auto"/>
        <w:tabs>
          <w:tab w:leader="none" w:pos="628" w:val="left"/>
        </w:tabs>
        <w:numPr>
          <w:ilvl w:val="1"/>
          <w:numId w:val="7"/>
        </w:numPr>
        <w:rPr>
          <w:rFonts w:ascii="Arial" w:cs="Arial" w:eastAsia="Arial" w:hAnsi="Arial"/>
          <w:sz w:val="18"/>
          <w:szCs w:val="18"/>
          <w:color w:val="auto"/>
        </w:rPr>
      </w:pPr>
      <w:r>
        <w:rPr>
          <w:rFonts w:ascii="Arial" w:cs="Arial" w:eastAsia="Arial" w:hAnsi="Arial"/>
          <w:sz w:val="18"/>
          <w:szCs w:val="18"/>
          <w:color w:val="auto"/>
        </w:rPr>
        <w:t>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 w:lineRule="exact"/>
        <w:rPr>
          <w:rFonts w:ascii="Arial" w:cs="Arial" w:eastAsia="Arial" w:hAnsi="Arial"/>
          <w:sz w:val="18"/>
          <w:szCs w:val="18"/>
          <w:color w:val="auto"/>
        </w:rPr>
      </w:pPr>
    </w:p>
    <w:p>
      <w:pPr>
        <w:ind w:left="328" w:right="120" w:hanging="328"/>
        <w:spacing w:after="0" w:line="250"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“PUD</w:t>
      </w:r>
      <w:r>
        <w:rPr>
          <w:rFonts w:ascii="Arial" w:cs="Arial" w:eastAsia="Arial" w:hAnsi="Arial"/>
          <w:sz w:val="18"/>
          <w:szCs w:val="18"/>
          <w:color w:val="auto"/>
        </w:rPr>
        <w:t>” or “</w:t>
      </w:r>
      <w:r>
        <w:rPr>
          <w:rFonts w:ascii="Arial" w:cs="Arial" w:eastAsia="Arial" w:hAnsi="Arial"/>
          <w:sz w:val="18"/>
          <w:szCs w:val="18"/>
          <w:b w:val="1"/>
          <w:bCs w:val="1"/>
          <w:i w:val="1"/>
          <w:iCs w:val="1"/>
          <w:color w:val="auto"/>
        </w:rPr>
        <w:t>Proved undeveloped reserves</w:t>
      </w:r>
      <w:r>
        <w:rPr>
          <w:rFonts w:ascii="Arial" w:cs="Arial" w:eastAsia="Arial" w:hAnsi="Arial"/>
          <w:sz w:val="18"/>
          <w:szCs w:val="18"/>
          <w:color w:val="auto"/>
        </w:rPr>
        <w:t>” means proved reserves that are expected to be recovered from new wells on undrilled acreage or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wells where a relatively major expenditure is required for completion. Undrilled locations can be classified as having PUDs only if a development plan has been adopted indicating that such locations are scheduled to be drilled within five (5) years, unless specific circumstances justify a longer time.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“Pure</w:t>
      </w:r>
      <w:r>
        <w:rPr>
          <w:rFonts w:ascii="Arial" w:cs="Arial" w:eastAsia="Arial" w:hAnsi="Arial"/>
          <w:sz w:val="18"/>
          <w:szCs w:val="18"/>
          <w:color w:val="auto"/>
        </w:rPr>
        <w:t>” means Pure Acquisition Corp., a Delaware corporation and wholly owned subsidiary of the Company.</w:t>
      </w:r>
    </w:p>
    <w:p>
      <w:pPr>
        <w:spacing w:after="0" w:line="21" w:lineRule="exact"/>
        <w:rPr>
          <w:rFonts w:ascii="Arial" w:cs="Arial" w:eastAsia="Arial" w:hAnsi="Arial"/>
          <w:sz w:val="18"/>
          <w:szCs w:val="18"/>
          <w:color w:val="auto"/>
        </w:rPr>
      </w:pPr>
    </w:p>
    <w:p>
      <w:pPr>
        <w:ind w:left="328" w:right="20" w:hanging="328"/>
        <w:spacing w:after="0" w:line="267" w:lineRule="auto"/>
        <w:tabs>
          <w:tab w:leader="none" w:pos="328"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“PV-10</w:t>
      </w:r>
      <w:r>
        <w:rPr>
          <w:rFonts w:ascii="Arial" w:cs="Arial" w:eastAsia="Arial" w:hAnsi="Arial"/>
          <w:sz w:val="17"/>
          <w:szCs w:val="17"/>
          <w:color w:val="auto"/>
        </w:rPr>
        <w:t>” When used with respect to crude oil and natural gas reserves, PV-10 means the estimated future gross revenue to be generated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p>
      <w:pPr>
        <w:spacing w:after="0" w:line="2" w:lineRule="exact"/>
        <w:rPr>
          <w:rFonts w:ascii="Arial" w:cs="Arial" w:eastAsia="Arial" w:hAnsi="Arial"/>
          <w:sz w:val="17"/>
          <w:szCs w:val="17"/>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“Realized price</w:t>
      </w:r>
      <w:r>
        <w:rPr>
          <w:rFonts w:ascii="Arial" w:cs="Arial" w:eastAsia="Arial" w:hAnsi="Arial"/>
          <w:sz w:val="18"/>
          <w:szCs w:val="18"/>
          <w:color w:val="auto"/>
        </w:rPr>
        <w:t>” The cash market price less all expected quality, transportation and demand adjustments.</w:t>
      </w:r>
    </w:p>
    <w:p>
      <w:pPr>
        <w:spacing w:after="0" w:line="21" w:lineRule="exact"/>
        <w:rPr>
          <w:rFonts w:ascii="Arial" w:cs="Arial" w:eastAsia="Arial" w:hAnsi="Arial"/>
          <w:sz w:val="18"/>
          <w:szCs w:val="18"/>
          <w:color w:val="auto"/>
        </w:rPr>
      </w:pPr>
    </w:p>
    <w:p>
      <w:pPr>
        <w:ind w:left="328" w:right="520" w:hanging="328"/>
        <w:spacing w:after="0" w:line="258"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“Recompletion</w:t>
      </w:r>
      <w:r>
        <w:rPr>
          <w:rFonts w:ascii="Arial" w:cs="Arial" w:eastAsia="Arial" w:hAnsi="Arial"/>
          <w:sz w:val="18"/>
          <w:szCs w:val="18"/>
          <w:color w:val="auto"/>
        </w:rPr>
        <w:t>” The process of re-entering an existing wellbore that is either producing or not producing and completing new reservoirs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enhancing existing reservoirs in an attempt to establish or increase existing production.</w:t>
      </w:r>
    </w:p>
    <w:p>
      <w:pPr>
        <w:spacing w:after="0" w:line="1" w:lineRule="exact"/>
        <w:rPr>
          <w:rFonts w:ascii="Arial" w:cs="Arial" w:eastAsia="Arial" w:hAnsi="Arial"/>
          <w:sz w:val="18"/>
          <w:szCs w:val="18"/>
          <w:color w:val="auto"/>
        </w:rPr>
      </w:pPr>
    </w:p>
    <w:p>
      <w:pPr>
        <w:ind w:left="328" w:right="200" w:hanging="328"/>
        <w:spacing w:after="0" w:line="281" w:lineRule="auto"/>
        <w:tabs>
          <w:tab w:leader="none" w:pos="328"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“Reserves</w:t>
      </w:r>
      <w:r>
        <w:rPr>
          <w:rFonts w:ascii="Arial" w:cs="Arial" w:eastAsia="Arial" w:hAnsi="Arial"/>
          <w:sz w:val="16"/>
          <w:szCs w:val="16"/>
          <w:color w:val="auto"/>
        </w:rPr>
        <w:t>” Reserves are estimated remaining quantities of crude oil and natural gas and related substances anticipated to be economically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p>
      <w:pPr>
        <w:spacing w:after="0" w:line="2" w:lineRule="exact"/>
        <w:rPr>
          <w:rFonts w:ascii="Arial" w:cs="Arial" w:eastAsia="Arial" w:hAnsi="Arial"/>
          <w:sz w:val="16"/>
          <w:szCs w:val="16"/>
          <w:color w:val="auto"/>
        </w:rPr>
      </w:pPr>
    </w:p>
    <w:p>
      <w:pPr>
        <w:ind w:left="328" w:right="180" w:hanging="328"/>
        <w:spacing w:after="0" w:line="250"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“Reservoir</w:t>
      </w:r>
      <w:r>
        <w:rPr>
          <w:rFonts w:ascii="Arial" w:cs="Arial" w:eastAsia="Arial" w:hAnsi="Arial"/>
          <w:sz w:val="18"/>
          <w:szCs w:val="18"/>
          <w:color w:val="auto"/>
        </w:rPr>
        <w:t>” A porous and permeable underground formation containing a natural accumulation of producible crude oil and/or natural gas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confined by impermeable rock or water barriers and is separate from other reservoirs.</w:t>
      </w:r>
    </w:p>
    <w:p>
      <w:pPr>
        <w:ind w:left="328" w:right="320" w:hanging="328"/>
        <w:spacing w:after="0" w:line="250"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“Resources</w:t>
      </w:r>
      <w:r>
        <w:rPr>
          <w:rFonts w:ascii="Arial" w:cs="Arial" w:eastAsia="Arial" w:hAnsi="Arial"/>
          <w:sz w:val="18"/>
          <w:szCs w:val="18"/>
          <w:color w:val="auto"/>
        </w:rPr>
        <w:t>” Quantities of crude oil and natural gas estimated to exist in naturally occurring accumulations. A portion of the resources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to be recoverable and another portion may be considered unrecoverable. Resources include both discovered and undiscovered accumulations.</w:t>
      </w:r>
    </w:p>
    <w:p>
      <w:pPr>
        <w:spacing w:after="0" w:line="1" w:lineRule="exact"/>
        <w:rPr>
          <w:rFonts w:ascii="Arial" w:cs="Arial" w:eastAsia="Arial" w:hAnsi="Arial"/>
          <w:sz w:val="18"/>
          <w:szCs w:val="18"/>
          <w:color w:val="auto"/>
        </w:rPr>
      </w:pPr>
    </w:p>
    <w:p>
      <w:pPr>
        <w:ind w:left="328" w:right="80" w:hanging="328"/>
        <w:spacing w:after="0" w:line="281" w:lineRule="auto"/>
        <w:tabs>
          <w:tab w:leader="none" w:pos="328"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“royalty</w:t>
      </w:r>
      <w:r>
        <w:rPr>
          <w:rFonts w:ascii="Arial" w:cs="Arial" w:eastAsia="Arial" w:hAnsi="Arial"/>
          <w:sz w:val="16"/>
          <w:szCs w:val="16"/>
          <w:color w:val="auto"/>
        </w:rPr>
        <w:t>” An interest in a crude oil and natural gas lease that gives the owner the right to receive a portion of the production from the leased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acreage (or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2" w:lineRule="exact"/>
        <w:rPr>
          <w:rFonts w:ascii="Arial" w:cs="Arial" w:eastAsia="Arial" w:hAnsi="Arial"/>
          <w:sz w:val="16"/>
          <w:szCs w:val="16"/>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38"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584" w:right="359" w:bottom="1440" w:gutter="0" w:footer="0" w:header="0"/>
        </w:sectPr>
      </w:pPr>
    </w:p>
    <w:bookmarkStart w:id="7" w:name="page8"/>
    <w:bookmarkEnd w:id="7"/>
    <w:p>
      <w:pPr>
        <w:ind w:left="660" w:right="580" w:hanging="328"/>
        <w:spacing w:after="0" w:line="274"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Second Amendment</w:t>
      </w:r>
      <w:r>
        <w:rPr>
          <w:rFonts w:ascii="Arial" w:cs="Arial" w:eastAsia="Arial" w:hAnsi="Arial"/>
          <w:sz w:val="17"/>
          <w:szCs w:val="17"/>
          <w:color w:val="auto"/>
        </w:rPr>
        <w:t>” means the Second Amendment to Credit Agreement, dated as of October 1, 2021, among HighPeak Energy, Inc., as Borrower, Fifth Third Bank, National Association, as administrative agent, and the Guarantors and Lenders party thereto.</w:t>
      </w:r>
    </w:p>
    <w:p>
      <w:pPr>
        <w:jc w:val="both"/>
        <w:ind w:left="660" w:right="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 well</w:t>
      </w:r>
      <w:r>
        <w:rPr>
          <w:rFonts w:ascii="Arial" w:cs="Arial" w:eastAsia="Arial" w:hAnsi="Arial"/>
          <w:sz w:val="18"/>
          <w:szCs w:val="18"/>
          <w:color w:val="auto"/>
        </w:rPr>
        <w:t>” A well drilled or completed for the purpose of supporting production in an existing field. Specific purposes of service wells include natural gas injection, water injection, steam injection, air injection, salt-water disposal, water supply for injection, observation, or injection for in-situ combustion.</w:t>
      </w:r>
    </w:p>
    <w:p>
      <w:pPr>
        <w:spacing w:after="0" w:line="1" w:lineRule="exact"/>
        <w:rPr>
          <w:rFonts w:ascii="Arial" w:cs="Arial" w:eastAsia="Arial" w:hAnsi="Arial"/>
          <w:sz w:val="18"/>
          <w:szCs w:val="18"/>
          <w:color w:val="auto"/>
        </w:rPr>
      </w:pPr>
    </w:p>
    <w:p>
      <w:pPr>
        <w:ind w:left="660" w:right="260" w:hanging="328"/>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Sixth Amendment</w:t>
      </w:r>
      <w:r>
        <w:rPr>
          <w:rFonts w:ascii="Arial" w:cs="Arial" w:eastAsia="Arial" w:hAnsi="Arial"/>
          <w:sz w:val="16"/>
          <w:szCs w:val="16"/>
          <w:color w:val="auto"/>
        </w:rPr>
        <w:t>” means the Sixth Amendment to Credit Agreement, dated as of October 31, 2022, by and among HighPeak Energy, Inc., as Borrower, Wells Fargo Bank, National Association, as administrative agent, the Guarantors party thereto and the Lenders party thereto.</w:t>
      </w:r>
    </w:p>
    <w:p>
      <w:pPr>
        <w:spacing w:after="0" w:line="1" w:lineRule="exact"/>
        <w:rPr>
          <w:rFonts w:ascii="Arial" w:cs="Arial" w:eastAsia="Arial" w:hAnsi="Arial"/>
          <w:sz w:val="16"/>
          <w:szCs w:val="16"/>
          <w:color w:val="auto"/>
        </w:rPr>
      </w:pPr>
    </w:p>
    <w:p>
      <w:pPr>
        <w:jc w:val="both"/>
        <w:ind w:left="660" w:right="300" w:hanging="328"/>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Seventh Amendment</w:t>
      </w:r>
      <w:r>
        <w:rPr>
          <w:rFonts w:ascii="Arial" w:cs="Arial" w:eastAsia="Arial" w:hAnsi="Arial"/>
          <w:sz w:val="16"/>
          <w:szCs w:val="16"/>
          <w:color w:val="auto"/>
        </w:rPr>
        <w:t>” means the Seventh Amendment to Credit Agreement, dated as of December 9, 2022, by and among HighPeak Energy, Inc., as Borrower, Wells Fargo Bank, National Association, as administrative agent, the Guarantors party thereto and the Lenders party thereto.</w:t>
      </w:r>
    </w:p>
    <w:p>
      <w:pPr>
        <w:spacing w:after="0" w:line="1" w:lineRule="exact"/>
        <w:rPr>
          <w:rFonts w:ascii="Arial" w:cs="Arial" w:eastAsia="Arial" w:hAnsi="Arial"/>
          <w:sz w:val="16"/>
          <w:szCs w:val="16"/>
          <w:color w:val="auto"/>
        </w:rPr>
      </w:pPr>
    </w:p>
    <w:p>
      <w:pPr>
        <w:ind w:left="660" w:right="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Spacing</w:t>
      </w:r>
      <w:r>
        <w:rPr>
          <w:rFonts w:ascii="Arial" w:cs="Arial" w:eastAsia="Arial" w:hAnsi="Arial"/>
          <w:sz w:val="18"/>
          <w:szCs w:val="18"/>
          <w:color w:val="auto"/>
        </w:rPr>
        <w:t>” The distance between wells producing from the same reservoir. Spacing is often expressed in terms of acres, e.g., 100-acre spacing, the distance between horizontal wellbores, e.g., 880-foot spacing or the number of wells per section, e.g., 6-well spacing. It is often established by regulatory agencies and/or the operator to optimize recovery of hydrocarbons.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means HighPeak Pure Acquisition, LLC, a Delaware limited liability company.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Spot market price</w:t>
      </w:r>
      <w:r>
        <w:rPr>
          <w:rFonts w:ascii="Arial" w:cs="Arial" w:eastAsia="Arial" w:hAnsi="Arial"/>
          <w:sz w:val="18"/>
          <w:szCs w:val="18"/>
          <w:color w:val="auto"/>
        </w:rPr>
        <w:t>” The cash market price without reduction for expected quality, transportation and demand adjustments.</w:t>
      </w:r>
    </w:p>
    <w:p>
      <w:pPr>
        <w:spacing w:after="0" w:line="36" w:lineRule="exact"/>
        <w:rPr>
          <w:rFonts w:ascii="Arial" w:cs="Arial" w:eastAsia="Arial" w:hAnsi="Arial"/>
          <w:sz w:val="18"/>
          <w:szCs w:val="18"/>
          <w:color w:val="auto"/>
        </w:rPr>
      </w:pPr>
    </w:p>
    <w:p>
      <w:pPr>
        <w:ind w:left="660" w:hanging="328"/>
        <w:spacing w:after="0" w:line="26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Standardized measure</w:t>
      </w:r>
      <w:r>
        <w:rPr>
          <w:rFonts w:ascii="Arial" w:cs="Arial" w:eastAsia="Arial" w:hAnsi="Arial"/>
          <w:sz w:val="17"/>
          <w:szCs w:val="17"/>
          <w:color w:val="auto"/>
        </w:rPr>
        <w:t>” The present value (discounted at an annual rate of 10 percent) of estimated future net revenues to be generated from the production of proved reserves net of estimated income taxes associated with such net revenues, as determined in accordance with FASB guidelines as well as the rules and regulations of the SEC, without giving effect to non-property related expenses such as indirect general and administrative expenses, and debt service or to DD&amp;A. Standardized measure does not give effect to derivative transactions.</w:t>
      </w:r>
    </w:p>
    <w:p>
      <w:pPr>
        <w:spacing w:after="0" w:line="1" w:lineRule="exact"/>
        <w:rPr>
          <w:rFonts w:ascii="Arial" w:cs="Arial" w:eastAsia="Arial" w:hAnsi="Arial"/>
          <w:sz w:val="17"/>
          <w:szCs w:val="17"/>
          <w:color w:val="auto"/>
        </w:rPr>
      </w:pPr>
    </w:p>
    <w:p>
      <w:pPr>
        <w:ind w:left="660" w:right="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Stratigraphic test well</w:t>
      </w:r>
      <w:r>
        <w:rPr>
          <w:rFonts w:ascii="Arial" w:cs="Arial" w:eastAsia="Arial" w:hAnsi="Arial"/>
          <w:sz w:val="18"/>
          <w:szCs w:val="18"/>
          <w:color w:val="auto"/>
        </w:rPr>
        <w:t>” A drilling effort, geologically directed, to obtain information pertaining to a specific geologic condition. Such wells 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spacing w:after="0" w:line="1" w:lineRule="exact"/>
        <w:rPr>
          <w:rFonts w:ascii="Arial" w:cs="Arial" w:eastAsia="Arial" w:hAnsi="Arial"/>
          <w:sz w:val="18"/>
          <w:szCs w:val="18"/>
          <w:color w:val="auto"/>
        </w:rPr>
      </w:pPr>
    </w:p>
    <w:p>
      <w:pPr>
        <w:ind w:left="660" w:right="7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Amendment</w:t>
      </w:r>
      <w:r>
        <w:rPr>
          <w:rFonts w:ascii="Arial" w:cs="Arial" w:eastAsia="Arial" w:hAnsi="Arial"/>
          <w:sz w:val="18"/>
          <w:szCs w:val="18"/>
          <w:color w:val="auto"/>
        </w:rPr>
        <w:t>” means the Third Amendment to Credit Agreement, dated as of February 9, 2022, among HighPeak Energy, Inc., as Borrower, Fifth Third Bank, National Association, as administrative agent, and the Lenders party thereto.</w:t>
      </w:r>
    </w:p>
    <w:p>
      <w:pPr>
        <w:ind w:left="660" w:right="760" w:hanging="328"/>
        <w:spacing w:after="0" w:line="26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Undeveloped acreage</w:t>
      </w:r>
      <w:r>
        <w:rPr>
          <w:rFonts w:ascii="Arial" w:cs="Arial" w:eastAsia="Arial" w:hAnsi="Arial"/>
          <w:sz w:val="17"/>
          <w:szCs w:val="17"/>
          <w:color w:val="auto"/>
        </w:rPr>
        <w:t>” Lease acreage on which wells have not been drilled or completed to a point that would permit the production of commercial quantities of crude oil and natural gas regardless of whether such acreage contains proved reserves.</w:t>
      </w:r>
    </w:p>
    <w:p>
      <w:pPr>
        <w:ind w:left="660" w:right="30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w:t>
      </w:r>
      <w:r>
        <w:rPr>
          <w:rFonts w:ascii="Arial" w:cs="Arial" w:eastAsia="Arial" w:hAnsi="Arial"/>
          <w:sz w:val="18"/>
          <w:szCs w:val="18"/>
          <w:color w:val="auto"/>
        </w:rPr>
        <w:t>” The joining of all or substantially all interests in a reservoir or field, rather than a single tract, to provide for development and operation without regard to separate property interests. Also, the area covered by a unitization agreement.</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w:t>
      </w:r>
      <w:r>
        <w:rPr>
          <w:rFonts w:ascii="Arial" w:cs="Arial" w:eastAsia="Arial" w:hAnsi="Arial"/>
          <w:sz w:val="18"/>
          <w:szCs w:val="18"/>
          <w:color w:val="auto"/>
        </w:rPr>
        <w:t>” means the United States.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means warrants to purchase one share of HighPeak Energy common stock at a price of $11.50 per share.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Wellbore</w:t>
      </w:r>
      <w:r>
        <w:rPr>
          <w:rFonts w:ascii="Arial" w:cs="Arial" w:eastAsia="Arial" w:hAnsi="Arial"/>
          <w:sz w:val="18"/>
          <w:szCs w:val="18"/>
          <w:color w:val="auto"/>
        </w:rPr>
        <w:t>” The hole drilled by the bit that is equipped for natural gas production on a completed well. Also called well or borehole.</w:t>
      </w:r>
    </w:p>
    <w:p>
      <w:pPr>
        <w:spacing w:after="0" w:line="36"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Working interest</w:t>
      </w:r>
      <w:r>
        <w:rPr>
          <w:rFonts w:ascii="Arial" w:cs="Arial" w:eastAsia="Arial" w:hAnsi="Arial"/>
          <w:sz w:val="17"/>
          <w:szCs w:val="17"/>
          <w:color w:val="auto"/>
        </w:rPr>
        <w:t>” The right granted to the lessee of a property to explore for and to produce and own natural gas or other minerals. The working interest owners bear the exploration, development and operating costs on either a cash, penalty or carried basis.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Workover</w:t>
      </w:r>
      <w:r>
        <w:rPr>
          <w:rFonts w:ascii="Arial" w:cs="Arial" w:eastAsia="Arial" w:hAnsi="Arial"/>
          <w:sz w:val="18"/>
          <w:szCs w:val="18"/>
          <w:color w:val="auto"/>
        </w:rPr>
        <w:t>” Operations on a producing well to restore or increase production.</w:t>
      </w:r>
    </w:p>
    <w:p>
      <w:pPr>
        <w:spacing w:after="0" w:line="21" w:lineRule="exact"/>
        <w:rPr>
          <w:rFonts w:ascii="Arial" w:cs="Arial" w:eastAsia="Arial" w:hAnsi="Arial"/>
          <w:sz w:val="18"/>
          <w:szCs w:val="18"/>
          <w:color w:val="auto"/>
        </w:rPr>
      </w:pPr>
    </w:p>
    <w:p>
      <w:pPr>
        <w:ind w:left="660" w:right="4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WTI</w:t>
      </w:r>
      <w:r>
        <w:rPr>
          <w:rFonts w:ascii="Arial" w:cs="Arial" w:eastAsia="Arial" w:hAnsi="Arial"/>
          <w:sz w:val="18"/>
          <w:szCs w:val="18"/>
          <w:color w:val="auto"/>
        </w:rPr>
        <w:t>” means West Texas Intermediate, a light sweet blend of crude oil produced from fields in western Texas and is a grade of crude oil used as a benchmark in crude oil pricing.</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information on the working interest in wells and acreage, “</w:t>
      </w:r>
      <w:r>
        <w:rPr>
          <w:rFonts w:ascii="Arial" w:cs="Arial" w:eastAsia="Arial" w:hAnsi="Arial"/>
          <w:sz w:val="18"/>
          <w:szCs w:val="18"/>
          <w:b w:val="1"/>
          <w:bCs w:val="1"/>
          <w:i w:val="1"/>
          <w:iCs w:val="1"/>
          <w:color w:val="auto"/>
        </w:rPr>
        <w:t>net</w:t>
      </w:r>
      <w:r>
        <w:rPr>
          <w:rFonts w:ascii="Arial" w:cs="Arial" w:eastAsia="Arial" w:hAnsi="Arial"/>
          <w:sz w:val="18"/>
          <w:szCs w:val="18"/>
          <w:color w:val="auto"/>
        </w:rPr>
        <w:t>” wells and acres are determined by multiplying “</w:t>
      </w:r>
      <w:r>
        <w:rPr>
          <w:rFonts w:ascii="Arial" w:cs="Arial" w:eastAsia="Arial" w:hAnsi="Arial"/>
          <w:sz w:val="18"/>
          <w:szCs w:val="18"/>
          <w:b w:val="1"/>
          <w:bCs w:val="1"/>
          <w:i w:val="1"/>
          <w:iCs w:val="1"/>
          <w:color w:val="auto"/>
        </w:rPr>
        <w:t>gross</w:t>
      </w:r>
      <w:r>
        <w:rPr>
          <w:rFonts w:ascii="Arial" w:cs="Arial" w:eastAsia="Arial" w:hAnsi="Arial"/>
          <w:sz w:val="18"/>
          <w:szCs w:val="18"/>
          <w:color w:val="auto"/>
        </w:rPr>
        <w:t>” wells and acres by the Company’s working interest in such wells or acres. Unless otherwise specified, wells and acreage statistics quoted herein represent gross wells or acres.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currency amounts are expressed in U.S. dollars.</w:t>
      </w:r>
    </w:p>
    <w:p>
      <w:pPr>
        <w:spacing w:after="0" w:line="23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This Annual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Annual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about:</w:t>
      </w:r>
    </w:p>
    <w:p>
      <w:pPr>
        <w:spacing w:after="0" w:line="17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supply and demand for and market prices of crude oil, NGL, natural gas and other products or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our ongoing strategic alternatives review process;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political instability or armed conflict in crude oil or natural gas producing regions, such as the ongoing war between Russia and Ukraine;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integration of acquisitions, including the Alamo Acquisitions and the Hannathon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production and reserve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drilling and completion risks;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inflation rates and the impacts of associated monetary policy responses, including increased interest rates and resulting pressures on economic growth;</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and competitive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and other contractual obligations, including obligations under the senior notes issued during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scope and severity of the ongoing coronavirus disease (“COVID-19”) pandemic, including the effects of related public health concerns and the impact of continued actions taken by governmental authorities and other third parties in response to the pandemic and its impact on commodity prices, supply and demand considerations, and storage capacity;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goods and services and supply chain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legislative, regulatory or policy changes;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and related policy actions intended by federal, state and/or local governments to reduce fossil fuel use and associated carbon emissions, to drive the substitution of renewable forms of energy for crude oil and natural gas, which may over time reduce demand for crude oil, NGL and natural gas, including as a result of the Inflation Reduction Act of 2022 (“IRA 2022”) or otherwise;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occurrence of property acquisitions or divestitures;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securities or capital markets and related risks such as general credit, liquidity, market and interest-rate risks; and</w:t>
      </w:r>
    </w:p>
    <w:p>
      <w:pPr>
        <w:spacing w:after="0" w:line="9" w:lineRule="exact"/>
        <w:rPr>
          <w:rFonts w:ascii="Arial" w:cs="Arial" w:eastAsia="Arial" w:hAnsi="Arial"/>
          <w:sz w:val="18"/>
          <w:szCs w:val="18"/>
          <w:color w:val="auto"/>
        </w:rPr>
      </w:pPr>
    </w:p>
    <w:p>
      <w:pPr>
        <w:jc w:val="both"/>
        <w:ind w:left="660" w:right="34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factors disclosed under “Part I, Items 1 and 2. Business and Properties”, “Part I, Item 1A. Risk Factors”, “Part II, Item 7. Management’s Discussion and Analysis of Financial Condition and Results of Operations,” “Part II, Item 7A. Quantitative and Qualitative Disclosures about Market Risk” and elsewhere in this Annual Report.</w:t>
      </w:r>
    </w:p>
    <w:p>
      <w:pPr>
        <w:spacing w:after="0" w:line="19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HIGHPEAK ENERGY, INC.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ITEMS 1 AND 2. 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HighPeak Energy, a Delaware corporation formed on October 29, 2019, is an independent crude oil and natural gas company engaged in the acquisition, development and production of crude oil, NGL and natural gas reserves. The Company’s assets are primarily located in Howard and Borden Counties, Texas, which lie within the northeastern part of the crude oil-rich Midland Basin. The Company holds two significant contiguous land positions with the northern position referred to as the Flat Top area and the southern position referred to as the Signal Peak area.</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HighPeak Energy focuses on the Midland Basin and specifically the Howard and Borden Counties area of the Midland Basin. Over the last eight decades the Howard and Borden Counties area of the Midland Basin was partially developed with vertical wells using conventional methods, and has recently experienced significant redevelopment activity in the Lower Spraberry and Wolfcamp A formations utilizing modern horizontal drilling technology, with some operators having additional success developing the Middle Spraberry, Jo Mill, Wolfcamp B and Wolfcamp D formations, through the use of modern, high-intensity hydraulic fracturing techniques, decreased frac spacing, increased proppant usage and increased lateral lengths. Our interpretation of available IHS Markit data as well as our own drilling and completion results show that Howard and Borden Counties have high crude oil mix percentage.</w:t>
      </w:r>
    </w:p>
    <w:p>
      <w:pPr>
        <w:spacing w:after="0" w:line="1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Company’s assets include certain rights, title and interests in crude oil and natural gas assets located primarily in Howard and Borden Counties, Texas, and to a lesser extent, Scurry and Mitchell Counties, Texas. As of December 31, 2022, the Company’s assets consisted of two generally contiguous leasehold positions of approximately 125,730 gross (107,704 net) acres covering various subsurface depths, approximately 56% of which were held by production, with an average working interest of approximately 86%. We operate approximately 98% of the net acreage across the Company’s assets. HighPeak Energy’s horizontal development drilling plan is currently focused on the Wolfcamp A, Lower Spraberry and Wolfcamp D formations with additional wells planned in the Wolfcamp B and Wolfcamp C formations. We utilize multi-well pad development to lower drilling and completion cycle times and create infrastructure and facility economies of scale to reduce overall costs, optimize and maximize crude oil and natural gas recoveries, return on investment and value creation.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mailing address of HighPeak Energy’s principal executive office is 421 W. 3rd Street, Suite 1000, Fort Worth, Texas 76102. HighPeak Energy’s telephone number is (817) 850-9200. As of December 31, 2022, HighPeak Energy had forty-seven full-time employees.</w:t>
      </w:r>
    </w:p>
    <w:p>
      <w:pPr>
        <w:spacing w:after="0" w:line="14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HighPeak Energy files or furnishes annual, quarterly and current reports, proxy statements and other documents with the SEC under the Exchange Act. The SEC maintains a website (</w:t>
      </w:r>
      <w:r>
        <w:rPr>
          <w:rFonts w:ascii="Arial" w:cs="Arial" w:eastAsia="Arial" w:hAnsi="Arial"/>
          <w:sz w:val="18"/>
          <w:szCs w:val="18"/>
          <w:i w:val="1"/>
          <w:iCs w:val="1"/>
          <w:color w:val="auto"/>
        </w:rPr>
        <w:t>www.sec.gov</w:t>
      </w:r>
      <w:r>
        <w:rPr>
          <w:rFonts w:ascii="Arial" w:cs="Arial" w:eastAsia="Arial" w:hAnsi="Arial"/>
          <w:sz w:val="18"/>
          <w:szCs w:val="18"/>
          <w:color w:val="auto"/>
        </w:rPr>
        <w:t>) that contains reports, proxy and information statements, and other information regarding issuers, including HighPeak Energy, that file electronically with the SEC.</w:t>
      </w:r>
    </w:p>
    <w:p>
      <w:pPr>
        <w:spacing w:after="0" w:line="18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makes available free of charge through its website (</w:t>
      </w:r>
      <w:r>
        <w:rPr>
          <w:rFonts w:ascii="Arial" w:cs="Arial" w:eastAsia="Arial" w:hAnsi="Arial"/>
          <w:sz w:val="16"/>
          <w:szCs w:val="16"/>
          <w:i w:val="1"/>
          <w:iCs w:val="1"/>
          <w:color w:val="auto"/>
        </w:rPr>
        <w:t>www.highpeakenergy.com</w:t>
      </w:r>
      <w:r>
        <w:rPr>
          <w:rFonts w:ascii="Arial" w:cs="Arial" w:eastAsia="Arial" w:hAnsi="Arial"/>
          <w:sz w:val="16"/>
          <w:szCs w:val="16"/>
          <w:color w:val="auto"/>
        </w:rPr>
        <w:t>) its Annual Reports on Form 10-K, Quarterly Reports on Form 10-Q, Current Reports on Form 8-K and, if applicable, amendments to those reports filed or furnished pursuant to Section 13(a) of the Exchange Act as soon as reasonably practicable after it electronically files such material with, or furnishes it to, the SEC. In addition to the reports filed or furnished with the SEC, HighPeak Energy publicly discloses information from time to time in its press releases and investor presentations that are posted on its website or publicly during accessible investor conferences. Such information, including information posted on or connected to the Company’s website, is not a part of, or incorporated by reference in, this Annual Report or any other document the Company files with or furnishes to the SEC.</w:t>
      </w:r>
    </w:p>
    <w:p>
      <w:pPr>
        <w:spacing w:after="0" w:line="164"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HighPeak Energy’s common stock and warrants are listed on the Nasdaq Global Market (“Nasdaq”) under the symbols “HPK” and “HPKEW,”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Company’s assets are located in the northeastern part of the Midland Basin. The majority of the acreage position is located across the eastern half of Howard and Borden Counties recently extending into far southwestern Scurry County and far northwestern Mitchell County in two largely contiguous acreage blocks, the northern position of which is referred to as the Flat Top area and the southern position of which is referred to as the Signal Peak area. The Midland Basin is part of the Permian Basin of West Texas and Eastern New Mexico. The Permian Basin covers an area of about 96,000 square miles and is comprised of five (5) sub-regions including the Midland Basin, the Central Basin Platform, the Delaware Basin, the Northwest Shelf and the Eastern Shelf. The Central Basin Platform (“CBP”) is a central uplift, with the Delaware Basin located to the west of the CBP, and the Midland Basin located to the east of the CBP. The bulk of the Permian Basin’s increase in crude oil production since 2007 has come from several target zones including the Spraberry and Wolfcamp formations. The Permian Basin has produced billions of barrels of crude oil and natural gas and is estimated by the United States Geologic Survey to contain significant remaining hydrocarbon potential.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line="259" w:lineRule="auto"/>
        <w:rPr>
          <w:sz w:val="20"/>
          <w:szCs w:val="20"/>
          <w:color w:val="auto"/>
        </w:rPr>
      </w:pPr>
      <w:r>
        <w:rPr>
          <w:rFonts w:ascii="Arial" w:cs="Arial" w:eastAsia="Arial" w:hAnsi="Arial"/>
          <w:sz w:val="18"/>
          <w:szCs w:val="18"/>
          <w:color w:val="auto"/>
        </w:rPr>
        <w:t>HighPeak Energy developed its properties using up to six (6) drilling rigs and three (3) frac crews during the year ended December 31, 2022. The Company expects to average four to five (4-5) drilling rigs and two to three (2-3) frac crews during 2023 under our current development plan. HighPeak Energy expects to fund its forecasted capital expenditures with cash on its balance sheet, cash generated by operations, through borrowings under the Credit Agreement, and, depending on market circumstances, potential future debt or equity offerings.</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HighPeak Energy has discretion to modify its capital program. Because HighPeak Energy operates a high percentage of its acreage, capital expenditure amounts and timing are largely discretionary and within its control. HighPeak Energy determines its capital expenditures depending on a variety of factors, including, but not limited to, the success of its drilling activities, prevailing and anticipated prices for crude oil and natural gas, the availability of necessary equipment, infrastructure and capital, the receipt and timing of required regulatory permits and approvals, drilling and acquisition costs and the level of participation by other working interest owners. A deferral of planned capital expenditures, particularly with respect to drilling and completing new wells, could result in a reduction in anticipated production and cash flows. Additionally, if HighPeak Energy curtails or reallocates priorities in its drilling program, HighPeak Energy may lose a portion of its acreage through lease expirations. However, in the event of any such curtailment or reallocation of priorities, HighPeak Energy would expect to prioritize lease retention to minimize any expirations. Please see “Risk Factors—Risks Related to Our Business—Crude oil, NGL and natural gas prices are volatile. Sustained periods of low, or declines in, crude oil, NGL and natural gas prices could adversely affect HighPeak Energy’s business, financial condition and results of operations and its ability to meet its capital expenditure obligations and other financial commitments,” “Risk Factors—Risks Related to Our Business —HighPeak Energy’s development projects and acquisitions will require substantial capital expenditures. HighPeak Energy may be unable to obtain required capital or financing on satisfactory terms, including as a result of recent increases in cost of capital resulting from Federal Reserve policies or otherwise, which could reduce its ability to access or increase production and reserves” and “Risk Factors—Risks Related to Our Business—Certain of the undeveloped leasehold acreage of HighPeak Energy’s assets is subject to leases that will expire over the next several years unless production is established on units containing the acreage or the leases are renewed.”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Summary</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estimated proved reserves of the Company’s assets as of December 31, 2022, 2021 and 2020 were prepared by Cawley, Gillespie and Associates, Inc. (“CG&amp;A”). As of December 31, 2022, 2021 and 2020, the Company’s assets contained 122,958, 64,213 and 22,515 MBoe, respectively, of estimated proved reserves. In addition, as of December 31, 2022, 2021 and 2020, the estimated proved reserves of the Company’s assets were estimated by CG&amp;A to be 92%, 92% and 94% crude oil and NGL, respectively, and 8%, 8% and 6% natural gas, respectively. The following table provides summary information regarding the estimated proved reserves data of the Company’s assets based on the 2022 Reserve Report, 2021 Reserve Report and 2020 Reserve Report (each defined below) as of December 31, 2022, 2021 and 2020,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250"/>
              <w:spacing w:after="0"/>
              <w:rPr>
                <w:sz w:val="20"/>
                <w:szCs w:val="20"/>
                <w:color w:val="auto"/>
              </w:rPr>
            </w:pPr>
            <w:r>
              <w:rPr>
                <w:rFonts w:ascii="Arial" w:cs="Arial" w:eastAsia="Arial" w:hAnsi="Arial"/>
                <w:sz w:val="18"/>
                <w:szCs w:val="18"/>
                <w:b w:val="1"/>
                <w:bCs w:val="1"/>
                <w:color w:val="auto"/>
              </w:rPr>
              <w:t>Proved Total</w:t>
            </w:r>
          </w:p>
        </w:tc>
        <w:tc>
          <w:tcPr>
            <w:tcW w:w="100" w:type="dxa"/>
            <w:vAlign w:val="bottom"/>
          </w:tcPr>
          <w:p>
            <w:pPr>
              <w:spacing w:after="0"/>
              <w:rPr>
                <w:sz w:val="18"/>
                <w:szCs w:val="18"/>
                <w:color w:val="auto"/>
              </w:rPr>
            </w:pPr>
          </w:p>
        </w:tc>
        <w:tc>
          <w:tcPr>
            <w:tcW w:w="1600" w:type="dxa"/>
            <w:vAlign w:val="bottom"/>
          </w:tcPr>
          <w:p>
            <w:pPr>
              <w:jc w:val="right"/>
              <w:ind w:right="190"/>
              <w:spacing w:after="0"/>
              <w:rPr>
                <w:sz w:val="20"/>
                <w:szCs w:val="20"/>
                <w:color w:val="auto"/>
              </w:rPr>
            </w:pPr>
            <w:r>
              <w:rPr>
                <w:rFonts w:ascii="Arial" w:cs="Arial" w:eastAsia="Arial" w:hAnsi="Arial"/>
                <w:sz w:val="18"/>
                <w:szCs w:val="18"/>
                <w:b w:val="1"/>
                <w:bCs w:val="1"/>
                <w:color w:val="auto"/>
              </w:rPr>
              <w:t>% Crude Oil &amp;</w:t>
            </w:r>
          </w:p>
        </w:tc>
        <w:tc>
          <w:tcPr>
            <w:tcW w:w="172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w:t>
            </w:r>
          </w:p>
        </w:tc>
      </w:tr>
      <w:tr>
        <w:trPr>
          <w:trHeight w:val="234"/>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of Date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(MBoe)(1)</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NGL</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Developed</w:t>
            </w: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1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122,958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December 31, 2021</w:t>
            </w:r>
          </w:p>
        </w:tc>
        <w:tc>
          <w:tcPr>
            <w:tcW w:w="1660" w:type="dxa"/>
            <w:vAlign w:val="bottom"/>
            <w:gridSpan w:val="2"/>
          </w:tcPr>
          <w:p>
            <w:pPr>
              <w:jc w:val="right"/>
              <w:ind w:right="30"/>
              <w:spacing w:after="0"/>
              <w:rPr>
                <w:sz w:val="20"/>
                <w:szCs w:val="20"/>
                <w:color w:val="auto"/>
              </w:rPr>
            </w:pPr>
            <w:r>
              <w:rPr>
                <w:rFonts w:ascii="Arial" w:cs="Arial" w:eastAsia="Arial" w:hAnsi="Arial"/>
                <w:sz w:val="18"/>
                <w:szCs w:val="18"/>
                <w:color w:val="auto"/>
              </w:rPr>
              <w:t>64,213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22,515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1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20" w:right="100" w:hanging="812"/>
        <w:spacing w:after="0" w:line="271"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estimated net proved reserves were determined using the unweighted arithmetic average first-day-of-the month prices for the prior twelve (12) months in accordance with guidelines established by the SEC. As of December 31, 2022, 2021 and 2020, for crude oil and NGL volumes, this average WTI spot price of $93.67, $66.56 and $39.57 per barrel, respectively, was adjusted for quality, transportation and a regional price differential. As of December 31, 2022, 2021 and 2020, for natural gas volumes, the average HH spot price of $6.358, $3.598 and $1.985 per MMBtu, respectively, was adjusted for energy content, gathering, transportation and processing fees and a regional price differential. All prices are held constant throughout the lives of the properties. As of December 31, 2022, 2021 and 2020, the average adjusted prices realized over the remaining lives of the Company’s assets by CG&amp;A were $94.59, $66.10 and $38.08 per barrel of crude oil, $36.69, $29.76 and $12.27 per barrel of NGL and $4.871, $0.786 and -$1.304 per Mcf of natural gas,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Reserve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Preparation of Reserve Estimates</w:t>
      </w:r>
    </w:p>
    <w:p>
      <w:pPr>
        <w:spacing w:after="0" w:line="225" w:lineRule="exact"/>
        <w:rPr>
          <w:sz w:val="20"/>
          <w:szCs w:val="20"/>
          <w:color w:val="auto"/>
        </w:rPr>
      </w:pPr>
    </w:p>
    <w:p>
      <w:pPr>
        <w:spacing w:after="0" w:line="271" w:lineRule="auto"/>
        <w:rPr>
          <w:rFonts w:ascii="Arial" w:cs="Arial" w:eastAsia="Arial" w:hAnsi="Arial"/>
          <w:sz w:val="17"/>
          <w:szCs w:val="17"/>
          <w:color w:val="auto"/>
        </w:rPr>
      </w:pPr>
      <w:r>
        <w:rPr>
          <w:rFonts w:ascii="Arial" w:cs="Arial" w:eastAsia="Arial" w:hAnsi="Arial"/>
          <w:sz w:val="17"/>
          <w:szCs w:val="17"/>
          <w:color w:val="auto"/>
        </w:rPr>
        <w:t>The reserve estimates as of December 31, 2022, 2021 and 2020 included in this Annual Report are based on evaluations prepared by CG&amp;A in accordance with Standards Pertaining to the Estimating and Auditing of Oil and Gas Reserves Information promulgated by the Society of Petroleum Evaluation Engineers and definitions and guidelines established by the SEC (individually, the “2022 Reserve Report,” the “2021 Reserve Report” and the “2020 Reserve Report” and, collectively the “Reserve Reports”). CG&amp;A was selected for their historical experience and geographic expertise in engineering similar resources. The summary information pertaining to reserve estimates as of December 31, 2022, 2021 and 2020, respectively, of HighPeak Energy, prepared by CG&amp;A, were led by W. Todd Brooker. Mr. Brooker is a Licensed Professional Engineer in the State of Texas and has been practicing at CG&amp;A for 30 years and, including such 30 years, has over 32 years of total industry experience. Copies of the Reserve Reports are attached to this Annual Report as Exhibits 99.1</w:t>
      </w:r>
      <w:r>
        <w:rPr>
          <w:rFonts w:ascii="Arial" w:cs="Arial" w:eastAsia="Arial" w:hAnsi="Arial"/>
          <w:sz w:val="17"/>
          <w:szCs w:val="17"/>
          <w:u w:val="single" w:color="auto"/>
          <w:color w:val="auto"/>
        </w:rPr>
        <w:t>,</w:t>
      </w:r>
      <w:r>
        <w:rPr>
          <w:rFonts w:ascii="Arial" w:cs="Arial" w:eastAsia="Arial" w:hAnsi="Arial"/>
          <w:sz w:val="17"/>
          <w:szCs w:val="17"/>
          <w:color w:val="auto"/>
        </w:rPr>
        <w:t xml:space="preserve"> </w:t>
      </w:r>
      <w:hyperlink r:id="rId24">
        <w:r>
          <w:rPr>
            <w:rFonts w:ascii="Arial" w:cs="Arial" w:eastAsia="Arial" w:hAnsi="Arial"/>
            <w:sz w:val="17"/>
            <w:szCs w:val="17"/>
            <w:u w:val="single" w:color="auto"/>
            <w:color w:val="0000EE"/>
          </w:rPr>
          <w:t>99.2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25">
        <w:r>
          <w:rPr>
            <w:rFonts w:ascii="Arial" w:cs="Arial" w:eastAsia="Arial" w:hAnsi="Arial"/>
            <w:sz w:val="17"/>
            <w:szCs w:val="17"/>
            <w:u w:val="single" w:color="auto"/>
            <w:color w:val="0000EE"/>
          </w:rPr>
          <w:t>99.3</w:t>
        </w:r>
      </w:hyperlink>
      <w:r>
        <w:rPr>
          <w:rFonts w:ascii="Arial" w:cs="Arial" w:eastAsia="Arial" w:hAnsi="Arial"/>
          <w:sz w:val="17"/>
          <w:szCs w:val="17"/>
          <w:color w:val="auto"/>
        </w:rPr>
        <w:t>, respectively.</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Proved reserves are those quantities of crude oil, NGL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If deterministic methods are used, reasonable certainty means a high degree of confidence that the quantities will be recovered. If probabilistic methods are used, there should be at least a 90% probability the quantities actually recovered will equal or exceed the estimate. A high degree of confidence exists if the quantity is much more likely to be achieved than not, and, as changes due to increased availability of geoscience (geological, geophysical, and geochemical), engineering, and economic data are made to EUR with time, reasonably certain EUR is much more likely to increase or remain constant than to decrease. The technical and economic data used in the estimation of the proved reserves include, but are not limited to, well logs, geologic maps, well-test data, production data (including flow rates), well data (including lateral lengths), historical price and cost information, and property ownership interests. CG&amp;A uses this technical data, together with standard engineering and geoscience methods, or a combination of methods, including performance analysis, volumetric analysis, and analogy. The proved developed reserves and EURs per well are estimated using performance analysis, analogs and volumetric analysis. The estimates of the proved developed reserves and EURs for each developed well are used to estimate the proved undeveloped reserves for each proved undeveloped location (utilizing type curves, statistical analysis, and analogy).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internal staffs of petroleum engineers and geoscience professionals at HighPeak Energy work closely with their independent reserve engineers to ensure the integrity, accuracy and timeliness of data furnished to their independent reserve engineers in the preparation of their reserve report. Periodically, HighPeak Energy’s technical teams meet with the independent reserve engineers to review properties and discuss methods and assumptions used to prepare reserve estimates for the Company’s assets.</w:t>
      </w:r>
    </w:p>
    <w:p>
      <w:pPr>
        <w:spacing w:after="0" w:line="1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Reserve engineering is a subjective process of estimating volumes of economically recoverable crude oil and natural gas that cannot be measured in an exact manner. The accuracy of any reserve estimate is a function of the quality of available data and of engineering and geological interpretation. As a result, the estimates of different engineers often vary. In addition, the results of drilling, testing and production may justify revisions of such estimates. Accordingly, estimates of economically recoverable crude oil, NGL and natural gas and of future net revenues are based on a number of variables and assumptions, all of which may vary from actual results, including geologic interpretation, prices, future production rates and costs. Please read the section entitled “Risk Factors” appearing elsewhere in this Annual Report.</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reserve estimates as of December 31, 2022, 2021 and 2020, respectively, were prepared by geologists and reservoir engineers who integrate geological, geophysical, engineering and economic data to produce high quality reserve estimates and economic forecasts. The process was supervised by Christopher Mundy, Vice President, Reserves and Evaluations, for HighPeak Energy, who has approximately 26 years of experience in crude oil and natural gas operations, reservoir engineering and management, reserves management, unconventional and conventional reservoir characterization and strategic planning.</w:t>
      </w:r>
    </w:p>
    <w:p>
      <w:pPr>
        <w:spacing w:after="0" w:line="18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reserve estimation process and the reserve estimates of the Company’s assets as of December 31, 2022, 2021 and 2020, respectively, were reviewed and approved by our technical staff, other members of senior management and our Chief Executive Officer. The Reserve Reports prepared by CG&amp;A contain further discussion of the reserve estimates and the procedures used in connection with its preparation.</w:t>
      </w:r>
    </w:p>
    <w:p>
      <w:pPr>
        <w:spacing w:after="0" w:line="16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reserve estimates as of December 31, 2022, 2021 and 2020, included in this Annual Report are based on evaluations prepared by the independent petroleum engineering firm CG&amp;A representing 100% of the Company’s assets’ total net proved reserves in accordance with Standards Pertaining to the Estimating and Auditing of Oil and Gas Reserves Information promulgated by the Society of Petroleum Evaluation Engineers and definitions and guidelines established by the SEC. The Independent Reserve Engineers were selected for their historical experience and geographic expertise in engineering similar resources.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Estimated Proved Reserves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tables present the estimated net proved crude oil and natural gas reserves as of December 31, 2022, 2021 and 2020, based on the Reserve Reports of the Company’s assets as of such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w w:val="89"/>
              </w:rPr>
              <w:t>Proved Reserve Volumes</w:t>
            </w: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26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rPr>
              <w:t>Crude Oil</w:t>
            </w:r>
          </w:p>
        </w:tc>
        <w:tc>
          <w:tcPr>
            <w:tcW w:w="120" w:type="dxa"/>
            <w:vAlign w:val="bottom"/>
          </w:tcPr>
          <w:p>
            <w:pPr>
              <w:spacing w:after="0"/>
              <w:rPr>
                <w:sz w:val="16"/>
                <w:szCs w:val="16"/>
                <w:color w:val="auto"/>
              </w:rPr>
            </w:pPr>
          </w:p>
        </w:tc>
        <w:tc>
          <w:tcPr>
            <w:tcW w:w="122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NGL</w:t>
            </w:r>
          </w:p>
        </w:tc>
        <w:tc>
          <w:tcPr>
            <w:tcW w:w="100" w:type="dxa"/>
            <w:vAlign w:val="bottom"/>
          </w:tcPr>
          <w:p>
            <w:pPr>
              <w:spacing w:after="0"/>
              <w:rPr>
                <w:sz w:val="16"/>
                <w:szCs w:val="16"/>
                <w:color w:val="auto"/>
              </w:rPr>
            </w:pPr>
          </w:p>
        </w:tc>
        <w:tc>
          <w:tcPr>
            <w:tcW w:w="1540" w:type="dxa"/>
            <w:vAlign w:val="bottom"/>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94"/>
              </w:rPr>
              <w:t>Natural Gas</w:t>
            </w:r>
          </w:p>
        </w:tc>
        <w:tc>
          <w:tcPr>
            <w:tcW w:w="100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(MBbls)</w:t>
            </w:r>
          </w:p>
        </w:tc>
        <w:tc>
          <w:tcPr>
            <w:tcW w:w="12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(MBbls)</w:t>
            </w:r>
          </w:p>
        </w:tc>
        <w:tc>
          <w:tcPr>
            <w:tcW w:w="100" w:type="dxa"/>
            <w:vAlign w:val="bottom"/>
          </w:tcPr>
          <w:p>
            <w:pPr>
              <w:spacing w:after="0"/>
              <w:rPr>
                <w:sz w:val="20"/>
                <w:szCs w:val="20"/>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rPr>
              <w:t>(MMcf)</w:t>
            </w: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(MBoe)</w:t>
            </w:r>
          </w:p>
        </w:tc>
        <w:tc>
          <w:tcPr>
            <w:tcW w:w="138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2022:</w:t>
            </w: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Developed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47,845</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7,968</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32,669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61,258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Undeveloped</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50,971</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6,401</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25,969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61,700</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09"/>
        </w:trPr>
        <w:tc>
          <w:tcPr>
            <w:tcW w:w="4620" w:type="dxa"/>
            <w:vAlign w:val="bottom"/>
          </w:tcPr>
          <w:p>
            <w:pPr>
              <w:ind w:left="180"/>
              <w:spacing w:after="0"/>
              <w:rPr>
                <w:sz w:val="20"/>
                <w:szCs w:val="20"/>
                <w:color w:val="auto"/>
              </w:rPr>
            </w:pPr>
            <w:r>
              <w:rPr>
                <w:rFonts w:ascii="Arial" w:cs="Arial" w:eastAsia="Arial" w:hAnsi="Arial"/>
                <w:sz w:val="18"/>
                <w:szCs w:val="18"/>
                <w:color w:val="auto"/>
              </w:rPr>
              <w:t>Total proved reserves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98,816</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14,369</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58,638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122,958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2021:</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Developed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22,610</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3,540</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14,611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28,585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Undeveloped</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29,215</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3,838</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15,450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35,628</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4620" w:type="dxa"/>
            <w:vAlign w:val="bottom"/>
          </w:tcPr>
          <w:p>
            <w:pPr>
              <w:ind w:left="180"/>
              <w:spacing w:after="0"/>
              <w:rPr>
                <w:sz w:val="20"/>
                <w:szCs w:val="20"/>
                <w:color w:val="auto"/>
              </w:rPr>
            </w:pPr>
            <w:r>
              <w:rPr>
                <w:rFonts w:ascii="Arial" w:cs="Arial" w:eastAsia="Arial" w:hAnsi="Arial"/>
                <w:sz w:val="18"/>
                <w:szCs w:val="18"/>
                <w:color w:val="auto"/>
              </w:rPr>
              <w:t>Total proved reserves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51,825</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7,378</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30,061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64,213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2020:</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Developed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8,730</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957</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10,282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Undeveloped</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10,302</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12,233</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09"/>
        </w:trPr>
        <w:tc>
          <w:tcPr>
            <w:tcW w:w="4620" w:type="dxa"/>
            <w:vAlign w:val="bottom"/>
          </w:tcPr>
          <w:p>
            <w:pPr>
              <w:ind w:left="180"/>
              <w:spacing w:after="0"/>
              <w:rPr>
                <w:sz w:val="20"/>
                <w:szCs w:val="20"/>
                <w:color w:val="auto"/>
              </w:rPr>
            </w:pPr>
            <w:r>
              <w:rPr>
                <w:rFonts w:ascii="Arial" w:cs="Arial" w:eastAsia="Arial" w:hAnsi="Arial"/>
                <w:sz w:val="18"/>
                <w:szCs w:val="18"/>
                <w:color w:val="auto"/>
              </w:rPr>
              <w:t>Total proved reserves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19,032</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2,160</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7,939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22,515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Proved Undeveloped Reserves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the changes in HighPeak Energy’s proved undeveloped reserves for the period from August 22, 2020 through December 31, 2020 and the years ended December 31, 2021 and 2022 (the “Successor Period”):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p>
        </w:tc>
        <w:tc>
          <w:tcPr>
            <w:tcW w:w="156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23"/>
        </w:trPr>
        <w:tc>
          <w:tcPr>
            <w:tcW w:w="9680" w:type="dxa"/>
            <w:vAlign w:val="bottom"/>
          </w:tcPr>
          <w:p>
            <w:pPr>
              <w:spacing w:after="0"/>
              <w:rPr>
                <w:sz w:val="19"/>
                <w:szCs w:val="19"/>
                <w:color w:val="auto"/>
              </w:rPr>
            </w:pPr>
          </w:p>
        </w:tc>
        <w:tc>
          <w:tcPr>
            <w:tcW w:w="15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Total (MBoe)</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Proved undeveloped reserves at August 22, 2020</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5,764</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Extensions and discoveries</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7,015</w:t>
            </w:r>
          </w:p>
        </w:tc>
        <w:tc>
          <w:tcPr>
            <w:tcW w:w="0" w:type="dxa"/>
            <w:vAlign w:val="bottom"/>
          </w:tcPr>
          <w:p>
            <w:pPr>
              <w:spacing w:after="0"/>
              <w:rPr>
                <w:sz w:val="1"/>
                <w:szCs w:val="1"/>
                <w:color w:val="auto"/>
              </w:rPr>
            </w:pPr>
          </w:p>
        </w:tc>
      </w:tr>
      <w:tr>
        <w:trPr>
          <w:trHeight w:val="162"/>
        </w:trPr>
        <w:tc>
          <w:tcPr>
            <w:tcW w:w="9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Revisions</w:t>
            </w:r>
          </w:p>
        </w:tc>
        <w:tc>
          <w:tcPr>
            <w:tcW w:w="156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9680" w:type="dxa"/>
            <w:vAlign w:val="bottom"/>
            <w:tcBorders>
              <w:bottom w:val="single" w:sz="8" w:color="CCEEFF"/>
            </w:tcBorders>
            <w:vMerge w:val="continue"/>
            <w:shd w:val="clear" w:color="auto" w:fill="CCEEFF"/>
          </w:tcPr>
          <w:p>
            <w:pPr>
              <w:spacing w:after="0"/>
              <w:rPr>
                <w:sz w:val="5"/>
                <w:szCs w:val="5"/>
                <w:color w:val="auto"/>
              </w:rPr>
            </w:pPr>
          </w:p>
        </w:tc>
        <w:tc>
          <w:tcPr>
            <w:tcW w:w="1560" w:type="dxa"/>
            <w:vAlign w:val="bottom"/>
            <w:tcBorders>
              <w:bottom w:val="single" w:sz="8" w:color="auto"/>
            </w:tcBorders>
            <w:shd w:val="clear" w:color="auto" w:fill="CCEEFF"/>
          </w:tcPr>
          <w:p>
            <w:pPr>
              <w:jc w:val="right"/>
              <w:ind w:right="13"/>
              <w:spacing w:after="0" w:line="68" w:lineRule="exact"/>
              <w:rPr>
                <w:sz w:val="20"/>
                <w:szCs w:val="20"/>
                <w:color w:val="auto"/>
              </w:rPr>
            </w:pPr>
            <w:r>
              <w:rPr>
                <w:rFonts w:ascii="Arial" w:cs="Arial" w:eastAsia="Arial" w:hAnsi="Arial"/>
                <w:sz w:val="7"/>
                <w:szCs w:val="7"/>
                <w:color w:val="auto"/>
              </w:rPr>
              <w:t>(546</w:t>
            </w:r>
          </w:p>
        </w:tc>
        <w:tc>
          <w:tcPr>
            <w:tcW w:w="0" w:type="dxa"/>
            <w:vAlign w:val="bottom"/>
          </w:tcPr>
          <w:p>
            <w:pPr>
              <w:spacing w:after="0"/>
              <w:rPr>
                <w:sz w:val="1"/>
                <w:szCs w:val="1"/>
                <w:color w:val="auto"/>
              </w:rPr>
            </w:pPr>
          </w:p>
        </w:tc>
      </w:tr>
      <w:tr>
        <w:trPr>
          <w:trHeight w:val="210"/>
        </w:trPr>
        <w:tc>
          <w:tcPr>
            <w:tcW w:w="9680" w:type="dxa"/>
            <w:vAlign w:val="bottom"/>
          </w:tcPr>
          <w:p>
            <w:pPr>
              <w:spacing w:after="0"/>
              <w:rPr>
                <w:sz w:val="20"/>
                <w:szCs w:val="20"/>
                <w:color w:val="auto"/>
              </w:rPr>
            </w:pPr>
            <w:r>
              <w:rPr>
                <w:rFonts w:ascii="Arial" w:cs="Arial" w:eastAsia="Arial" w:hAnsi="Arial"/>
                <w:sz w:val="18"/>
                <w:szCs w:val="18"/>
                <w:b w:val="1"/>
                <w:bCs w:val="1"/>
                <w:color w:val="auto"/>
              </w:rPr>
              <w:t>Proved undeveloped reserves at December 31, 2020</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12,233</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Extensions and discoveries</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26,806</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Sales of minerals-in-place</w:t>
            </w:r>
          </w:p>
        </w:tc>
        <w:tc>
          <w:tcPr>
            <w:tcW w:w="156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Conversions into proved developed reserves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Revisions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Proved undeveloped reserves at December 31, 2021</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35,628</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Extensions and discoveries</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37,394</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Purchases of minerals-in-place</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Conversions into proved developed reserves</w:t>
            </w:r>
          </w:p>
        </w:tc>
        <w:tc>
          <w:tcPr>
            <w:tcW w:w="1560" w:type="dxa"/>
            <w:vAlign w:val="bottom"/>
          </w:tcPr>
          <w:p>
            <w:pPr>
              <w:jc w:val="right"/>
              <w:spacing w:after="0"/>
              <w:rPr>
                <w:sz w:val="20"/>
                <w:szCs w:val="20"/>
                <w:color w:val="auto"/>
              </w:rPr>
            </w:pPr>
            <w:r>
              <w:rPr>
                <w:rFonts w:ascii="Arial" w:cs="Arial" w:eastAsia="Arial" w:hAnsi="Arial"/>
                <w:sz w:val="18"/>
                <w:szCs w:val="18"/>
                <w:color w:val="auto"/>
              </w:rPr>
              <w:t>(15,446)</w:t>
            </w:r>
          </w:p>
        </w:tc>
        <w:tc>
          <w:tcPr>
            <w:tcW w:w="0" w:type="dxa"/>
            <w:vAlign w:val="bottom"/>
          </w:tcPr>
          <w:p>
            <w:pPr>
              <w:spacing w:after="0"/>
              <w:rPr>
                <w:sz w:val="1"/>
                <w:szCs w:val="1"/>
                <w:color w:val="auto"/>
              </w:rPr>
            </w:pP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Revisions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50"/>
        </w:trPr>
        <w:tc>
          <w:tcPr>
            <w:tcW w:w="9680" w:type="dxa"/>
            <w:vAlign w:val="bottom"/>
          </w:tcPr>
          <w:p>
            <w:pPr>
              <w:spacing w:after="0"/>
              <w:rPr>
                <w:sz w:val="20"/>
                <w:szCs w:val="20"/>
                <w:color w:val="auto"/>
              </w:rPr>
            </w:pPr>
            <w:r>
              <w:rPr>
                <w:rFonts w:ascii="Arial" w:cs="Arial" w:eastAsia="Arial" w:hAnsi="Arial"/>
                <w:sz w:val="18"/>
                <w:szCs w:val="18"/>
                <w:b w:val="1"/>
                <w:bCs w:val="1"/>
                <w:color w:val="auto"/>
              </w:rPr>
              <w:t>Proved undeveloped reserves at December 31, 2022</w:t>
            </w: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61,700</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changes in proved undeveloped reserves of the Predecessor during the period from January 1, 2020 through August 21, 2020 (the “Predecessor Period”):</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Proved undeveloped reserves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Conversions into proved developed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Revisions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Proved undeveloped reserves at August 21, 2020</w:t>
      </w:r>
    </w:p>
    <w:p>
      <w:pPr>
        <w:spacing w:after="0" w:line="229" w:lineRule="exact"/>
        <w:rPr>
          <w:sz w:val="20"/>
          <w:szCs w:val="20"/>
          <w:color w:val="auto"/>
        </w:rPr>
      </w:pPr>
    </w:p>
    <w:p>
      <w:pPr>
        <w:jc w:val="right"/>
        <w:ind w:right="34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17145</wp:posOffset>
            </wp:positionV>
            <wp:extent cx="9861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(MBoe)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17145</wp:posOffset>
            </wp:positionV>
            <wp:extent cx="9861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6,534</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(529)</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(241)</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5,764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14605</wp:posOffset>
            </wp:positionV>
            <wp:extent cx="986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31750</wp:posOffset>
            </wp:positionV>
            <wp:extent cx="9861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ectPr>
          <w:pgSz w:w="11900" w:h="16838" w:orient="portrait"/>
          <w:cols w:equalWidth="0" w:num="2">
            <w:col w:w="9180" w:space="720"/>
            <w:col w:w="1340"/>
          </w:cols>
          <w:pgMar w:left="320" w:top="584" w:right="339" w:bottom="1440" w:gutter="0" w:footer="0" w:header="0"/>
          <w:type w:val="continuous"/>
        </w:sectPr>
      </w:pPr>
    </w:p>
    <w:bookmarkStart w:id="13" w:name="page14"/>
    <w:bookmarkEnd w:id="13"/>
    <w:p>
      <w:pPr>
        <w:ind w:right="20"/>
        <w:spacing w:after="0" w:line="255" w:lineRule="auto"/>
        <w:rPr>
          <w:sz w:val="20"/>
          <w:szCs w:val="20"/>
          <w:color w:val="auto"/>
        </w:rPr>
      </w:pPr>
      <w:r>
        <w:rPr>
          <w:rFonts w:ascii="Arial" w:cs="Arial" w:eastAsia="Arial" w:hAnsi="Arial"/>
          <w:sz w:val="18"/>
          <w:szCs w:val="18"/>
          <w:color w:val="auto"/>
        </w:rPr>
        <w:t>As of December 31, 2022, HighPeak Energy’s assets contained approximately 61,700 MBoe of proved undeveloped reserves, consisting of 50,971 MBbl of crude oil, 6,401 MBbl of NGL and 25,969 MMcf of natural gas. As of December 31, 2021, HighPeak Energy’s assets contained approximately 35,628 MBoe of proved undeveloped reserves, consisting of 29,215 MBbl of crude oil, 3,838 MBbl of NGL and 15,450 MMcf of natural gas. As of December 31, 2020, HighPeak Energy’s assets contained approximately 12,233 MBoe of proved undeveloped reserves, consisting of 10,302 MBbl of crude oil, 1,203 MBbl of NGL and 4,367 MMcf of natural gas. Proved undeveloped reserves will be converted from undeveloped to developed as we drill and complete each location and the wells begin production.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Proved undeveloped reserves changed during the year ended December 31, 2022 primarily as a result of the following significant factors:</w:t>
      </w:r>
    </w:p>
    <w:p>
      <w:pPr>
        <w:spacing w:after="0" w:line="225" w:lineRule="exact"/>
        <w:rPr>
          <w:sz w:val="20"/>
          <w:szCs w:val="20"/>
          <w:color w:val="auto"/>
        </w:rPr>
      </w:pPr>
    </w:p>
    <w:p>
      <w:pPr>
        <w:ind w:left="660" w:right="70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Extensions and discoveries of 37,394 MBoe related to new proved undeveloped locations added as a result of HighPeak Energy’s drilling activities;</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Purchases of minerals-in-place of 7,302 MBoe related to the acquisition of undeveloped drilling locations included in the Alamo Acquisitions and the Hannathon Acquisition;</w:t>
      </w:r>
    </w:p>
    <w:p>
      <w:pPr>
        <w:ind w:left="660" w:right="38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Conversions into proved developed reserves of 15,446 MBoe related to locations that were successfully drilled and completed during the year ended December 31, 2022; and</w:t>
      </w:r>
    </w:p>
    <w:p>
      <w:pPr>
        <w:ind w:left="660" w:right="12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Downward revisions of 3,178 MBoe including downward adjustments of 3,636 MBoe related to forecasts and 38 MBoe primarily related to increased forecasted operating expenses, partially offset by an increase of 496 MBoe attributable to an increase in crude oil, NGL and natural gas prices.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Proved undeveloped reserves changed during the year ended December 31, 2021 primarily as a result of the following significant factors:</w:t>
      </w:r>
    </w:p>
    <w:p>
      <w:pPr>
        <w:spacing w:after="0" w:line="225" w:lineRule="exact"/>
        <w:rPr>
          <w:sz w:val="20"/>
          <w:szCs w:val="20"/>
          <w:color w:val="auto"/>
        </w:rPr>
      </w:pPr>
    </w:p>
    <w:p>
      <w:pPr>
        <w:ind w:left="660" w:right="70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Extensions and discoveries of 26,806 MBoe related to new proved undeveloped locations added as a result of HighPeak Energy’s drilling activities;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Sales of minerals-in-place of 184 MBoe related to the divestiture of non-operated non-core undeveloped drilling locations to a third party operator;</w:t>
      </w:r>
    </w:p>
    <w:p>
      <w:pPr>
        <w:spacing w:after="0" w:line="44" w:lineRule="exact"/>
        <w:rPr>
          <w:rFonts w:ascii="Arial" w:cs="Arial" w:eastAsia="Arial" w:hAnsi="Arial"/>
          <w:sz w:val="16"/>
          <w:szCs w:val="16"/>
          <w:color w:val="auto"/>
        </w:rPr>
      </w:pPr>
    </w:p>
    <w:p>
      <w:pPr>
        <w:ind w:left="660" w:right="4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Conversions into proved developed reserves of 3,186 MBoe related to locations that were successfully drilled and completed during the year ended December 31, 2021; and</w:t>
      </w:r>
    </w:p>
    <w:p>
      <w:pPr>
        <w:spacing w:after="0" w:line="1" w:lineRule="exact"/>
        <w:rPr>
          <w:rFonts w:ascii="Arial" w:cs="Arial" w:eastAsia="Arial" w:hAnsi="Arial"/>
          <w:sz w:val="18"/>
          <w:szCs w:val="18"/>
          <w:color w:val="auto"/>
        </w:rPr>
      </w:pPr>
    </w:p>
    <w:p>
      <w:pPr>
        <w:ind w:left="660" w:right="160" w:hanging="328"/>
        <w:spacing w:after="0" w:line="323"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Downward revisions of 41 MBoe including downward adjustments of 350 MBoe related to forecasts and 32 MBoe primarily related to increased forecasted operating expenses, partially offset by an increase of 341 MBoe attributable to an increase in crude oil, NGL and natural gas prices.</w:t>
      </w:r>
    </w:p>
    <w:p>
      <w:pPr>
        <w:spacing w:after="0" w:line="1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Proved undeveloped reserves changed during the Successor Period from August 22, 2020 through December 31, 2020 primarily as a result of the following significant factors:</w:t>
      </w:r>
    </w:p>
    <w:p>
      <w:pPr>
        <w:spacing w:after="0" w:line="170" w:lineRule="exact"/>
        <w:rPr>
          <w:sz w:val="20"/>
          <w:szCs w:val="20"/>
          <w:color w:val="auto"/>
        </w:rPr>
      </w:pPr>
    </w:p>
    <w:p>
      <w:pPr>
        <w:ind w:left="660" w:right="4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Extensions and discoveries of 7,015 MBoe related to new proved undeveloped locations added as a result of HighPeak Energy’s drilling activities; and</w:t>
      </w:r>
    </w:p>
    <w:p>
      <w:pPr>
        <w:spacing w:after="0" w:line="1" w:lineRule="exact"/>
        <w:rPr>
          <w:rFonts w:ascii="Arial" w:cs="Arial" w:eastAsia="Arial" w:hAnsi="Arial"/>
          <w:sz w:val="18"/>
          <w:szCs w:val="18"/>
          <w:color w:val="auto"/>
        </w:rPr>
      </w:pPr>
    </w:p>
    <w:p>
      <w:pPr>
        <w:ind w:left="660" w:right="4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Downward revisions of 546 MBoe including 409 MBoe related to proved undeveloped locations that were removed from the development plan due to the Company’s election not to renew certain leases, 102 MBoe related to adjustments to forecasts and 35 MBoe attributable to a decrease in crude oil, NGL and natural gas prices.</w:t>
      </w:r>
    </w:p>
    <w:p>
      <w:pPr>
        <w:spacing w:after="0" w:line="19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Proved undeveloped reserves changed during the Predecessor Period from January 1, 2020 to August 21, 2020 primarily as a result of the following significant factors:</w:t>
      </w:r>
    </w:p>
    <w:p>
      <w:pPr>
        <w:spacing w:after="0" w:line="170" w:lineRule="exact"/>
        <w:rPr>
          <w:sz w:val="20"/>
          <w:szCs w:val="20"/>
          <w:color w:val="auto"/>
        </w:rPr>
      </w:pPr>
    </w:p>
    <w:p>
      <w:pPr>
        <w:ind w:left="660" w:right="300" w:hanging="328"/>
        <w:spacing w:after="0" w:line="29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Conversions into proved developed reserves of 529 MBoe as a result of the Company’s ongoing drilling program in early 2020 and prior to the Company shutting down its drilling program late in the first quarter of 2020 due to COVID-19 and the downturn in crude oil prices; and</w:t>
      </w:r>
    </w:p>
    <w:p>
      <w:pPr>
        <w:ind w:left="660" w:right="360" w:hanging="328"/>
        <w:spacing w:after="0" w:line="26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Downward revisions of 241 MBoe including 181 MBoe resulting from adjustments to our forecasts and 60 MBoe resulting from a decrease in crude oil, NGL and natural gas prices.</w:t>
      </w:r>
    </w:p>
    <w:p>
      <w:pPr>
        <w:spacing w:after="0" w:line="18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Historically, the Company invested a significant amount of its capital budget to drill unproved locations rather than convert proved undeveloped reserves to proved developed reserves. However, in the year ended December 31, 2022, $391.3 million of development capital expenditures were incurred primarily to convert proved undeveloped reserves to proved developed reserves, compared with $45.9 million in development capital expenditures in the year ended December 31, 2021. Also, a portion of the Company’s development capital expenditures each year was for the continued development of a water infrastructure system and the drilling of salt-water disposal wells to facilitate the Company’s increased levels of produced water, reduce its future water sourcing costs by recycling produced water and reduce the use of trucking for its produced water disposal activities as well as the continued construction of central tank batteries for handling of the Company’s increasing production volumes.</w:t>
      </w:r>
    </w:p>
    <w:p>
      <w:pPr>
        <w:spacing w:after="0" w:line="17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As of December 31, 2022, all our proved undeveloped reserves are scheduled to be developed within five years from the date they were initially recorded.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PV-10</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PV-10 is a non-GAAP financial measure and differs from the standardized measure of discounted future net cash flows, which is the most directly comparable GAAP financial measure. We refer to PV-10 as the present value of estimated future net cash flows of estimated proved reserves using a discount rate of 10%. This amount includes projected revenues, estimated production costs, estimated future development costs and estimated cash flows related to future asset retirement obligations.</w:t>
      </w:r>
    </w:p>
    <w:p>
      <w:pPr>
        <w:spacing w:after="0" w:line="18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Unlike PV-10, the standardized measure deducts future U.S. federal income taxes and Texas margin taxes and abandonment obligations on wells with no proved reserves as of December 31, 2022, 2021 and 2020, respectively. Neither PV-10 nor standardized measure represents an estimate of the fair market value of the applicable crude oil and natural gas properties. It is industry standard to use PV-10 as a measure to compare the relative size and value of proved reserves held by companies without regard to the specific tax characteristics of such entities.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undiscounted estimated future net cash flows, PV-10 and standardized measure of the proved reserves of the Company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2021 and 2020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Proved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Proved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 2022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Developed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Undeveloped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b w:val="1"/>
                <w:bCs w:val="1"/>
                <w:color w:val="auto"/>
                <w:w w:val="97"/>
              </w:rPr>
              <w:t>Total Proved</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Estimated future net cash flows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3,729,169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3,160,098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6,889,267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Present value of estimated future net cash flows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2,319,958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1,552,087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3,872,045</w:t>
            </w:r>
          </w:p>
        </w:tc>
        <w:tc>
          <w:tcPr>
            <w:tcW w:w="0" w:type="dxa"/>
            <w:vAlign w:val="bottom"/>
          </w:tcPr>
          <w:p>
            <w:pPr>
              <w:spacing w:after="0"/>
              <w:rPr>
                <w:sz w:val="1"/>
                <w:szCs w:val="1"/>
                <w:color w:val="auto"/>
              </w:rPr>
            </w:pPr>
          </w:p>
        </w:tc>
      </w:tr>
      <w:tr>
        <w:trPr>
          <w:trHeight w:val="162"/>
        </w:trPr>
        <w:tc>
          <w:tcPr>
            <w:tcW w:w="5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Present value of future income taxes/abandonment costs</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55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4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4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420" w:type="dxa"/>
            <w:vAlign w:val="bottom"/>
            <w:tcBorders>
              <w:bottom w:val="single" w:sz="8" w:color="auto"/>
            </w:tcBorders>
            <w:shd w:val="clear" w:color="auto" w:fill="CCEEFF"/>
          </w:tcPr>
          <w:p>
            <w:pPr>
              <w:jc w:val="right"/>
              <w:ind w:right="19"/>
              <w:spacing w:after="0" w:line="68" w:lineRule="exact"/>
              <w:rPr>
                <w:sz w:val="20"/>
                <w:szCs w:val="20"/>
                <w:color w:val="auto"/>
              </w:rPr>
            </w:pPr>
            <w:r>
              <w:rPr>
                <w:rFonts w:ascii="Arial" w:cs="Arial" w:eastAsia="Arial" w:hAnsi="Arial"/>
                <w:sz w:val="7"/>
                <w:szCs w:val="7"/>
                <w:color w:val="auto"/>
              </w:rPr>
              <w:t>(455,537</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Standardized measure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3,416,508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Proved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Proved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 2021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Developed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Undeveloped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b w:val="1"/>
                <w:bCs w:val="1"/>
                <w:color w:val="auto"/>
                <w:w w:val="97"/>
              </w:rPr>
              <w:t>Total Proved</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Estimated future net cash flows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1,178,041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1,236,250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2,414,291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Present value of estimated future net cash flows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742,037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596,156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1,338,193</w:t>
            </w:r>
          </w:p>
        </w:tc>
        <w:tc>
          <w:tcPr>
            <w:tcW w:w="0" w:type="dxa"/>
            <w:vAlign w:val="bottom"/>
          </w:tcPr>
          <w:p>
            <w:pPr>
              <w:spacing w:after="0"/>
              <w:rPr>
                <w:sz w:val="1"/>
                <w:szCs w:val="1"/>
                <w:color w:val="auto"/>
              </w:rPr>
            </w:pPr>
          </w:p>
        </w:tc>
      </w:tr>
      <w:tr>
        <w:trPr>
          <w:trHeight w:val="162"/>
        </w:trPr>
        <w:tc>
          <w:tcPr>
            <w:tcW w:w="5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Present value of future income taxes/abandonment costs</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55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4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4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420" w:type="dxa"/>
            <w:vAlign w:val="bottom"/>
            <w:tcBorders>
              <w:bottom w:val="single" w:sz="8" w:color="auto"/>
            </w:tcBorders>
            <w:shd w:val="clear" w:color="auto" w:fill="CCEEFF"/>
          </w:tcPr>
          <w:p>
            <w:pPr>
              <w:jc w:val="right"/>
              <w:ind w:right="19"/>
              <w:spacing w:after="0" w:line="68" w:lineRule="exact"/>
              <w:rPr>
                <w:sz w:val="20"/>
                <w:szCs w:val="20"/>
                <w:color w:val="auto"/>
              </w:rPr>
            </w:pPr>
            <w:r>
              <w:rPr>
                <w:rFonts w:ascii="Arial" w:cs="Arial" w:eastAsia="Arial" w:hAnsi="Arial"/>
                <w:sz w:val="7"/>
                <w:szCs w:val="7"/>
                <w:color w:val="auto"/>
              </w:rPr>
              <w:t>(219,384</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8"/>
                <w:szCs w:val="18"/>
                <w:color w:val="auto"/>
              </w:rPr>
              <w:t>Standardized measure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1,118,809</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Proved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Proved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 2020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Developed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Undeveloped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b w:val="1"/>
                <w:bCs w:val="1"/>
                <w:color w:val="auto"/>
                <w:w w:val="97"/>
              </w:rPr>
              <w:t>Total Proved</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Estimated future net cash flows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229,599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177,896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407,495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Present value of estimated future net cash flows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162,582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72,908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235,490</w:t>
            </w:r>
          </w:p>
        </w:tc>
        <w:tc>
          <w:tcPr>
            <w:tcW w:w="0" w:type="dxa"/>
            <w:vAlign w:val="bottom"/>
          </w:tcPr>
          <w:p>
            <w:pPr>
              <w:spacing w:after="0"/>
              <w:rPr>
                <w:sz w:val="1"/>
                <w:szCs w:val="1"/>
                <w:color w:val="auto"/>
              </w:rPr>
            </w:pPr>
          </w:p>
        </w:tc>
      </w:tr>
      <w:tr>
        <w:trPr>
          <w:trHeight w:val="162"/>
        </w:trPr>
        <w:tc>
          <w:tcPr>
            <w:tcW w:w="5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Present value of future income taxes/abandonment costs</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55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4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4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420" w:type="dxa"/>
            <w:vAlign w:val="bottom"/>
            <w:tcBorders>
              <w:bottom w:val="single" w:sz="8" w:color="auto"/>
            </w:tcBorders>
            <w:shd w:val="clear" w:color="auto" w:fill="CCEEFF"/>
          </w:tcPr>
          <w:p>
            <w:pPr>
              <w:jc w:val="right"/>
              <w:ind w:right="19"/>
              <w:spacing w:after="0" w:line="68" w:lineRule="exact"/>
              <w:rPr>
                <w:sz w:val="20"/>
                <w:szCs w:val="20"/>
                <w:color w:val="auto"/>
              </w:rPr>
            </w:pPr>
            <w:r>
              <w:rPr>
                <w:rFonts w:ascii="Arial" w:cs="Arial" w:eastAsia="Arial" w:hAnsi="Arial"/>
                <w:sz w:val="7"/>
                <w:szCs w:val="7"/>
                <w:color w:val="auto"/>
              </w:rPr>
              <w:t>(13,298</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Arial" w:cs="Arial" w:eastAsia="Arial" w:hAnsi="Arial"/>
                <w:sz w:val="18"/>
                <w:szCs w:val="18"/>
                <w:color w:val="auto"/>
              </w:rPr>
              <w:t>Standardized measure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222,192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Estimated future net cash flows represents the estimated future revenue to be generated from the production of proved reserves, net of estimated production and future development costs, using pricing differentials and costs under existing economic conditions as of December 31, 2022, 2021 and 2020, and assuming commodity prices as set forth below. For the purpose of determining prices used in our reserve reports, in accordance with SEC guidelines, CG&amp;A uses the unweighted arithmetic average of the prices on the first day of each month in the 12-month period ended December 31, 2022, 2021 and 2020. These prices were $93.67, $66.56 and $39.57 per Bbl for crude oil and $6.358, $3.598 and $1.985 per MMBtu for natural gas, respectively, before adjustment for energy content, gathering, transportation and processing fees and basis differential adjustments. The average adjusted prices realized over the remaining lives of the Company’s assets by CG&amp;A were $94.59, $66.10 and $38.08 per barrel of crude oil, $36.69, $29.76 and $12.27 per barrel of NGL and $4.871, $0.786 and -$1.304 per Mcf of natural gas as of December 31, 2022, 2021 and 2020, respectively. These prices should not be interpreted as a prediction of future prices. The amounts shown do not give effect to non-property-related expenses, such as corporate general and administrative expenses and debt service, or to DD&amp;A.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Revenue and Price History</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a description of historical production, revenues, average sales prices and unit costs of the Company, see “Item 7. Management’s Discussion and Analysis of Financial Condition and Results of Operations – Results of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5" w:name="page16"/>
    <w:bookmarkEnd w:id="15"/>
    <w:p>
      <w:pPr>
        <w:ind w:right="60"/>
        <w:spacing w:after="0" w:line="277" w:lineRule="auto"/>
        <w:rPr>
          <w:sz w:val="20"/>
          <w:szCs w:val="20"/>
          <w:color w:val="auto"/>
        </w:rPr>
      </w:pPr>
      <w:r>
        <w:rPr>
          <w:rFonts w:ascii="Arial" w:cs="Arial" w:eastAsia="Arial" w:hAnsi="Arial"/>
          <w:sz w:val="18"/>
          <w:szCs w:val="18"/>
          <w:color w:val="auto"/>
        </w:rPr>
        <w:t>The following tables summarize the average net sales volumes, average unhedged sales prices by product and lease operating expenses of the Company for the years ended December 31, 2022, 2021 and 2020:</w:t>
      </w:r>
    </w:p>
    <w:p>
      <w:pPr>
        <w:spacing w:after="0" w:line="166"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Year Ended December 31,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00" w:type="dxa"/>
            <w:vAlign w:val="bottom"/>
          </w:tcPr>
          <w:p>
            <w:pPr>
              <w:spacing w:after="0"/>
              <w:rPr>
                <w:sz w:val="18"/>
                <w:szCs w:val="18"/>
                <w:color w:val="auto"/>
              </w:rPr>
            </w:pPr>
          </w:p>
        </w:tc>
        <w:tc>
          <w:tcPr>
            <w:tcW w:w="1960" w:type="dxa"/>
            <w:vAlign w:val="bottom"/>
            <w:tcBorders>
              <w:top w:val="single" w:sz="8" w:color="auto"/>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Crude Oil</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NGL</w:t>
            </w:r>
          </w:p>
        </w:tc>
        <w:tc>
          <w:tcPr>
            <w:tcW w:w="7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100" w:type="dxa"/>
            <w:vAlign w:val="bottom"/>
            <w:tcBorders>
              <w:top w:val="single" w:sz="8" w:color="auto"/>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Natural Gas</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vMerge w:val="restart"/>
          </w:tcPr>
          <w:p>
            <w:pPr>
              <w:jc w:val="center"/>
              <w:ind w:right="130"/>
              <w:spacing w:after="0"/>
              <w:rPr>
                <w:sz w:val="20"/>
                <w:szCs w:val="20"/>
                <w:color w:val="auto"/>
              </w:rPr>
            </w:pPr>
            <w:r>
              <w:rPr>
                <w:rFonts w:ascii="Arial" w:cs="Arial" w:eastAsia="Arial" w:hAnsi="Arial"/>
                <w:sz w:val="18"/>
                <w:szCs w:val="18"/>
                <w:b w:val="1"/>
                <w:bCs w:val="1"/>
                <w:color w:val="auto"/>
                <w:w w:val="86"/>
              </w:rPr>
              <w:t>Lease</w:t>
            </w: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0"/>
              <w:spacing w:after="0" w:line="191" w:lineRule="exact"/>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0"/>
              <w:spacing w:after="0" w:line="191" w:lineRule="exact"/>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13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13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80"/>
              </w:rPr>
              <w:t>Sales</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Sales</w:t>
            </w:r>
          </w:p>
        </w:tc>
        <w:tc>
          <w:tcPr>
            <w:tcW w:w="100" w:type="dxa"/>
            <w:vAlign w:val="bottom"/>
          </w:tcPr>
          <w:p>
            <w:pPr>
              <w:spacing w:after="0"/>
              <w:rPr>
                <w:sz w:val="18"/>
                <w:szCs w:val="18"/>
                <w:color w:val="auto"/>
              </w:rPr>
            </w:pPr>
          </w:p>
        </w:tc>
        <w:tc>
          <w:tcPr>
            <w:tcW w:w="10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1"/>
              </w:rPr>
              <w:t>Operating</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Volumes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Volumes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Volumes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Volumes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6"/>
              </w:rPr>
              <w:t>Expense</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(MBbl)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($/Bbl)</w:t>
            </w:r>
          </w:p>
        </w:tc>
        <w:tc>
          <w:tcPr>
            <w:tcW w:w="1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(MBbl)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($/Bbl)</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rPr>
              <w:t>(MMcf)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($/Mcf)</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(MBoe)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($/Boe)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($/Boe)</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7,562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94.61</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35.67</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8,937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2"/>
        </w:trPr>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rPr>
              <w:t>Average net daily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sales volumes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(Boepd)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24,485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w w:val="99"/>
              </w:rPr>
              <w:t>Year Ended December 31, 2021</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19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Crude Oil</w:t>
            </w:r>
          </w:p>
        </w:tc>
        <w:tc>
          <w:tcPr>
            <w:tcW w:w="120" w:type="dxa"/>
            <w:vAlign w:val="bottom"/>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NGL</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Natural Gas</w:t>
            </w:r>
          </w:p>
        </w:tc>
        <w:tc>
          <w:tcPr>
            <w:tcW w:w="100" w:type="dxa"/>
            <w:vAlign w:val="bottom"/>
          </w:tcPr>
          <w:p>
            <w:pPr>
              <w:spacing w:after="0"/>
              <w:rPr>
                <w:sz w:val="18"/>
                <w:szCs w:val="18"/>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6"/>
              </w:rPr>
              <w:t>Lease</w:t>
            </w: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0"/>
              <w:spacing w:after="0" w:line="191" w:lineRule="exact"/>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0"/>
              <w:spacing w:after="0" w:line="191" w:lineRule="exact"/>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13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13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80"/>
              </w:rPr>
              <w:t>Sales</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Sales</w:t>
            </w:r>
          </w:p>
        </w:tc>
        <w:tc>
          <w:tcPr>
            <w:tcW w:w="100" w:type="dxa"/>
            <w:vAlign w:val="bottom"/>
          </w:tcPr>
          <w:p>
            <w:pPr>
              <w:spacing w:after="0"/>
              <w:rPr>
                <w:sz w:val="18"/>
                <w:szCs w:val="18"/>
                <w:color w:val="auto"/>
              </w:rPr>
            </w:pPr>
          </w:p>
        </w:tc>
        <w:tc>
          <w:tcPr>
            <w:tcW w:w="10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1"/>
              </w:rPr>
              <w:t>Operating</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Volumes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Volumes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Volumes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Volumes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6"/>
              </w:rPr>
              <w:t>Expense</w:t>
            </w: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(MBbl)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($/Bbl)</w:t>
            </w:r>
          </w:p>
        </w:tc>
        <w:tc>
          <w:tcPr>
            <w:tcW w:w="1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(MBbl)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($/Bbl)</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rPr>
              <w:t>(MMcf)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($/Mcf)</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(MBoe)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($/Boe)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($/Boe)</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70.10</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35.11</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3,396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2"/>
        </w:trPr>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rPr>
              <w:t>Average net daily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sales volumes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(Boepd)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9,304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w w:val="99"/>
              </w:rPr>
              <w:t>Year Ended December 31, 2020</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19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Crude Oil</w:t>
            </w:r>
          </w:p>
        </w:tc>
        <w:tc>
          <w:tcPr>
            <w:tcW w:w="120" w:type="dxa"/>
            <w:vAlign w:val="bottom"/>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NGL</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Natural Gas</w:t>
            </w:r>
          </w:p>
        </w:tc>
        <w:tc>
          <w:tcPr>
            <w:tcW w:w="100" w:type="dxa"/>
            <w:vAlign w:val="bottom"/>
          </w:tcPr>
          <w:p>
            <w:pPr>
              <w:spacing w:after="0"/>
              <w:rPr>
                <w:sz w:val="18"/>
                <w:szCs w:val="18"/>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6"/>
              </w:rPr>
              <w:t>Lease</w:t>
            </w: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0"/>
              <w:spacing w:after="0" w:line="191" w:lineRule="exact"/>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0"/>
              <w:spacing w:after="0" w:line="191" w:lineRule="exact"/>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13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13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80"/>
              </w:rPr>
              <w:t>Sales</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Sales</w:t>
            </w:r>
          </w:p>
        </w:tc>
        <w:tc>
          <w:tcPr>
            <w:tcW w:w="100" w:type="dxa"/>
            <w:vAlign w:val="bottom"/>
          </w:tcPr>
          <w:p>
            <w:pPr>
              <w:spacing w:after="0"/>
              <w:rPr>
                <w:sz w:val="18"/>
                <w:szCs w:val="18"/>
                <w:color w:val="auto"/>
              </w:rPr>
            </w:pPr>
          </w:p>
        </w:tc>
        <w:tc>
          <w:tcPr>
            <w:tcW w:w="10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1"/>
              </w:rPr>
              <w:t>Operating</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Volumes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Volumes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Volumes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Volumes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6"/>
              </w:rPr>
              <w:t>Expense</w:t>
            </w: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(MBbl)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($/Bbl)</w:t>
            </w:r>
          </w:p>
        </w:tc>
        <w:tc>
          <w:tcPr>
            <w:tcW w:w="1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(MBbl)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($/Bbl)</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rPr>
              <w:t>(MMcf)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($/Mcf)</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(MBoe)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($/Boe)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($/Boe)</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37.96</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14.06</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02"/>
        </w:trPr>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rPr>
              <w:t>Average net daily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sales volumes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(Boepd)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1,925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Productive Wells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Productive wells consist of producing wells and wells capable of production, including natural gas wells awaiting pipeline connections to commence deliveries and crude oil wells awaiting connection to production facilities. Gross wells are the total number of producing wells in which HighPeak Energy holds an interest, and net wells are the sum of the fractional working interests owned in gross wells. The following table sets forth information relating to the productive wells in which HighPeak Energy holds a working interest as of December 31,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Crude Oil</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ind w:left="240"/>
              <w:spacing w:after="0" w:line="191" w:lineRule="exact"/>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ind w:left="240"/>
              <w:spacing w:after="0" w:line="191" w:lineRule="exact"/>
              <w:rPr>
                <w:sz w:val="20"/>
                <w:szCs w:val="20"/>
                <w:color w:val="auto"/>
              </w:rPr>
            </w:pPr>
            <w:r>
              <w:rPr>
                <w:rFonts w:ascii="Arial" w:cs="Arial" w:eastAsia="Arial" w:hAnsi="Arial"/>
                <w:sz w:val="18"/>
                <w:szCs w:val="18"/>
                <w:b w:val="1"/>
                <w:bCs w:val="1"/>
                <w:color w:val="auto"/>
              </w:rPr>
              <w:t>Average</w:t>
            </w:r>
          </w:p>
        </w:tc>
      </w:tr>
      <w:tr>
        <w:trPr>
          <w:trHeight w:val="216"/>
        </w:trPr>
        <w:tc>
          <w:tcPr>
            <w:tcW w:w="3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ind w:left="220"/>
              <w:spacing w:after="0"/>
              <w:rPr>
                <w:sz w:val="20"/>
                <w:szCs w:val="20"/>
                <w:color w:val="auto"/>
              </w:rPr>
            </w:pPr>
            <w:r>
              <w:rPr>
                <w:rFonts w:ascii="Arial" w:cs="Arial" w:eastAsia="Arial" w:hAnsi="Arial"/>
                <w:sz w:val="18"/>
                <w:szCs w:val="18"/>
                <w:b w:val="1"/>
                <w:bCs w:val="1"/>
                <w:color w:val="auto"/>
              </w:rPr>
              <w:t>Working</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Working</w:t>
            </w:r>
          </w:p>
        </w:tc>
      </w:tr>
      <w:tr>
        <w:trPr>
          <w:trHeight w:val="234"/>
        </w:trPr>
        <w:tc>
          <w:tcPr>
            <w:tcW w:w="3280" w:type="dxa"/>
            <w:vAlign w:val="bottom"/>
          </w:tcPr>
          <w:p>
            <w:pPr>
              <w:spacing w:after="0"/>
              <w:rPr>
                <w:sz w:val="20"/>
                <w:szCs w:val="20"/>
                <w:color w:val="auto"/>
              </w:rPr>
            </w:pPr>
          </w:p>
        </w:tc>
        <w:tc>
          <w:tcPr>
            <w:tcW w:w="8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88"/>
              </w:rPr>
              <w:t>Gross</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2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20"/>
                <w:szCs w:val="20"/>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Interest</w:t>
            </w: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Horizontal:</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Operated</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158</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147.7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tcPr>
          <w:p>
            <w:pPr>
              <w:ind w:left="880"/>
              <w:spacing w:after="0"/>
              <w:rPr>
                <w:sz w:val="20"/>
                <w:szCs w:val="20"/>
                <w:color w:val="auto"/>
              </w:rPr>
            </w:pPr>
            <w:r>
              <w:rPr>
                <w:rFonts w:ascii="Arial" w:cs="Arial" w:eastAsia="Arial" w:hAnsi="Arial"/>
                <w:sz w:val="18"/>
                <w:szCs w:val="18"/>
                <w:color w:val="auto"/>
              </w:rPr>
              <w:t>n/a</w:t>
            </w: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Non-operated</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n/a</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Vertical:</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Operated</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121</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Non-operated</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14.3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tcPr>
          <w:p>
            <w:pPr>
              <w:ind w:left="880"/>
              <w:spacing w:after="0"/>
              <w:rPr>
                <w:sz w:val="20"/>
                <w:szCs w:val="20"/>
                <w:color w:val="auto"/>
              </w:rPr>
            </w:pPr>
            <w:r>
              <w:rPr>
                <w:rFonts w:ascii="Arial" w:cs="Arial" w:eastAsia="Arial" w:hAnsi="Arial"/>
                <w:sz w:val="18"/>
                <w:szCs w:val="18"/>
                <w:color w:val="auto"/>
              </w:rPr>
              <w:t>n/a</w:t>
            </w: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Operated</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279</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265.3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Non-operated</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Acreage</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table sets forth certain information regarding the total developed and undeveloped acreage in which HighPeak Energy holds an interest as of December 31, 2022. Approximately 56% of the net acreage of HighPeak Energy was held by production as of December 31,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Developed Acres(1)(4)</w:t>
            </w:r>
          </w:p>
        </w:tc>
        <w:tc>
          <w:tcPr>
            <w:tcW w:w="120" w:type="dxa"/>
            <w:vAlign w:val="bottom"/>
          </w:tcPr>
          <w:p>
            <w:pPr>
              <w:spacing w:after="0"/>
              <w:rPr>
                <w:sz w:val="20"/>
                <w:szCs w:val="20"/>
                <w:color w:val="auto"/>
              </w:rPr>
            </w:pPr>
          </w:p>
        </w:tc>
        <w:tc>
          <w:tcPr>
            <w:tcW w:w="348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Undeveloped Acres(4)</w:t>
            </w:r>
          </w:p>
        </w:tc>
        <w:tc>
          <w:tcPr>
            <w:tcW w:w="120" w:type="dxa"/>
            <w:vAlign w:val="bottom"/>
          </w:tcPr>
          <w:p>
            <w:pPr>
              <w:spacing w:after="0"/>
              <w:rPr>
                <w:sz w:val="20"/>
                <w:szCs w:val="20"/>
                <w:color w:val="auto"/>
              </w:rPr>
            </w:pPr>
          </w:p>
        </w:tc>
        <w:tc>
          <w:tcPr>
            <w:tcW w:w="218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w w:val="87"/>
              </w:rPr>
              <w:t>Total Acres</w:t>
            </w:r>
          </w:p>
        </w:tc>
        <w:tc>
          <w:tcPr>
            <w:tcW w:w="1440" w:type="dxa"/>
            <w:vAlign w:val="bottom"/>
            <w:tcBorders>
              <w:bottom w:val="single" w:sz="8" w:color="auto"/>
            </w:tcBorders>
          </w:tcPr>
          <w:p>
            <w:pPr>
              <w:spacing w:after="0"/>
              <w:rPr>
                <w:sz w:val="20"/>
                <w:szCs w:val="20"/>
                <w:color w:val="auto"/>
              </w:rPr>
            </w:pPr>
          </w:p>
        </w:tc>
      </w:tr>
      <w:tr>
        <w:trPr>
          <w:trHeight w:val="210"/>
        </w:trPr>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Gross Acres(2)</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Net Acres(3)</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Gross Acres(2)</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Net Acres(3)</w:t>
            </w:r>
          </w:p>
        </w:tc>
        <w:tc>
          <w:tcPr>
            <w:tcW w:w="120" w:type="dxa"/>
            <w:vAlign w:val="bottom"/>
          </w:tcPr>
          <w:p>
            <w:pPr>
              <w:spacing w:after="0"/>
              <w:rPr>
                <w:sz w:val="18"/>
                <w:szCs w:val="18"/>
                <w:color w:val="auto"/>
              </w:rPr>
            </w:pPr>
          </w:p>
        </w:tc>
        <w:tc>
          <w:tcPr>
            <w:tcW w:w="1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Gross Acres(2)</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0"/>
              </w:rPr>
              <w:t>Net Acres(3)</w:t>
            </w:r>
          </w:p>
        </w:tc>
      </w:tr>
      <w:tr>
        <w:trPr>
          <w:trHeight w:val="209"/>
        </w:trPr>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62,931</w:t>
            </w:r>
          </w:p>
        </w:tc>
        <w:tc>
          <w:tcPr>
            <w:tcW w:w="1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57,146</w:t>
            </w:r>
          </w:p>
        </w:tc>
        <w:tc>
          <w:tcPr>
            <w:tcW w:w="1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62,799</w:t>
            </w:r>
          </w:p>
        </w:tc>
        <w:tc>
          <w:tcPr>
            <w:tcW w:w="1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50,558</w:t>
            </w:r>
          </w:p>
        </w:tc>
        <w:tc>
          <w:tcPr>
            <w:tcW w:w="1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125,730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107,704</w:t>
            </w:r>
          </w:p>
        </w:tc>
      </w:tr>
    </w:tbl>
    <w:p>
      <w:pPr>
        <w:spacing w:after="0" w:line="20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Developed acres are acres spaced or assigned to productive wells or wells capable of production.</w:t>
      </w:r>
    </w:p>
    <w:p>
      <w:pPr>
        <w:spacing w:after="0" w:line="36"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gross acre is an acre in which HighPeak Energy holds a working interest. The number of gross acres is the total number of acres in which HighPeak Energy holds a working interest.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60" w:gutter="0" w:footer="0" w:header="0"/>
        </w:sectPr>
      </w:pPr>
    </w:p>
    <w:bookmarkStart w:id="16" w:name="page17"/>
    <w:bookmarkEnd w:id="16"/>
    <w:p>
      <w:pPr>
        <w:ind w:left="660" w:right="8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acre is deemed to exist when the sum of the fractional ownership working interests in gross acres equals one. The number of net acres is the sum of the fractional working interests owned in gross acres expressed as whole numbers and fractions thereof.</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Minor amounts of our developed and undeveloped acres do not cover all formation depths in underlying acreage.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Undeveloped Acreage Expirations</w:t>
      </w:r>
    </w:p>
    <w:p>
      <w:pPr>
        <w:spacing w:after="0" w:line="22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following table sets forth the number of total net undeveloped acres as of December 31, 2022 across HighPeak Energy’s properties that will expire in 2023, 2024, 2025, 2026, 2027 and thereafter, unless production is established within the spacing units covering the acreage prior to the expiration dates or unless such leasehold rights are extended or renewed.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19,391</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2024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12,082</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12,774</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2026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Thereafter</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3,370</w:t>
            </w:r>
          </w:p>
        </w:tc>
      </w:tr>
      <w:tr>
        <w:trPr>
          <w:trHeight w:val="249"/>
        </w:trPr>
        <w:tc>
          <w:tcPr>
            <w:tcW w:w="96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47,688</w:t>
            </w:r>
          </w:p>
        </w:tc>
      </w:tr>
    </w:tbl>
    <w:p>
      <w:pPr>
        <w:spacing w:after="0" w:line="20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With respect to the 19,391 net acres expiring in 2023 across our properties, HighPeak Energy intends to retain substantially all 19,391 net acres through initiating completion operations of existing wells and the drilling of new wells, with the remaining net acreage being retained either through lease renewals or extensions. HighPeak Energy intends to retain substantially all of its undeveloped acreage through its development plan. Please see “Item 1A. Risk Factors – Risks Related to Our Business – Certain of the undeveloped leasehold acreage of HighPeak Energy’s assets is subject to leases that will expire over the next several years unless production is established on units containing the acreage or the leases are renewed.”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Activities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table describes new development and exploratory/extension wells drilled within the Company’s assets during the years ended December 31, 2022 and 2021 and the period from August 22, 2020 through December 31, 2020 (Successor), and the period from January 1, 2020 through August 22, 2020 (Predecessor). The information should not be indicative of future performance, nor should it be assumed there is necessarily any correlation among the number of productive wells drilled, quantities of reserves found or economic value. As of December 31, 2022 and not included in the following table, were 11 gross (10.7 net) wells in the process of being drilled and 54 gross (46.8 net) wells either waiting on completion or in various stages of completion operations. As of December 31, 2022, HighPeak Energy was running a six-rig program. The Company expects to average four to five (4-5) drilling rigs and two to three (2-3) frac crews during 2023 under our current development plan. Our development program may change based on capital availability and other factors.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220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212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8"/>
                <w:szCs w:val="18"/>
                <w:color w:val="auto"/>
              </w:rPr>
            </w:pPr>
          </w:p>
        </w:tc>
        <w:tc>
          <w:tcPr>
            <w:tcW w:w="210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90"/>
              </w:rPr>
              <w:t>Period from August 22,</w:t>
            </w:r>
          </w:p>
        </w:tc>
        <w:tc>
          <w:tcPr>
            <w:tcW w:w="120" w:type="dxa"/>
            <w:vAlign w:val="bottom"/>
          </w:tcPr>
          <w:p>
            <w:pPr>
              <w:spacing w:after="0"/>
              <w:rPr>
                <w:sz w:val="18"/>
                <w:szCs w:val="18"/>
                <w:color w:val="auto"/>
              </w:rPr>
            </w:pPr>
          </w:p>
        </w:tc>
        <w:tc>
          <w:tcPr>
            <w:tcW w:w="210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92"/>
              </w:rPr>
              <w:t>Period from January 1,</w:t>
            </w:r>
          </w:p>
        </w:tc>
      </w:tr>
      <w:tr>
        <w:trPr>
          <w:trHeight w:val="216"/>
        </w:trPr>
        <w:tc>
          <w:tcPr>
            <w:tcW w:w="2380" w:type="dxa"/>
            <w:vAlign w:val="bottom"/>
          </w:tcPr>
          <w:p>
            <w:pPr>
              <w:spacing w:after="0"/>
              <w:rPr>
                <w:sz w:val="18"/>
                <w:szCs w:val="18"/>
                <w:color w:val="auto"/>
              </w:rPr>
            </w:pPr>
          </w:p>
        </w:tc>
        <w:tc>
          <w:tcPr>
            <w:tcW w:w="220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0"/>
              </w:rPr>
              <w:t>December 31, 2022</w:t>
            </w:r>
          </w:p>
        </w:tc>
        <w:tc>
          <w:tcPr>
            <w:tcW w:w="120" w:type="dxa"/>
            <w:vAlign w:val="bottom"/>
          </w:tcPr>
          <w:p>
            <w:pPr>
              <w:spacing w:after="0"/>
              <w:rPr>
                <w:sz w:val="18"/>
                <w:szCs w:val="18"/>
                <w:color w:val="auto"/>
              </w:rPr>
            </w:pPr>
          </w:p>
        </w:tc>
        <w:tc>
          <w:tcPr>
            <w:tcW w:w="212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90"/>
              </w:rPr>
              <w:t>December 31, 2021</w:t>
            </w:r>
          </w:p>
        </w:tc>
        <w:tc>
          <w:tcPr>
            <w:tcW w:w="100" w:type="dxa"/>
            <w:vAlign w:val="bottom"/>
          </w:tcPr>
          <w:p>
            <w:pPr>
              <w:spacing w:after="0"/>
              <w:rPr>
                <w:sz w:val="18"/>
                <w:szCs w:val="18"/>
                <w:color w:val="auto"/>
              </w:rPr>
            </w:pPr>
          </w:p>
        </w:tc>
        <w:tc>
          <w:tcPr>
            <w:tcW w:w="210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89"/>
              </w:rPr>
              <w:t>2020 through December</w:t>
            </w:r>
          </w:p>
        </w:tc>
        <w:tc>
          <w:tcPr>
            <w:tcW w:w="120" w:type="dxa"/>
            <w:vAlign w:val="bottom"/>
          </w:tcPr>
          <w:p>
            <w:pPr>
              <w:spacing w:after="0"/>
              <w:rPr>
                <w:sz w:val="18"/>
                <w:szCs w:val="18"/>
                <w:color w:val="auto"/>
              </w:rPr>
            </w:pPr>
          </w:p>
        </w:tc>
        <w:tc>
          <w:tcPr>
            <w:tcW w:w="210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0"/>
              </w:rPr>
              <w:t>2020 through August 21,</w:t>
            </w:r>
          </w:p>
        </w:tc>
      </w:tr>
      <w:tr>
        <w:trPr>
          <w:trHeight w:val="234"/>
        </w:trPr>
        <w:tc>
          <w:tcPr>
            <w:tcW w:w="2380" w:type="dxa"/>
            <w:vAlign w:val="bottom"/>
          </w:tcPr>
          <w:p>
            <w:pPr>
              <w:spacing w:after="0"/>
              <w:rPr>
                <w:sz w:val="20"/>
                <w:szCs w:val="20"/>
                <w:color w:val="auto"/>
              </w:rPr>
            </w:pPr>
          </w:p>
        </w:tc>
        <w:tc>
          <w:tcPr>
            <w:tcW w:w="148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5"/>
              </w:rPr>
              <w:t>(Successor)</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b w:val="1"/>
                <w:bCs w:val="1"/>
                <w:color w:val="auto"/>
                <w:w w:val="87"/>
              </w:rPr>
              <w:t>31, 2020 (Successor)</w:t>
            </w:r>
          </w:p>
        </w:tc>
        <w:tc>
          <w:tcPr>
            <w:tcW w:w="12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b w:val="1"/>
                <w:bCs w:val="1"/>
                <w:color w:val="auto"/>
                <w:w w:val="87"/>
              </w:rPr>
              <w:t>2020 (Predecessor)</w:t>
            </w:r>
          </w:p>
        </w:tc>
      </w:tr>
      <w:tr>
        <w:trPr>
          <w:trHeight w:val="209"/>
        </w:trPr>
        <w:tc>
          <w:tcPr>
            <w:tcW w:w="2380" w:type="dxa"/>
            <w:vAlign w:val="bottom"/>
          </w:tcPr>
          <w:p>
            <w:pPr>
              <w:spacing w:after="0"/>
              <w:rPr>
                <w:sz w:val="18"/>
                <w:szCs w:val="18"/>
                <w:color w:val="auto"/>
              </w:rPr>
            </w:pPr>
          </w:p>
        </w:tc>
        <w:tc>
          <w:tcPr>
            <w:tcW w:w="1480" w:type="dxa"/>
            <w:vAlign w:val="bottom"/>
            <w:gridSpan w:val="3"/>
          </w:tcPr>
          <w:p>
            <w:pPr>
              <w:ind w:left="240"/>
              <w:spacing w:after="0"/>
              <w:rPr>
                <w:sz w:val="20"/>
                <w:szCs w:val="20"/>
                <w:color w:val="auto"/>
              </w:rPr>
            </w:pPr>
            <w:r>
              <w:rPr>
                <w:rFonts w:ascii="Arial" w:cs="Arial" w:eastAsia="Arial" w:hAnsi="Arial"/>
                <w:sz w:val="18"/>
                <w:szCs w:val="18"/>
                <w:b w:val="1"/>
                <w:bCs w:val="1"/>
                <w:color w:val="auto"/>
              </w:rPr>
              <w:t>Gross</w:t>
            </w:r>
          </w:p>
        </w:tc>
        <w:tc>
          <w:tcPr>
            <w:tcW w:w="7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Net</w:t>
            </w:r>
          </w:p>
        </w:tc>
        <w:tc>
          <w:tcPr>
            <w:tcW w:w="120" w:type="dxa"/>
            <w:vAlign w:val="bottom"/>
          </w:tcPr>
          <w:p>
            <w:pPr>
              <w:spacing w:after="0"/>
              <w:rPr>
                <w:sz w:val="18"/>
                <w:szCs w:val="18"/>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Development wells:</w:t>
            </w: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Productive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Dry</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tcPr>
          <w:p>
            <w:pPr>
              <w:spacing w:after="0"/>
              <w:rPr>
                <w:sz w:val="20"/>
                <w:szCs w:val="20"/>
                <w:color w:val="auto"/>
              </w:rPr>
            </w:pPr>
            <w:r>
              <w:rPr>
                <w:rFonts w:ascii="Arial" w:cs="Arial" w:eastAsia="Arial" w:hAnsi="Arial"/>
                <w:sz w:val="18"/>
                <w:szCs w:val="18"/>
                <w:b w:val="1"/>
                <w:bCs w:val="1"/>
                <w:color w:val="auto"/>
                <w:w w:val="95"/>
              </w:rPr>
              <w:t>Exploratory/Extension wells: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Productive</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54.8</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Dry</w:t>
            </w: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wells: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2380" w:type="dxa"/>
            <w:vAlign w:val="bottom"/>
          </w:tcPr>
          <w:p>
            <w:pPr>
              <w:ind w:left="180"/>
              <w:spacing w:after="0"/>
              <w:rPr>
                <w:sz w:val="20"/>
                <w:szCs w:val="20"/>
                <w:color w:val="auto"/>
              </w:rPr>
            </w:pPr>
            <w:r>
              <w:rPr>
                <w:rFonts w:ascii="Arial" w:cs="Arial" w:eastAsia="Arial" w:hAnsi="Arial"/>
                <w:sz w:val="18"/>
                <w:szCs w:val="18"/>
                <w:color w:val="auto"/>
              </w:rPr>
              <w:t>Salt-Water Disposal</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Commitments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Beginning October 2021, the Company has a minimum volume commitment under its crude oil marketing agreement in its Flat Top area whereby it must deliver minimum gross volumes to its central tank battery facilities of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December 31, 2022, the Company had delivered approximately 22,800 Bopd under the contract, banking excess volumes at the outset. There are no material commitments to deliver a fixed and determinable quantity of natural gas production from the Company’s assets to customers under existing contracts. Given the current production levels coupled with the wells planned to come on production in 2023 and beyond, the Company expects to meet the volume commitments under this agreement well in advance of the requirement.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2022, HighPeak Energy’s properties consisted of 125,730 gross (107,704 net) acres with an average working interest of approximately 86%.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Production facilities related to HighPeak Energy’s properties are located near the producing wells and consist of salt-water disposal wells and related facilities, a salt-water disposal pipeline systems throughout Flat Top and Signal Peak, storage tanks, two-phase and/or three-phase separation equipment, flowlines, metering equipment and safety systems. Predominant artificial lift methods include electrical submersible pumps, rod pumps and some plunger lifts. HighPeak Energy’s mostly contiguous acreage position allows for optimized capital expenditures for production facilities and associated water handling infrastructure.</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properties are well serviced by existing crude oil, natural gas and water infrastructure and gathering systems. Currently, the majority of our crude oil production in Flat Top is transported by pipeline while the majority of our crude oil in Signal Peak is transported by truck. The Company used a competitive bidding process that resulted in attractive terms relative to market indices. The natural gas production from our properties is gathered by third-party processors with the majority of the natural gas production currently processed to extract NGL. The extracted liquids and residue natural gas are sold to various intrastate and interstate markets on a competitive pricing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Customers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sets forth the percentage of revenues attributable to customers who have accounted for 10% or more of revenues attributable to the Company’s assets during the years ended December 31, 2022,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vMerge w:val="restart"/>
          </w:tcPr>
          <w:p>
            <w:pPr>
              <w:spacing w:after="0"/>
              <w:rPr>
                <w:sz w:val="20"/>
                <w:szCs w:val="20"/>
                <w:color w:val="auto"/>
              </w:rPr>
            </w:pPr>
            <w:r>
              <w:rPr>
                <w:rFonts w:ascii="Arial" w:cs="Arial" w:eastAsia="Arial" w:hAnsi="Arial"/>
                <w:sz w:val="18"/>
                <w:szCs w:val="18"/>
                <w:b w:val="1"/>
                <w:bCs w:val="1"/>
                <w:color w:val="auto"/>
              </w:rPr>
              <w:t>Major Customers</w:t>
            </w:r>
          </w:p>
        </w:tc>
        <w:tc>
          <w:tcPr>
            <w:tcW w:w="100" w:type="dxa"/>
            <w:vAlign w:val="bottom"/>
            <w:vMerge w:val="restart"/>
          </w:tcPr>
          <w:p>
            <w:pPr>
              <w:spacing w:after="0"/>
              <w:rPr>
                <w:sz w:val="20"/>
                <w:szCs w:val="20"/>
                <w:color w:val="auto"/>
              </w:rPr>
            </w:pPr>
          </w:p>
        </w:tc>
        <w:tc>
          <w:tcPr>
            <w:tcW w:w="3720" w:type="dxa"/>
            <w:vAlign w:val="bottom"/>
            <w:tcBorders>
              <w:bottom w:val="single" w:sz="8" w:color="auto"/>
            </w:tcBorders>
            <w:gridSpan w:val="5"/>
          </w:tcPr>
          <w:p>
            <w:pPr>
              <w:ind w:left="1400"/>
              <w:spacing w:after="0"/>
              <w:rPr>
                <w:sz w:val="20"/>
                <w:szCs w:val="20"/>
                <w:color w:val="auto"/>
              </w:rPr>
            </w:pPr>
            <w:r>
              <w:rPr>
                <w:rFonts w:ascii="Arial" w:cs="Arial" w:eastAsia="Arial" w:hAnsi="Arial"/>
                <w:sz w:val="18"/>
                <w:szCs w:val="18"/>
                <w:b w:val="1"/>
                <w:bCs w:val="1"/>
                <w:color w:val="auto"/>
                <w:w w:val="99"/>
              </w:rPr>
              <w:t>Years Ended December 31,</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DK Trading &amp; Supply, LLC (“Delek”)</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Enlink Crude Purchasing, LLC</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Less than 10%.</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 other purchaser accounted for 10% or more of revenue attributable to the Company’s assets on a combined basis in the years ended December 31, 2022, 2021 or 2020. The loss of any such purchaser could adversely affect revenues attributable to the Company’s assets in the short term. Please see “Risk Factors—Risks Related to Our Business—HighPeak Energy depends upon a small number of significant purchasers for the sale of most of its crude oil, NGL and natural gas production. The loss of one or more of such purchasers could, among other factors, limit HighPeak Energy’s access to suitable markets for the crude oil, NGL and natural gas it produces.”</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crude oil sales, HighPeak Energy currently is party to a ten-year contract with Delek, with production from Flat Top being mostly piped sales through a crude oil gathering system. Currently, the majority of our crude oil sales from Signal Peak are being trucked. The Flat Top crude oil contract is at known and published indices with a fixed primary term and an evergreen option thereafter. The contract contains a minimum volume commitment that commenced on October 1,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December 31, 2022, the Company has delivered approximately 22,800 Bopd under the contract. The remaining monetary commitment as of December 31, 2022, if the Company never delivers any additional volumes under the agreement, is approximately $18.3 million. In addition, HighPeak Energy sells its natural gas production from the Company’s assets to multiple third-party purchasers pursuant to the terms of natural gas processing and purchase contracts at varying rates. The natural gas production is gathered and processed under agreements with a primary term and generally an evergreen extension option.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crude oil and natural gas industry is intensely competitive, and HighPeak Energy competes with other companies that have greater resources. Many of these companies not only explore for and produce crude oil and natural gas, but also carry on midstream and refining operations and market petroleum and other products on a regional, national or worldwide basis. These companies may be able to pay more for productive crude oil and natural gas properties and exploratory prospects or to define, evaluate, bid for and purchase a greater number of properties and prospects than HighPeak Energy’s financial or human resources permit. In addition, these companies may have a greater ability to continue exploration activities during periods of low crude oil and natural gas market prices. HighPeak Energy’s larger or more integrated competitors may be able to absorb the burden of existing, and any changes to, federal, state and local laws and regulations more easily than HighPeak Energy can, which could adversely affect HighPeak Energy’s competitive position, as applicable. HighPeak Energy’s ability to acquire additional properties and to discover reserves in the future will be dependent upon its ability to evaluate and select suitable properties and to consummate transactions in a highly competitive environment. In addition, because HighPeak Energy will have fewer financial and human resources than many companies in their industry, HighPeak Energy may be at a disadvantage in bidding for exploratory prospects and producing crude oil and natural gas properties.</w:t>
      </w:r>
    </w:p>
    <w:p>
      <w:pPr>
        <w:spacing w:after="0" w:line="18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There is also competition between crude oil and natural gas producers and other industries producing energy and fuel. For example, HighPeak Energy also faces indirect competition from alternative energy sources, including wind and solar. Furthermore, competitive conditions may be substantially affected by various forms of energy legislation and/or regulation considered from time to time by the governments of the United States and the jurisdictions in which HighPeak Energy operates, including recently passed legislation such as the IRA 2022. It is not possible to predict the nature of any such legislation or regulation which may ultimately be adopted or its effects upon HighPeak Energy’s future operations as related to the Company’s assets. Such laws and regulations may substantially increase the costs of developing crude oil and natural gas and may prevent or delay the commencement or continuation of a given operation. HighPeak Energy’s larger competitors may be able to absorb the burden of existing, and any changes to, federal, state and local laws and regulations more easily than HighPeak Energy can, which would adversely affect HighPeak Energy’s competitive positions, as applicable. See “Item 1A. Risk Factors—Risks Related to Our Business—Competition in the crude oil and natural gas industry is intense, which will make it more difficult for HighPeak Energy to acquire properties, market crude oil or natural gas and secure trained personnel.”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Business</w:t>
      </w:r>
    </w:p>
    <w:p>
      <w:pPr>
        <w:spacing w:after="0" w:line="225"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Weather conditions can affect the demand for, and prices of, crude oil and natural gas. Demand for natural gas is typically higher in the fourth and first quarters resulting in higher prices while the demand for crude oil is typically higher during the second and third quarters. Due to these seasonal fluctuations, results of operations for individual quarterly periods may not be indicative of the results that may be realized on an annual basis.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to Properties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is customary in the crude oil and natural gas industry, HighPeak Energy, as operator of the Company’s assets, initially conducts (at minimum) a cursory review of the title to properties in connection with acquisition of leasehold acreage. HighPeak Energy has also obtained title opinion coverage on a majority of the Company’s assets and has performed customary reviews of the title to substantially all of the Company’s assets. Additionally, at such time as HighPeak Energy determines to conduct drilling operations on those properties, HighPeak Energy will conduct a thorough title examination, will obtain division order title opinions, and will perform curative work with respect to any significant defects that may exist prior to: (i) commencement of drilling operations; and (ii) the initial disbursement of associated revenues. HighPeak Energy has obtained title opinions on substantially all its producing properties. The crude oil and natural gas properties within the Company’s assets are subject to customary royalty and other interests, liens for current taxes and other burdens which HighPeak Energy believes does not materially interfere with the use of, or affect the carrying value of, the properties.</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Prior to completing an acquisition of producing crude oil and natural gas properties, HighPeak Energy may perform title reviews on the most significant leases and may obtain a title opinion, obtain an updated title opinion or review previously obtained title opinions.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HighPeak Energy believes it has satisfactory title to all the material properties within the Company’s assets in accordance with standards generally accepted in the crude oil and natural gas industry. Although title to the Company’s assets is subject to encumbrances in some cases, such as customary interests generally retained in connection with the acquisition of real property, customary royalty interests and contract terms and restrictions, liens under operating agreements, liens related to environmental liabilities associated with historical operations, liens for current taxes and other burdens, easements, restrictions and minor encumbrances customary in the crude oil and natural gas industry, none of these liens, restrictions, easements, burdens or encumbrances will likely materially detract from the value of the properties within the Company’s assets or from HighPeak Energy’s interests in these properties or materially interfere with HighPeak Energy’s use of these properties in the operation of their business. In addition, HighPeak Energy believes they have obtained sufficient rights-of-way grants and permits from public authorities and private parties for them to operate their business in all material respects as described in this Annual Report.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Crude Oil and Natural Gas Leases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typical crude oil and natural gas lease agreement covering the properties within the Company’s assets provides for the payment of royalties to the mineral owner for all crude oil and natural gas produced from any wells drilled on the leased premises. The lessor royalties and other leasehold burdens on the properties within the Company’s assets are approximately 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the Crude Oil and Natural Gas Industry</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operations are substantially affected by federal, state and local laws and regulations. Failure to comply with applicable laws and regulations can result in substantial penalties. The regulatory burden on the industry increases the cost of doing business and affects profitability. Although we believe we are in substantial compliance with all applicable laws and regulations, such laws and regulations are frequently amended or reinterpreted. Therefore, we are unable to predict the future costs or impact of compliance. Additional proposals and proceedings that affect the crude oil and natural gas industry are regularly considered by Congress, the states, Federal Energy Regulatory Commission (“FERC”), the U.S. Environmental Protection Agency (“EPA”), the Department of Transportation (“DOT”), other federal agencies and the courts. We cannot predict when or whether any such proposals may become effective. We do not believe that we would be affected by any such action materially differently than similarly situated competitors.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 addition, unforeseen environmental incidents may occur or past non-compliance with environmental laws or regulations may be discovered.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Production of Crude Oil and Natural Gas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Crude oil and natural gas production and related operations are substantially affected by federal, state and local laws and regulations. In particular, crude oil and natural gas production and related operations are, or have been, subject to price controls, taxes and numerous other laws and regulations. All the jurisdictions in which the Company’s assets are located have statutory provisions regulating the development and production of crude oil and natural gas, including provisions related to permits for the drilling of wells, bonding requirements to drill or operate wells, the location of wells, the method of drilling and casing wells, the surface use and restoration of properties upon which wells are drilled, sourcing and disposal of water used in the drilling and completion process, and the abandonment of wells. Crude oil and natural gas operations are also subject to various conservation laws and regulations. These include the regulation of the size of drilling and spacing units or proration units, the number of wells which may be drilled in an area, and the unitization or pooling of crude oil or natural gas wells, as well as regulations that generally prohibit the venting or flaring of natural gas, and impose certain requirements regarding the ratability or fair apportionment of production from fields and individual wells.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Failure to comply with applicable laws and regulations can result in substantial penalties. The regulatory burden on the industry increases the cost of doing business and affects profitability. Such laws and regulations are frequently amended or reinterpreted. Therefore, it is not possible to predict the future costs or impact of compliance. Additional proposals and proceedings that affect the crude oil and natural gas industry are regularly considered by Congress, the states, FERC, the EPA, the DOT, other federal agencies and the courts. It is not possible to predict when or whether any such proposals may become effective.</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Federal, state and local statutes and regulations require permits for drilling, salt-water disposal and pipeline operations, drilling bonds and reports concerning operations. The Company’s assets are located in Texas, which regulates drilling and operating activities by, among other things, requiring permits for the drilling of wells, maintaining bonding requirements to drill or operate wells, and regulating the location of wells, the method of drilling and casing wells, the surface use and restoration of properties upon which wells are drilled and the plugging and abandonment of wells.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laws of Texas also govern a number of conservation matters, including provisions for the unitization or pooling of crude oil and natural gas properties, the establishment of maximum allowable rates of production from crude oil and natural gas wells, the regulation of well spacing or density and plugging and abandonment of wells. The effect of these regulations is to limit the amount of crude oil and natural gas that the wells within the Company’s assets can produce and to limit the number of wells or the locations that can be drilled within the Company’s assets, although operators can apply for exceptions to such regulations or to have reductions in well spacing or density. Moreover, various states impose a production or severance tax with respect to the production and sale of crude oil, NGL and natural gas within its jurisdiction. The failure to comply with these rules and regulations can result in substantial penalties.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Affecting Sales and Transportation of Commodities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Sales prices of crude oil, NGL and natural gas are not currently regulated and are made at market prices. Although prices of these energy commodities are currently unregulated, Congress historically has been active in their regulation. We cannot predict whether new legislation to regulate crude oil and natural gas, or the prices charged for these commodities might be proposed, what proposals, if any, might actually be enacted by Congress or the various state legislatures and what effect, if any, the proposals might have on our operations. Sales of crude oil and natural gas may be subject to certain state and potentially federal reporting requirements.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 w:name="page21"/>
    <w:bookmarkEnd w:id="20"/>
    <w:p>
      <w:pPr>
        <w:ind w:right="40"/>
        <w:spacing w:after="0" w:line="270" w:lineRule="auto"/>
        <w:rPr>
          <w:sz w:val="20"/>
          <w:szCs w:val="20"/>
          <w:color w:val="auto"/>
        </w:rPr>
      </w:pPr>
      <w:r>
        <w:rPr>
          <w:rFonts w:ascii="Arial" w:cs="Arial" w:eastAsia="Arial" w:hAnsi="Arial"/>
          <w:sz w:val="17"/>
          <w:szCs w:val="17"/>
          <w:color w:val="auto"/>
        </w:rPr>
        <w:t>The price and terms of service of transportation of the commodities, including access to pipeline transportation capacity, are subject to extensive federal and state regulation. Such regulation may affect the marketing of crude oil and natural gas produced, as well as the revenues received for sales of such production. Gathering systems may be subject to state ratable take and common purchaser statutes. Ratable take statutes generally require gatherers to take, without undue discrimination, crude oil and natural gas production that may be tendered to the gatherer for handling. Similarly, common purchaser statutes generally require gatherers to purchase, or accept for gathering, without undue discrimination as to source of supply or producer. These statutes are designed to prohibit discrimination in favor of one producer over another producer or one source of supply over another source of supply. These statutes may affect whether and to what extent gathering capacity is available for crude oil and natural gas production, if any, of the drilling program and the cost of such capacity. Further, state laws and regulations govern rates and terms of access to intrastate pipeline systems, which may similarly affect market access and cost.</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FERC regulates interstate natural gas pipeline transportation rates and service conditions. The FERC is continually proposing and implementing new rules and regulations affecting interstate transportation. The stated purpose of many of these regulatory changes is to promote competition among the various sectors of the natural gas industry and to promote market transparency. We do not believe that our drilling program will be affected by any such FERC action in a manner materially differently than other similarly situated natural gas producers.</w:t>
      </w:r>
    </w:p>
    <w:p>
      <w:pPr>
        <w:spacing w:after="0" w:line="171"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Gathering services, which occur upstream of FERC jurisdictional transmission services, are regulated by the states onshore and in state waters. Although the FERC has set forth a general test for determining whether facilities perform a non-jurisdictional gathering function or a jurisdictional transmission function, the FERC’s determinations as to the classification of facilities is done on a case-by-case basis. State regulation of natural gas gathering facilities generally includes various safety, environmental and, in some circumstances, nondiscriminatory take requirements. Although such regulation has not generally been affirmatively applied by state agencies, natural gas gathering may receive greater regulatory scrutiny in the future.</w:t>
      </w:r>
    </w:p>
    <w:p>
      <w:pPr>
        <w:spacing w:after="0" w:line="16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addition to the regulation of natural gas pipeline transportation, the FERC has jurisdiction over the purchase or sale of natural gas or the purchase or sale of transportation services subject to the FERC’s jurisdiction pursuant to the Energy Policy Act of 2005. Under this law, it is unlawful for “any entity,” including producers such as us, that are otherwise not subject to the FERC’s jurisdiction under the Natural Gas Act of 1938 to use any deceptive or manipulative device or contrivance in connection with the purchase or sale of natural gas or the purchase or sale of transportation services subject to regulation by the FERC, in contravention of rules prescribed by the FERC. The FERC’s rules implementing this provision make it unlawful, in connection with the purchase or sale of natural gas subject to the jurisdiction of the FERC, or the purchase or sale of transportation services subject to the jurisdiction of the FERC, for any entity, directly or indirectly,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The Energy Policy Act of 2005 also gives the FERC authority to impose civil penalties for violations of the Natural Gas Act of 1938 and the Natural Gas Policy Act of 1978 up to $1,269,500 per day per violation (adjusted annually based on inflation). The anti-manipulation rule applies to activities of otherwise non-jurisdictional entities to the extent the activities are conducted “in connection with” natural gas sales, purchases or transportation subject to FERC jurisdiction, which includes the annual reporting requirements under Order 704 (defined below).</w:t>
      </w:r>
    </w:p>
    <w:p>
      <w:pPr>
        <w:spacing w:after="0" w:line="16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December 2007, the FERC issued a final rule on the annual natural gas transaction reporting requirements, as amended by subsequent orders on rehearing (“Order 704”). Under Order 704, any market participant, including a producer such as us, that engages in wholesale sales or purchases of natural gas that equal or exceed 2.2 million MMBtus of physical natural gas in the previous calendar year, must annually report such sales and purchases to the FERC on Form No. 552 on May 1 of each year. Form No. 552 contains aggregate volumes of natural gas purchased or sold at wholesale in the prior calendar year to the extent such transactions utilize or contribute to the formation of price indices. It is the responsibility of the reporting entity to determine which individual transactions should be reported based on the guidance of Order 704. Order 704 is intended to increase the transparency of the wholesale natural gas markets and to assist the FERC in monitoring those markets and in detecting market manipulation.</w:t>
      </w:r>
    </w:p>
    <w:p>
      <w:pPr>
        <w:spacing w:after="0" w:line="17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FERC also regulates rates and service conditions for interstate transportation of liquids, including crude oil and NGL, under the Interstate Commerce Act (the “ICA”). Prices received from the sale of liquids may be affected by the cost of transporting those products to market. The ICA requires that pipelines maintain a tariff on file with the FERC. The tariff sets forth the established rates as well as the rules and regulations governing the service. The ICA requires, among other things, that rates and terms and conditions of service on interstate common carrier pipelines be “just and reasonable.” Such pipelines must also provide jurisdictional service in a manner that is not unduly discriminatory or unduly preferential. Shippers have the power to challenge new and existing rates and terms and conditions of service before the FERC.</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Rates of interstate liquids pipelines are currently regulated by the FERC primarily through an annual indexing methodology, under which pipelines increase or decrease their rates in accordance with an index adjustment specified by the FERC. For the five-year period beginning on July 1, 2016, the FERC established an annual index adjustment equal to the change in the producer price index for finished goods plus 1.23%. This adjustment is subject to review every five (5) years. Under the FERC’s regulations, a liquids pipeline can request the authority to charge market-based rates for transportation service if it satisfies certain criteria, and also can request a rate increase that exceeds the rate obtained through application of the indexing methodology by using a cost-of-service approach, but only after the pipeline establishes that a substantial divergence exists between the actual costs experienced by the pipeline and the rates resulting from application of the indexing methodology. Increases in liquids transportation rates may result in lower revenue and cash flows.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ind w:right="40"/>
        <w:spacing w:after="0" w:line="296" w:lineRule="auto"/>
        <w:rPr>
          <w:sz w:val="20"/>
          <w:szCs w:val="20"/>
          <w:color w:val="auto"/>
        </w:rPr>
      </w:pPr>
      <w:r>
        <w:rPr>
          <w:rFonts w:ascii="Arial" w:cs="Arial" w:eastAsia="Arial" w:hAnsi="Arial"/>
          <w:sz w:val="16"/>
          <w:szCs w:val="16"/>
          <w:color w:val="auto"/>
        </w:rPr>
        <w:t>In addition, due to common carrier regulatory obligations of liquids pipelines, capacity must be prorated among shippers in an equitable manner in the event there are nominations in excess of capacity. Therefore, requests for service by new shippers or increased volume by existing shippers may reduce the capacity available to us. Any prolonged interruption in the operation or curtailment of available capacity of the pipelines that we rely upon for liquids transportation could have a material adverse effect on our business, financial condition, results of operations and cash flows. However, we believe that access to liquids pipeline transportation services generally will be available to us to the same extent as to our similarly situated competitors.</w:t>
      </w:r>
    </w:p>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Intrastate liquids pipeline transportation rates are subject to regulation by state regulatory commissions. The basis for intrastate liquids pipeline regulation and the degree of regulatory oversight and scrutiny given to intrastate liquids pipeline rates, varies from state to state. We believe that the regulation of liquids pipeline transportation rates will not affect our operations in any way that is materially different from the effects on our similarly situated competitors.</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addition to the FERC’s regulations, we are required to observe anti-market manipulation laws with regard to our physical sales of energy commodities. In November 2009, the FTC issued regulations pursuant to the Energy Independence and Security Act of 2007 intended to prohibit market manipulation in the petroleum industry. Violators of the regulations face civil penalties of up to $1,210,340 per violation per day (adjusted annually based on inflation).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its new anti-manipulation authority. The rules subject violators to a civil penalty of up to the greater of $1,162,183 (adjusted annually based on inflation) or triple the monetary gain to the person for each violation.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Environmental and Occupational Safety and Health Matters</w:t>
      </w:r>
    </w:p>
    <w:p>
      <w:pPr>
        <w:spacing w:after="0" w:line="22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Crude oil and natural gas development operations are subject to numerous stringent federal, regional, state and local statutes and regulations governing occupational safety and health, the discharge of materials into the environment or otherwise relating to environmental protection, some of which carry substantial administrative, civil and criminal penalties for failure to comply. These laws and regulations may require the acquisition of a permit before drilling or other regulated activity commences; restrict the types, quantities and concentrations of various substances that can be released into the environment in connection with drilling, production and transporting through pipelines; govern the sourcing and disposal of water used in the drilling and completion process; limit or prohibit drilling activities in certain areas and on certain lands lying within wilderness, wetlands, frontier, seismically active areas and other protected areas; require some form of remedial action to prevent or mitigate pollution from former operations such as plugging abandoned wells or closing earthen pits; establish specific safety and health criteria addressing worker protection; and impose substantial liabilities for pollution resulting from operations or failure to comply with regulatory filings. In addition, these laws and regulations may restrict the rate of production.</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regulatory burden on the crude oil and natural gas industry increases the cost of doing business in the industry and consequently affects profitability. The trend in environmental regulation has been to place more restrictions and limitations on activities that may affect the environment, and thus, any changes in environmental laws and regulations or re-interpretation of enforcement policies that result in more stringent and costly construction, drilling, water management, completion, emission or discharge limits or waste handling, disposal or remediation obligations could increase the cost to our operators of developing our properties. Moreover, accidental releases or spills may occur in the course of operations on our properties, causing our operators to incur significant costs and liabilities as a result of such releases or spills, including any third-party claims for damage to property, natural resources or persons.</w:t>
      </w:r>
    </w:p>
    <w:p>
      <w:pPr>
        <w:spacing w:after="0" w:line="1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is a summary of the more significant existing environmental and occupational health and safety laws and regulations, as amended from time to time, to which operations related to the Company’s assets may be subject.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 and Waste Handling</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Comprehensive Environmental Response, Compensation, and Liability Act (“CERCLA”), also known as the “Superfund” law, and comparable state laws impose liability, without regard to fault or the legality of the original conduct, on certain classes of persons that are considered responsible for the release of a “hazardous substance” into the environment. These persons include the current and past owner or operator of the disposal site or the site where the release occurred and persons that disposed or arranged for the disposal or the transportation for disposal of the hazardous substances at the site where the release occurred. Under CERCLA, such persons may be subject to joint and several strict liability for the costs of cleaning up the hazardous substances that have been released into the environment and for damages to natural resources, and it is not uncommon for neighboring landowners and other third-parties to file claims for personal injury and property damage allegedly caused by the hazardous substances released into the environment. The failure of an operator other than the Company to comply with applicable environmental regulations may, in certain circumstances, be attributed to the Company.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2" w:name="page23"/>
    <w:bookmarkEnd w:id="22"/>
    <w:p>
      <w:pPr>
        <w:ind w:right="120"/>
        <w:spacing w:after="0" w:line="270" w:lineRule="auto"/>
        <w:rPr>
          <w:sz w:val="20"/>
          <w:szCs w:val="20"/>
          <w:color w:val="auto"/>
        </w:rPr>
      </w:pPr>
      <w:r>
        <w:rPr>
          <w:rFonts w:ascii="Arial" w:cs="Arial" w:eastAsia="Arial" w:hAnsi="Arial"/>
          <w:sz w:val="17"/>
          <w:szCs w:val="17"/>
          <w:color w:val="auto"/>
        </w:rPr>
        <w:t>The Resource Conservation and Recovery Act (“RCRA”) and analogous state laws, impose detailed requirements for the generation, handling, storage, treatment and disposal of nonhazardous and hazardous solid wastes. RCRA specifically excludes drilling fluids, produced waters and other wastes associated with the development or production of crude oil, natural gas or geothermal energy from regulation as hazardous wastes. However, these wastes may be regulated by the EPA or state agencies under RCRA’s less stringent nonhazardous solid waste provisions, state laws or other federal laws. Moreover, it is possible that these particular crude oil and natural gas development and production wastes now classified as nonhazardous solid wastes could be classified as hazardous wastes in the future. A loss of the RCRA exclusion for drilling fluids, produced waters and related wastes could result in an increase in the costs to manage and dispose of generated wastes. In addition, in the course of operating the Company’s assets, it is possible that some amounts of ordinary industrial wastes will be generated, such as paint wastes, waste solvents, laboratory wastes and waste compressor oils that may be regulated as hazardous wastes if such wastes have hazardous characteristics.</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assets consist of numerous properties that have been used for crude oil and natural gas development and production activities for many years. Hazardous substances, wastes or petroleum hydrocarbons may have been released on, under or from properties within the Company’s assets, or on, under or from other locations, including off-site locations, where such substances have been taken for recycling or disposal. In addition, some of the properties within the Company’s assets have been operated by third-parties or by previous owners or operators who have treated and disposed of hazardous substances, wastes or petroleum hydrocarbons. These properties and the substances disposed or released on, under or from them may be subject to CERCLA, RCRA and analogous state laws. Under such laws, the Company could be required to undertake responsive or corrective measures with respect to the Company’s assets, which could include removal of previously disposed substances and wastes, cleanup of contaminated property or performance of remedial plugging or pit closure operations to prevent future contamination.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Discharges, Fluid Disposal and NORM</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The Water Pollution Control Act, also known as the Clean Water Act (“CWA”) and comparable state laws impose restrictions and strict controls regarding the discharge of pollutants, including produced waters and other crude oil and natural gas wastes, into or near navigable waters. The discharge of pollutants into regulated waters is prohibited, except in accordance with the terms of a permit issued by the EPA or the state. The discharge of dredge and fill material in regulated waters, including wetlands, is also prohibited, unless authorized by a permit issued by the U.S. Army Corps of Engineers (the “Corps”). The scope of jurisdiction under the CWA has been subject to several rulemakings by the EPA in recent years and is subject to ongoing litigation; additionally, in January 2023, the EPA and Corps published a final rule establishing a definition of “waters of the United States” based on the broader pre-2015 definition and related regulatory guidance and case law. However, this rule is subject to multiple legal challenges, which could have an impact on the definition or its implementation. Additionally, the Supreme Court heard arguments on </w:t>
      </w:r>
      <w:r>
        <w:rPr>
          <w:rFonts w:ascii="Arial" w:cs="Arial" w:eastAsia="Arial" w:hAnsi="Arial"/>
          <w:sz w:val="17"/>
          <w:szCs w:val="17"/>
          <w:i w:val="1"/>
          <w:iCs w:val="1"/>
          <w:color w:val="auto"/>
        </w:rPr>
        <w:t>Sackett v. EPA</w:t>
      </w:r>
      <w:r>
        <w:rPr>
          <w:rFonts w:ascii="Arial" w:cs="Arial" w:eastAsia="Arial" w:hAnsi="Arial"/>
          <w:sz w:val="17"/>
          <w:szCs w:val="17"/>
          <w:color w:val="auto"/>
        </w:rPr>
        <w:t xml:space="preserve"> in October 2022, and is expected to issue its decision in 2023. Therefore, the future reach of the CWA is uncertain at this time. To the extent any rule further expands the scope of the CWA’s jurisdiction, the Company could face increased costs and delays with respect to obtaining permits for dredge and fill activities in wetland areas. Obtaining permits has the potential to delay the development of crude oil and natural gas projects. These laws and any implementing regulations provide for administrative, civil and criminal penalties for any unauthorized discharges of crude oil and other substances in reportable quantities and may impose substantial potential liability for the costs of removal, remediation and damages.</w:t>
      </w:r>
    </w:p>
    <w:p>
      <w:pPr>
        <w:spacing w:after="0" w:line="18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Pursuant to these laws and regulations, the Company may be required to obtain and maintain approvals or permits for the discharge of wastewater or storm water and are required to develop and implement spill prevention, control and countermeasure plans, also referred to as “SPCC plans,” in connection with on-site storage of significant quantities of crude oil.</w:t>
      </w:r>
    </w:p>
    <w:p>
      <w:pPr>
        <w:spacing w:after="0" w:line="1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primary federal law related specifically to crude oil spill liability is the Oil Pollution Act (“OPA”), which amends and augments the crude oil spill provisions of the CWA and imposes certain duties and liabilities on certain “responsible parties” related to the prevention of crude oil spills and damages resulting from such spills in or threatening waters of the United States or adjoining shorelines. For example, operators of certain crude oil and natural gas facilities must develop, implement and maintain facility response plans, conduct annual spill training for certain employees and provide varying degrees of financial assurance. Owners or operators of a facility, vessel or pipeline that is a source of a crude oil discharge or that poses the substantial threat of discharge is one type of “responsible party” who is liable. The OPA applies joint and several liability, without regard to fault, to each liable party for crude oil removal costs and a variety of public and private damages. Although defenses exist, they are limited.</w:t>
      </w:r>
    </w:p>
    <w:p>
      <w:pPr>
        <w:spacing w:after="0" w:line="17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Fluids resulting from crude oil and natural gas production, consisting primarily of salt-water, are disposed by injection in belowground disposal wells regulated under the Underground Injection Control (“UIC”) program and analogous state laws. The UIC program requires permits from the EPA or an analogous state agency for the construction and operation of disposal wells, establishes minimum standards for disposal well operations, and may restrict the types and quantities of fluids that may be disposed. In addition, state and federal regulatory agencies have focused on a possible connection between crude oil and natural gas activity and induced seismicity. For example, in 2015, the United States Geological Study identified eight states, including Texas, with areas of induced seismicity that could be attributed to fluid injection or crude oil and natural gas extraction.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3" w:name="page24"/>
    <w:bookmarkEnd w:id="23"/>
    <w:p>
      <w:pPr>
        <w:spacing w:after="0" w:line="289" w:lineRule="auto"/>
        <w:rPr>
          <w:sz w:val="20"/>
          <w:szCs w:val="20"/>
          <w:color w:val="auto"/>
        </w:rPr>
      </w:pPr>
      <w:r>
        <w:rPr>
          <w:rFonts w:ascii="Arial" w:cs="Arial" w:eastAsia="Arial" w:hAnsi="Arial"/>
          <w:sz w:val="16"/>
          <w:szCs w:val="16"/>
          <w:color w:val="auto"/>
        </w:rPr>
        <w:t>In response to these concerns, some states, including Texas, have imposed additional requirements for the permitting of produced water disposal wells, such as volume and pressure limitations or seismicity thresholds for temporary cessations of activity. In September 2021, the Texas Railroad Commission (“TRRC”) issued a notice to operators in the city of Midland area to reduce daily injection volumes following multiple earthquakes above 3.5 magnitude over an 18-month period. The notice also required disposal well operators to provide injection data to TRRC staff to further analyze seismicity in the area. Subsequently, the TRRC ordered the indefinite suspension of all deep produced water injection wells in the area, effective December 31, 2021. The response area has since been expanded following an additional earthquake in December 2022 to cover an additional 17 wells. While the ultimate outcome of these outcomes is uncertain, the adoption and implementation of any new laws or regulations that restrict our operators’ ability to use hydraulic fracturing or dispose of produced water gathered from drilling and production activities by limiting volumes, disposal rates, disposal well locations or otherwise, or requiring them to shut down disposal wells, could have a material adverse effect on our business, financial condition and results of operations.</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naturally occurring radioactive material (“NORM”) is brought to the surface in connection with crude oil and natural gas production. Comprehensive federal regulation does not currently exist for NORM; however, the EPA has studied the impacts of technologically enhanced NORM, and several states, including Texas, regulate the disposal of NORM. Concerns have arisen over traditional NORM disposal practices (including discharge through publicly owned treatment works into surface waters), which may increase the costs associated with management of NORM. To the extent that federal or state regulation increases the compliance costs for NORM disposal, operators may incur additional costs that may make some properties unprofitable to operate.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Clean Air Act (“CAA”) and comparable state laws restrict the emission of air pollutants from many sources (e.g., compressor stations), through the imposition of air emissions standards, construction and operating permitting programs and other compliance requirements. These laws and regulations may require the Company to obtain pre-approval for the construction or modification of certain projects or facilities expected to produce or significantly increase air emissions, obtain and strictly comply with stringent air permit requirements or utilize specific equipment or technologies to control emissions of certain pollutants. For example, in October 2015, the EPA lowered the National Ambient Air Quality Standard for ozone from 75 to 70 parts per billion and completed attainment/non-attainment designations in July 2018. While the EPA has determined that counties in which the Company currently operates are in attainment with the new ozone standards, these determinations may be revised in the future. Additionally, although the EPA announced in December 2020 that it intended to leave ozone NAAQS unchanged at 70 parts per billion, this decision has been subject to legal challenges, and the Biden Administration has announced plans to reconsider this standard. A final decision from the Biden Administration is not expected until 2023. Reclassification of areas or imposition of more stringent standards may make it more difficult to construct new facilities or modify existing facilities in these newly designated non-attainment areas and result in increased expenditures for pollution control equipment, the costs of which could be significant.</w:t>
      </w:r>
    </w:p>
    <w:p>
      <w:pPr>
        <w:spacing w:after="0" w:line="17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the EPA has adopted new rules under the CAA that require the reduction of volatile organic compounds from certain fractured and refractured crude oil and natural gas wells for which well completion operations are conducted and further require that most wells use reduced emission completions, also known as “green completions.” These regulations also establish specific new requirements regarding emissions from production-related wet seal and reciprocating compressors, and from pneumatic controllers and storage vessels. In addition, the regulations place new requirements to detect and repair volatile organic compounds at certain crude oil and natural gas facilities. In May 2016, the EPA also finalized rules regarding criteria for aggregating multiple small surface sites into a single source for air-quality permitting purposes applicable to the crude oil and natural gas industry. This rule could cause small facilities, on an aggregate basis, to be deemed a major source, thereby triggering more stringent air permitting processes and requirements. Compliance with these and other air pollution control and permitting requirements has the potential to delay the development of crude oil and natural gas projects and increase the costs of development, which costs could be significant.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Greenhouse Gas Emissions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At the federal level, no comprehensive climate change legislation has been implemented to date, though the recently-passed IRA 2022 advances numerous climate-related objectives. The EPA has, however, adopted rules under authority of the CAA that, among other things, establish prevention of significant deterioration (“PSD”) construction and Title V operating permit reviews for greenhouse gases (“GHG”) emissions from certain large stationary sources that are also potential major sources of certain principal, or criteria, pollutant emissions. Under these regulations, facilities required to obtain PSD permits must meet “best available control technology” standards for those GHG emissions. In addition, the EPA has adopted rules requiring the monitoring and annual reporting of GHG emissions from certain petroleum and natural gas system sources in the U.S., including, among others, onshore and offshore production facilities, which include certain of our operators’ operations. The EPA has expanded the GHG reporting requirements to all segments of the crude oil and natural gas industry, including gathering and boosting facilities as well as completions and workovers from hydraulically fractured crude oil wells.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line="285" w:lineRule="auto"/>
        <w:rPr>
          <w:sz w:val="20"/>
          <w:szCs w:val="20"/>
          <w:color w:val="auto"/>
        </w:rPr>
      </w:pPr>
      <w:r>
        <w:rPr>
          <w:rFonts w:ascii="Arial" w:cs="Arial" w:eastAsia="Arial" w:hAnsi="Arial"/>
          <w:sz w:val="16"/>
          <w:szCs w:val="16"/>
          <w:color w:val="auto"/>
        </w:rPr>
        <w:t>Federal agencies also have begun directly regulating emissions of methane from crude oil and natural gas operations. For example, in June 2016, the EPA published New Source Performance Standards, known as Subpart OOOOa, that requires certain new, modified or reconstructed facilities in the crude oil and natural gas sector to reduce these methane gas emissions. Although, in September 2020, the Trump Administration published regulations to rescind methane specific requirements and remove the transmission and storage segments from the crude oil and natural gas source category, the U.S. Congress approved, and President Biden signed into law, a resolution under the Congressional Review Act to repeal the September 2020 revisions, effectively reinstating the prior standards. Additionally, in November 2021, the EPA issued a proposed rule that, if finalized, would establish OOOOb as a new source and OOOOc as first-time existing source standards of performance for methane and VOC emissions for crude oil and natural gas source category. Owners or operators of affected emission units or processes would have to comply with specific standards of performance that may include leak detecting using optical gas imaging and subsequent repair requirements, reduction of regulated emissions through capture and control systems, zero-emission requirements for certain equipment or processes, operations and maintenance requirements and requirements for “green well” completions. The EPA issued a supplemental proposal in November 2022, which, among other items, sets forth specific revisions strengthening the first nationwide emission guidelines for states to limit methane emissions from existing crude oil and natural gas facilities. The proposal also revises requirements for fugitive emissions monitoring and repair as well as equipment leaks and the frequency of monitoring surveys, establishes a “super-emitter” response program to timely mitigate emissions events as detected by governmental agencies or qualified third parties and provides additional options for the use of advanced monitoring to encourage the deployment of innovative technologies to detect and reduce methane emissions. The proposal is currently subject to public comment and is expected to be finalized in 2023; however, it is likely that these requirements will be subject to legal challenges. Several states have also adopted rules to control and minimize methane emissions from the production of crude oil and natural gas, and others have considered or may consider doing so in the future.</w:t>
      </w:r>
    </w:p>
    <w:p>
      <w:pPr>
        <w:spacing w:after="0" w:line="17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At the international level, in December 2015, the United States and 194 other participating countries adopted the Paris Agreement, which calls for each participating country to establish their own nationally determined standards for reducing carbon output. President Biden recommitted the United States to the Paris Agreement and, in April 2021, announced a goal of reducing again at the 26th Conference to the Parties on the UN Framework Convention on Climate Change (“COP26”), during which multiple announcements were made, including a call for parties to eliminate fossil fuel subsidies and pursue further action on non-CO2 GHGs. Relatedly, the United States and European Union jointly announced the launch of the “Global Methane Pledge,” which aims to cut global methane pollution at least 30% by 2030 relative to 2020 levels, including “all feasible reductions” in the energy sector. These goals were reaffirmed in November 2022 at the 27th Conference of the Parties to the United Nations Framework Convention on Climate Change (“COP27”), where countries were also called upon to accelerate efforts towards the phase-out of inefficient fossil fuel subsidies. The United States also announced, in conjunction with the European Union and other partner countries, that it would develop standards for monitoring and reporting methane emissions to help create a market for low methane-intensity natural gas. Although no firm commitment or timeline to phase out all fossil fuels was made at COP27, there can be no guarantee that countries will not seek to implement such a phase-out in the future. The impacts of these actions cannot be predicted at this time.</w:t>
      </w:r>
    </w:p>
    <w:p>
      <w:pPr>
        <w:spacing w:after="0" w:line="17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adoption and implementation of any international, federal or state legislation or regulations that require reporting of GHGs or otherwise restrict emissions of GHGs could result in increased compliance costs or additional operating restrictions for our operators, and could have a material adverse effect on our business, financial condition and results of operations. On January 27, 2021, President Biden signed an executive order calling for substantial action on climate change, including, among other things, the increased use of zero-emissions vehicles by the federal government, the elimination of subsidies provided to the fossil fuel industry, and increased emphasis on climate-related risks across agencies and economic sectors. In August 2022, the IRA 2022 was signed into law, which amends the CAA to establish the first-ever federal fee on methane emissions that exceed certain thresholds from sources required to report their GHG emissions to the EPA, including certain crude oil and natural gas operations. The methane emissions charge will start in calendar year 2024 at $900 per ton of methane, increase to $1,200 in 2025, and be set at $1,500 for 2026 and subsequent years. The methane emissions fee could increase our operating costs. Additionally, the IRA 2022 appropriates significant federal funding for renewable energy initiatives and incentives, which could accelerate the transition away from fossil fuels and therefore reduce demand for our products and adversely affect our business and results of operations. Other actions taken by the Biden Administration, states, or local jurisdictions in the future, such as limitations or bans on products that rely on crude oil and natural gas, could also reduce demand for our products.</w:t>
      </w:r>
    </w:p>
    <w:p>
      <w:pPr>
        <w:spacing w:after="0" w:line="16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There is also a risk that financial institutions will be required to adopt policies that have the effect of reducing the funding provided to the fossil fuel sector. In late 2020, the Federal Reserve announced it has joined the Network for Greening the Financial System (“NGFS”), a consortium of financial regulators focused on addressing climate-related risks in the financial sector and, in November 2021, issued a statement in support of the efforts of the NGFS to identify key issues and potential solutions for the climate-related challenges most relevant to central banks and supervisory authorities. In January 2023, the Federal Reserve issued instructions for a pilot climate scenario analysis being undertaken by six of the United States’ largest banks, which is expected to conclude at the end of 2023. Limitation of investments in and financing for fossil fuel energy companies could result in the restriction, delay or cancellation of drilling programs or development or production activities. Ultimately, this could make it more difficult for operators to secure funding for exploration and production activities. Additionally, activist shareholders have introduced proposals that may seek to force companies to adopt aggressive emission reduction targets or restrict more carbon-intensive activities. While we cannot predict the outcomes of such actions, they could make it more difficult for operators to engage in exploration and production activities. In addition, the SEC has proposed rules that would require registrants to report climate-related risks and business strategies, and disclose information on Scope 1 and 2 GHG emissions and, in some cases, Scope 3 emissions. The final rule is expected in 2023 and the final form and substance of these requirements is not yet known. To the extent the rules impose additional reporting obligations, we could face increased costs. Finally, many scientists have concluded that increasing concentrations of GHG in the atmosphere may produce climate changes that have significant physical effects, such as increased frequency and severity of storms, droughts, floods and other climate events that could have an adverse effect on the Company’s operations. For more information, please see our risk factor titled “The operations of HighPeak Energy are subject to a variety of risks arising from climate change.”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Hydraulic Fracturing Activities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Hydraulic fracturing is an important and common practice that is used to stimulate production of crude oil and/or natural gas from dense subsurface rock formations. The hydraulic fracturing process involves the injection of water, proppants and chemicals under pressure into targeted subsurface formations to fracture the surrounding rock and stimulate production. Hydraulic fracturing is regularly used by operators of the Company’s assets. Hydraulic fracturing is typically regulated by state crude oil and natural gas commissions, but the EPA has asserted federal regulatory authority pursuant to the Safe Drinking Water Act (“SDWA”) over certain hydraulic fracturing activities involving the use of diesel fuels and published permitting guidance in February 2014 addressing the performance of such activities using diesel fuels. The EPA has issued final regulations under the CAA establishing performance standards, including standards for the capture of air emissions released during hydraulic fracturing, and also finalized rules in June 2016 that prohibit the discharge of wastewater from hydraulic fracturing operations to publicly owned wastewater treatment plants.</w:t>
      </w:r>
    </w:p>
    <w:p>
      <w:pPr>
        <w:spacing w:after="0" w:line="17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At the state level, several states have adopted or are considering legal requirements that could impose more stringent permitting, disclosure and well construction requirements on hydraulic fracturing activities. For example, the TRRC has adopted a “well integrity rule,” which updated the requirements for drilling, putting pipe down and cementing wells. The rule also imposes new testing and reporting requirements, such as (i) the requirement to submit</w:t>
      </w:r>
    </w:p>
    <w:p>
      <w:pPr>
        <w:sectPr>
          <w:pgSz w:w="11900" w:h="16838" w:orient="portrait"/>
          <w:cols w:equalWidth="0" w:num="1">
            <w:col w:w="11240"/>
          </w:cols>
          <w:pgMar w:left="320" w:top="584" w:right="339" w:bottom="0" w:gutter="0" w:footer="0" w:header="0"/>
        </w:sectPr>
      </w:pPr>
    </w:p>
    <w:bookmarkStart w:id="25" w:name="page26"/>
    <w:bookmarkEnd w:id="25"/>
    <w:p>
      <w:pPr>
        <w:spacing w:after="0" w:line="263" w:lineRule="auto"/>
        <w:rPr>
          <w:sz w:val="20"/>
          <w:szCs w:val="20"/>
          <w:color w:val="auto"/>
        </w:rPr>
      </w:pPr>
      <w:r>
        <w:rPr>
          <w:rFonts w:ascii="Arial" w:cs="Arial" w:eastAsia="Arial" w:hAnsi="Arial"/>
          <w:sz w:val="18"/>
          <w:szCs w:val="18"/>
          <w:color w:val="auto"/>
        </w:rPr>
        <w:t>cementing reports after well completion or after cessation of drilling, whichever is later, and (ii) the imposition of additional testing on wells less than 1,000 feet below usable groundwater. Local governments also may seek to adopt ordinances within their jurisdictions regulating the time, place and manner of drilling activities in general or hydraulic fracturing activities in particular.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ind w:right="120"/>
        <w:spacing w:after="0" w:line="311" w:lineRule="auto"/>
        <w:rPr>
          <w:sz w:val="20"/>
          <w:szCs w:val="20"/>
          <w:color w:val="auto"/>
        </w:rPr>
      </w:pPr>
      <w:r>
        <w:rPr>
          <w:rFonts w:ascii="Arial" w:cs="Arial" w:eastAsia="Arial" w:hAnsi="Arial"/>
          <w:sz w:val="16"/>
          <w:szCs w:val="16"/>
          <w:color w:val="auto"/>
        </w:rPr>
        <w:t>Certain governmental reviews are either underway or have been conducted that focus on the environmental aspects of hydraulic fracturing practices. For example, in December 2016, the EPA released its final report on the potential impacts of hydraulic fracturing on drinking water resources. The EPA report concluded that “water cycle” activities associated with hydraulic fracturing may impact drinking water resources under certain limited circumstances.</w:t>
      </w:r>
    </w:p>
    <w:p>
      <w:pPr>
        <w:spacing w:after="0" w:line="14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Compliance with existing laws has not had a material adverse effect on operations related to the Company’s assets, but if new or more stringent federal, state or local legal restrictions relating to the hydraulic fracturing process are adopted in areas where the Company’s assets are located, operators could incur potentially significant added costs to comply with such requirements, experience delays or curtailment in the pursuit of development activities, and perhaps even be precluded from drilling wells.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 Act and Migratory Birds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Endangered Species Act (“ESA”) and (in some cases) comparable state laws were established to protect endangered and threatened species. Pursuant to the ESA, if a species is listed as threatened or endangered, restrictions may be imposed on activities adversely affecting that species’ habitat. The U.S. Fish and Wildlife Service (“FWS”) may designate critical habitat and suitable habitat areas that it believes are necessary for survival of a threatened or endangered species. A critical habitat or suitable habitat designation could result in further material restrictions to land use and may materially delay or prohibit land access for crude oil and natural gas development. Moreover, as a result of a settlement approved by the U.S. District Court for the District of Columbia in September 2011, the FWS was required to make a determination on listing of more than 250 species as endangered or threatened under the ESA by no later than completion of the agency’s 2017 fiscal year. The agency missed the deadline but continues to review species for listing under the ESA. Similar protections are offered to migratory birds under the Migratory Bird Treaty Act (“MBTA”). The federal government in the past has pursued enforcement actions against crude oil and natural gas companies under the MBTA after dead migratory birds were found near reserve pits associated with drilling activities. Although the Department of Interior under the Trump Administration issued a rulemaking revoking its prior enforcement policy and concluded that an incidental take is not a violation of the MBTA, the Biden Administration has published a final rule rescinding this rulemaking, in addition to publishing an advanced notice of proposed rulemaking to codify a new definition for take that includes such incidental take as a violation of the MBTA. In any event, the identification or designation of previously unprotected species as threatened or endangered in areas where underlying property operations are conducted could cause increased costs arising from species protection measures or could result in limitations on development activities that could have an adverse impact on the ability to develop and produce reserves within the Company’s assets. For example, a review is currently pending to determine whether the dunes sagebrush lizard should be listed and, in November 2022 the FWS listed two distinct population segments of the lesser prairie-chicken under the ESA. If these species or others are listed, the FWS and similar state agencies may designate critical or suitable habitat areas that they believe are necessary for the survival of threatened or endangered species. If a portion of the Company’s assets were to be designated as a critical or suitable habitat, it could adversely impact the value of the Company’s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Occupational Safety and Health Act</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will be subject to the requirements of the federal Occupational Safety and Health Act (“OSHA”) and comparable state statutes whose purpose is to protect the health and safety of workers. Violations can result in civil or criminal penalties as well as required abatement. In addition, the OSHA hazard communication standard, the Emergency Planning and Community Right-to-Know Act and comparable state statutes and any implementing regulations require that the Company organizes and/or disclose information about hazardous materials used or produced in its operations and that this information be provided to employees, state and local governmental authorities and citizens.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Permits and Authorizations</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Many environmental laws require permits or other authorizations from state and/or federal agencies before initiating certain drilling, construction, production, operation or other crude oil and natural gas activities, and require maintaining these permits and compliance with their requirements for on-going operations. These permits are generally subject to protest, appeal or litigation, which could in certain cases delay or halt projects and cease production or operation of wells, pipelines and other operations related to the Company’s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Insurance</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maintains insurance against some risks associated with above or underground contamination that may occur as a result of development activities. However, this insurance is limited to activities at the well site and there can be no assurance that this insurance will continue to be commercially available or that this insurance will be available at premium levels that justify its purchase by the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believe that our employees are the foundation to fostering the safe operation of our assets. We foster a collaborative, inclusive and safety-minded work environment, focused on working safely every day. We seek to identify qualified internal and external talent for our organization, enabling us to execute on our strategic objectives.</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31, 2022, we employed forty-seven full-time employees dedicated to operating the Company’s assets. In connection with the HighPeak business combination, the Company acquired the entity that employs the employees dedicated to operating its assets and retained such employees that are necessary to efficiently operate its assets. None of these employees are covered by collective bargaining agreements, and we consider our employee relations to be good.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Health and Safety</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Safety is important to us and begins with the protection and safety of our employees, contractors and communities where we operate. We value people above all else and remain committed to making safety and health our top priority. We continually seek to maintain and deepen our safety culture by providing a safe working environment that encourages active employee engagement, including implementing safety programs to achieve improvements in our safety culture.</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taken steps to keep its employees safe during the COVID-19 pandemic by implementing preventative measures and developing response plans intended to minimize unnecessary risk of exposure and infection among its employees. The Company has also modified certain business practices (including those related to non-operational employee work locations, such as a significant reduction in physical participation in meetings, events and conferences) to conform to government restrictions and best practices encouraged by the Centers for Disease Control and Prevention, and other governmental and regulatory authorities.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committed to fostering a work environment in which all employees treat each other with dignity and respect. This commitment extends to providing equal employment and advancement opportunities based on merit and experience. We continually strive to attract a diverse workforce by identifying potential candidates to advance and strengthen our human capital management program.</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employee demographic profile allows us to promote inclusion of thought, skill, knowledge and culture across our operations to achieve our social obligations and commitments.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 and Retention</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value and provide opportunities for cross training and increased responsibilities, including leadership learning. These efforts allow us to recruit from within our organization for future vocational and occupational opportunities. Our management promotes formal and informal learning and development throughout the organization. We offer developmental programs focused on building the skills of our employees and to help advance employee careers, knowledge, and skillsets through training and related programs.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not party to lawsuits related to its assets other than those arising in the ordinary course of business or that will be retained by the contributors. Due to the nature of the crude oil and natural gas business, HighPeak Energy may, from time to time, be involved in other routine litigation or subject to disputes or claims related to the operation of the Company’s assets, including workers’ compensation claims and employment related disputes. In the opinion of management, none of these other pending litigation, disputes or claims against HighPeak Energy, if decided adversely, would have a material adverse effect on the Company’s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field office for HighPeak Energy is located at 303 West Wall Street, Suite 2202, Midland, Texas 79701.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There are many factors that may affect our business, financial condition and results of operations and investments in us. Security holders and potential investors in our securities should carefully consider the risk factors set forth below, as well as the discussion of other factors that could affect us or investments in us included elsewhere in this Annual Report. If one or more of these risks were to materialize, our business, financial condition or results of operations could be materially and adversely affected. These known material risks could cause our actual results to differ materially from those contained in any written or oral forward-looking statements made by us or on our behalf.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8" w:name="page29"/>
    <w:bookmarkEnd w:id="28"/>
    <w:p>
      <w:pPr>
        <w:ind w:right="180"/>
        <w:spacing w:after="0" w:line="259" w:lineRule="auto"/>
        <w:rPr>
          <w:sz w:val="20"/>
          <w:szCs w:val="20"/>
          <w:color w:val="auto"/>
        </w:rPr>
      </w:pPr>
      <w:r>
        <w:rPr>
          <w:rFonts w:ascii="Arial" w:cs="Arial" w:eastAsia="Arial" w:hAnsi="Arial"/>
          <w:sz w:val="18"/>
          <w:szCs w:val="18"/>
          <w:color w:val="auto"/>
        </w:rPr>
        <w:t>We are providing the following summary of the risk factors contained in this Annual Report to enhance the readability and accessibility of our risk factor disclosures. We encourage our stockholders to carefully review the full risk factors contained in this Annual Report in their entirety for additional information regarding the risks and uncertainties that could cause our actual results to vary materially from recent results or from our anticipated future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25" w:lineRule="exact"/>
        <w:rPr>
          <w:sz w:val="20"/>
          <w:szCs w:val="20"/>
          <w:color w:val="auto"/>
        </w:rPr>
      </w:pPr>
    </w:p>
    <w:p>
      <w:pPr>
        <w:ind w:left="66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Crude oil, NGL and natural gas prices are volatile. Sustained volatility, or declines in, crude oil, NGL and natural gas prices could adversely affect HighPeak Energy’s business, financial condition and results of operations and its ability to meet its capital expenditure obligations and other financial commitments.</w:t>
      </w:r>
    </w:p>
    <w:p>
      <w:pPr>
        <w:spacing w:after="0" w:line="2"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Reserve estimates depend on many assumptions that may turn out to be inaccurate. Any material inaccuracies in reserve estimates or underlying assumptions will materially affect the quantities and present value of reserves.</w:t>
      </w:r>
    </w:p>
    <w:p>
      <w:pPr>
        <w:ind w:left="660" w:right="4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HighPeak Energy’s development projects and acquisitions will require substantial capital expenditures. HighPeak Energy may be unable to obtain required capital or financing on satisfactory terms, including as a result of recent increases in cost of capital resulting from Federal Reserve policies or otherwise, which could reduce its ability to access or increase production and reserves.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existing and future indebtedness may adversely affect our cash flows and ability to operate our business, remain in compliance and repay our debt.</w:t>
      </w:r>
    </w:p>
    <w:p>
      <w:pPr>
        <w:ind w:left="660" w:right="14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not be able to generate sufficient cash to pay, when due, the principal of, interest on or other amounts due in respect of our indebtedness and may be forced to take other actions to satisfy our obligations under our debt agreements, which may not be successful.</w:t>
      </w:r>
    </w:p>
    <w:p>
      <w:pPr>
        <w:ind w:left="660" w:right="2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HighPeak Energy has experienced periods of higher costs as commodity prices have risen and inflation may adversely affect our operating results, which negatively impacts our profitability, cash flow and ability to complete development activities as planned. Continuing or worsening inflationary issues and associated changes in monetary policy have resulted in and may result in additional increases to the cost of our goods, services and personnel, which in turn could cause our capital expenditures and operating costs to rise.</w:t>
      </w:r>
    </w:p>
    <w:p>
      <w:pPr>
        <w:ind w:left="660" w:right="38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Political instability or armed conflict in crude oil or natural gas producing regions, such as the ongoing war between Russia and Ukraine, and OPEC+ policy decisions could have a material adverse impact on our business, financial condition or future results.</w:t>
      </w:r>
    </w:p>
    <w:p>
      <w:pPr>
        <w:ind w:left="660" w:right="36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marketability of HighPeak Energy’s production is dependent upon transportation, storage and other facilities, certain of which it does not control. If these facilities are unavailable, in whole or in part, HighPeak Energy’s operations could be interrupted, and its revenues reduced.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factors could require HighPeak Energy to shut-in production or cease its capital expenditure program.</w:t>
      </w:r>
    </w:p>
    <w:p>
      <w:pPr>
        <w:spacing w:after="0" w:line="21" w:lineRule="exact"/>
        <w:rPr>
          <w:rFonts w:ascii="Arial" w:cs="Arial" w:eastAsia="Arial" w:hAnsi="Arial"/>
          <w:sz w:val="18"/>
          <w:szCs w:val="18"/>
          <w:color w:val="auto"/>
        </w:rPr>
      </w:pPr>
    </w:p>
    <w:p>
      <w:pPr>
        <w:ind w:left="660" w:right="20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of the undeveloped leasehold acreage of HighPeak Energy’s assets is subject to leases that will expire over the next several years unless production is established on units containing the acreage or the leases are renewed.</w:t>
      </w:r>
    </w:p>
    <w:p>
      <w:pPr>
        <w:spacing w:after="0" w:line="1" w:lineRule="exact"/>
        <w:rPr>
          <w:rFonts w:ascii="Arial" w:cs="Arial" w:eastAsia="Arial" w:hAnsi="Arial"/>
          <w:sz w:val="18"/>
          <w:szCs w:val="18"/>
          <w:color w:val="auto"/>
        </w:rPr>
      </w:pPr>
    </w:p>
    <w:p>
      <w:pPr>
        <w:ind w:left="660" w:right="6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Certain factors could require HighPeak Energy to write-down the carrying values of its crude oil and natural gas properties, including commodity prices decreasing to a level such that future undiscounted cash flows from its properties are less than their carrying value.</w:t>
      </w:r>
    </w:p>
    <w:p>
      <w:pPr>
        <w:ind w:left="660" w:right="4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Drilling for and producing crude oil and natural gas are high risk activities with many uncertainties that could adversely affect HighPeak Energy’s business, financial condition or results of operations.</w:t>
      </w:r>
    </w:p>
    <w:p>
      <w:pPr>
        <w:ind w:left="660" w:right="40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in the Credit Agreement, the indentures governing the 10.000% Senior Notes and the 10.625% Senior Notes and any future debt agreements could limit HighPeak Energy’s growth and ability to engage in certain activities.</w:t>
      </w:r>
    </w:p>
    <w:p>
      <w:pPr>
        <w:ind w:left="660" w:right="11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significant reduction in HighPeak Energy’s borrowing base under the Credit Agreement as a result of periodic borrowing base redeterminations or otherwise may negatively impact HighPeak Energy’s ability to fund its operations.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Hedging transactions expose HighPeak Energy to counterparty credit risk and may become more costly or unavailable.</w:t>
      </w:r>
    </w:p>
    <w:p>
      <w:pPr>
        <w:spacing w:after="0" w:line="21" w:lineRule="exact"/>
        <w:rPr>
          <w:rFonts w:ascii="Arial" w:cs="Arial" w:eastAsia="Arial" w:hAnsi="Arial"/>
          <w:sz w:val="18"/>
          <w:szCs w:val="18"/>
          <w:color w:val="auto"/>
        </w:rPr>
      </w:pPr>
    </w:p>
    <w:p>
      <w:pPr>
        <w:ind w:left="660" w:right="2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standardized measure of estimated reserves may not be an accurate estimate of the current fair value of estimated crude oil and natural gas reserves.</w:t>
      </w:r>
    </w:p>
    <w:p>
      <w:pPr>
        <w:spacing w:after="0" w:line="1"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Properties that HighPeak Energy acquires may not produce as projected, and HighPeak Energy may be unable to determine reserve potential, identify liabilities associated with such properties or obtain protection from sellers against such liabilities.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weather conditions may negatively affect HighPeak Energy’s operating results and ability to conduct drilling activities.</w:t>
      </w:r>
    </w:p>
    <w:p>
      <w:pPr>
        <w:spacing w:after="0" w:line="21"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HighPeak Energy’s operations are substantially dependent on the availability of sand and water. Restrictions on its ability to obtain sand and water may have an adverse effect on its financial condition, results of operations and cash flows.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assets are located in the northeastern Midland Basin, making HighPeak Energy vulnerable to risks associated with operating in a limited geographic area.</w:t>
      </w:r>
    </w:p>
    <w:p>
      <w:pPr>
        <w:ind w:left="660" w:right="8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Unless HighPeak Energy replaces its reserves with new reserves and develops those new reserves, its reserves and production will decline, which would adversely affect future cash flows and results of operations.</w:t>
      </w:r>
    </w:p>
    <w:p>
      <w:pPr>
        <w:ind w:left="660" w:right="4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HighPeak Energy depends upon a small number of significant purchasers for the sale of most of its crude oil, NGL and natural gas production. The loss of one or more of such purchasers could, among other factors, limit HighPeak Energy’s access to suitable markets for the crude oil, NGL and natural gas it produces.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9" w:name="page30"/>
    <w:bookmarkEnd w:id="29"/>
    <w:p>
      <w:pPr>
        <w:ind w:left="66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HighPeak Energy may be unable to make additional attractive acquisitions or successfully integrate acquired businesses with its current assets, and any inability to do so may disrupt its business and hinder its ability to grow.</w:t>
      </w:r>
    </w:p>
    <w:p>
      <w:pPr>
        <w:spacing w:after="0" w:line="1" w:lineRule="exact"/>
        <w:rPr>
          <w:rFonts w:ascii="Arial" w:cs="Arial" w:eastAsia="Arial" w:hAnsi="Arial"/>
          <w:sz w:val="18"/>
          <w:szCs w:val="18"/>
          <w:color w:val="auto"/>
        </w:rPr>
      </w:pPr>
    </w:p>
    <w:p>
      <w:pPr>
        <w:ind w:left="660" w:right="200" w:hanging="328"/>
        <w:spacing w:after="0" w:line="26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unavailability or high cost of drilling rigs, equipment, supplies, personnel, frac crews and oilfield services due to commodity price volatility or supply constraints as a result of the conflict in Ukraine, the COVID-19 pandemic, rising interest rates and associated policies of the Federal Reserve could adversely affect HighPeak Energy’s ability to execute its development plans within its budget and on a timely basis and consequently could materially and adversely affect our cash flows and results of operations.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IRA 2022 could accelerate the transition to a low carbon economy and could impose new costs on our operations.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HighPeak Energy may be involved in legal proceedings that could result in substantial liabilities.</w:t>
      </w:r>
    </w:p>
    <w:p>
      <w:pPr>
        <w:spacing w:after="0" w:line="36" w:lineRule="exact"/>
        <w:rPr>
          <w:rFonts w:ascii="Arial" w:cs="Arial" w:eastAsia="Arial" w:hAnsi="Arial"/>
          <w:sz w:val="18"/>
          <w:szCs w:val="18"/>
          <w:color w:val="auto"/>
        </w:rPr>
      </w:pPr>
    </w:p>
    <w:p>
      <w:pPr>
        <w:ind w:left="660" w:right="14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Should our operators fail to comply with all applicable regulatory agency administered statutes, rules, regulations and orders, our operators could be subject to substantial penalties and fines.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operations of HighPeak Energy are subject to a variety of risks arising from climate change.</w:t>
      </w:r>
    </w:p>
    <w:p>
      <w:pPr>
        <w:spacing w:after="0" w:line="21" w:lineRule="exact"/>
        <w:rPr>
          <w:rFonts w:ascii="Arial" w:cs="Arial" w:eastAsia="Arial" w:hAnsi="Arial"/>
          <w:sz w:val="18"/>
          <w:szCs w:val="18"/>
          <w:color w:val="auto"/>
        </w:rPr>
      </w:pPr>
    </w:p>
    <w:p>
      <w:pPr>
        <w:ind w:left="660" w:right="40" w:hanging="328"/>
        <w:spacing w:after="0" w:line="274"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Federal, state and local legislative and regulatory initiatives relating to hydraulic fracturing could result in increased costs and additional operating restrictions or delays in the completion of crude oil and natural gas wells and adversely affect HighPeak Energy’s production.</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Continued increases in interest rates could adversely affect HighPeak Energy’s business.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HighPeak Energy’s business could be adversely affected by security threats, including cyber-security threats, and related disruptions.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Securities</w:t>
      </w:r>
    </w:p>
    <w:p>
      <w:pPr>
        <w:spacing w:after="0" w:line="225" w:lineRule="exact"/>
        <w:rPr>
          <w:sz w:val="20"/>
          <w:szCs w:val="20"/>
          <w:color w:val="auto"/>
        </w:rPr>
      </w:pPr>
    </w:p>
    <w:p>
      <w:pPr>
        <w:ind w:left="660" w:right="260" w:hanging="328"/>
        <w:spacing w:after="0" w:line="271"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are evaluating strategic alternatives, including a possible sale of the Company, and there can be no assurance that we will be successful in identifying or completing any strategic alternative transactions, that any such strategic alternative transactions will result in additional value for our shareholders or that the process will not have an adverse impact on our business and shareholders.</w:t>
      </w:r>
    </w:p>
    <w:p>
      <w:pPr>
        <w:ind w:left="660" w:right="14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HighPeak Energy is a “controlled company” within the meaning of Nasdaq rules and qualifies for exemptions from certain corporate governance requirements. As a result, you do not have the same protections afforded to stockholders of companies that are not exempt from such corporate governance requirements.</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changes in effective tax rates or laws or adverse outcomes resulting from examination of HighPeak Energy’s income or other tax returns could adversely affect HighPeak Energy’s financial condition, results of operations and cash flow.</w:t>
      </w:r>
    </w:p>
    <w:p>
      <w:pPr>
        <w:ind w:left="660" w:right="260" w:hanging="328"/>
        <w:spacing w:after="0" w:line="277"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HighPeak Energy is an emerging growth company within the meaning of the Securities Act, and if HighPeak Energy takes advantage of certain exemptions from disclosure requirements available to emerging growth companies, which could make HighPeak Energy’s common stock less attractive to investors and may make it more difficult to compare its performance with other public companies.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Crude oil, NGL and natural gas prices are volatile. Sustained volatility, or declines in, crude oil, NGL and natural gas prices could adversely affect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financial condition and results of operations and its ability to meet its capital expenditure obligations and other financial commitments.</w:t>
      </w:r>
    </w:p>
    <w:p>
      <w:pPr>
        <w:spacing w:after="0" w:line="18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prices HighPeak Energy receives for its crude oil, NGL and natural gas production heavily influence its revenue, profitability, access to capital, future rate of growth and the carrying value of its properties. The markets for crude oil and natural gas have been volatile historically and are likely to remain volatile in the future. For example, during the period from January 1, 2018 through December 31, 2022, the calendar month average NYMEX WTI crude oil price per Bbl ranged from a low of $16.70 to a high of $114.34, and the last trading day NYMEX natural gas price per MMBtu ranged from a low of $1.50 to a high of $9.35. For the month of April 2020, the calendar month average NYMEX WTI crude oil price was $16.70 per Bbl and the last trading day NYMEX natural gas price was $1.63 per MMBtu. One of the factors which caused the fall in prices was OPEC+ being unable to reach an agreement on production levels for crude oil, which resulted in Saudi Arabia and Russia initiating efforts to increase production. The convergence of these events, along with the significantly reduced demand because of the COVID-19 pandemic, created an unprecedented global crude oil and natural gas supply and demand imbalance, reduced global crude oil and natural gas storage capacity, caused crude oil and natural gas prices to decline significantly and resulted in continued volatility in crude oil, NGL and natural gas prices into the second quarter of 2020. Prices have recovered to pre-pandemic levels, with the calendar month average NYMEX WTI crude oil price of $76.52 per Bbl and the last trading day NYMEX natural gas price of $6.71 per MMBtu for the month of December 2022. However, there can be no certainty that commodity prices will sustain at these levels or continue to increase.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spacing w:after="0" w:line="263" w:lineRule="auto"/>
        <w:rPr>
          <w:sz w:val="20"/>
          <w:szCs w:val="20"/>
          <w:color w:val="auto"/>
        </w:rPr>
      </w:pPr>
      <w:r>
        <w:rPr>
          <w:rFonts w:ascii="Arial" w:cs="Arial" w:eastAsia="Arial" w:hAnsi="Arial"/>
          <w:sz w:val="18"/>
          <w:szCs w:val="18"/>
          <w:color w:val="auto"/>
        </w:rPr>
        <w:t>Likewise, NGL, which are made up of ethane, propane, isobutane, normal butane and natural gasoline, each of which has different uses and pricing characteristics, have also fluctuated widely during this period. The prices HighPeak Energy receives for its production, and the levels of HighPeak Energy’s production, will depend on numerous factors beyond HighPeak Energy’s control, which include the following:</w:t>
      </w:r>
    </w:p>
    <w:p>
      <w:pPr>
        <w:spacing w:after="0" w:line="184" w:lineRule="exact"/>
        <w:rPr>
          <w:sz w:val="20"/>
          <w:szCs w:val="20"/>
          <w:color w:val="auto"/>
        </w:rPr>
      </w:pPr>
    </w:p>
    <w:p>
      <w:pPr>
        <w:ind w:left="660" w:right="20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worldwide and regional economic conditions, including rising interest rates and associated policies of the Federal Reserve, impacting the global supply and demand for crude oil, NGL and natural gas;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and quantity of foreign imports of crude oil, NGL and natural gas;</w:t>
      </w:r>
    </w:p>
    <w:p>
      <w:pPr>
        <w:spacing w:after="0" w:line="21" w:lineRule="exact"/>
        <w:rPr>
          <w:rFonts w:ascii="Arial" w:cs="Arial" w:eastAsia="Arial" w:hAnsi="Arial"/>
          <w:sz w:val="18"/>
          <w:szCs w:val="18"/>
          <w:color w:val="auto"/>
        </w:rPr>
      </w:pPr>
    </w:p>
    <w:p>
      <w:pPr>
        <w:ind w:left="660" w:right="120" w:hanging="328"/>
        <w:spacing w:after="0" w:line="274"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domestic and global political and economic conditions, such as the ongoing conflict in Ukraine, socio-political unrest and instability, terrorism or hostilities in or affecting other producing regions or countries, including the Middle East, Africa, South America and Russia;</w:t>
      </w:r>
    </w:p>
    <w:p>
      <w:pPr>
        <w:ind w:left="660" w:right="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occurrence or threat of epidemic or pandemic diseases, such as the recent and ongoing outbreak of COVID-19, or any government response to such occurrence or threat;</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actions of OPEC, its members and other state-controlled crude oil companies relating to crude oil price and production controls;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global exploration, development and production;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global inventories;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prevailing prices, and expectations regarding future prices, on local price indexes in the areas in which HighPeak Energy operates;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proximity, capacity, cost and availability of gathering and transportation facilities;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localized and global supply and demand fundamentals and transportation availability;</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exploring for, developing, producing and transporting reserves;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36" w:lineRule="exact"/>
        <w:rPr>
          <w:rFonts w:ascii="Arial" w:cs="Arial" w:eastAsia="Arial" w:hAnsi="Arial"/>
          <w:sz w:val="18"/>
          <w:szCs w:val="18"/>
          <w:color w:val="auto"/>
        </w:rPr>
      </w:pPr>
    </w:p>
    <w:p>
      <w:pPr>
        <w:ind w:left="660" w:right="3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and availability of alternative fuels, including the potential acceleration of the development of alternative fuels as a result of the IRA 2022 or otherwise;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expectations about future commodity prices; and</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federal, state and local and non-U.S. governmental regulation and taxes.</w:t>
      </w:r>
    </w:p>
    <w:p>
      <w:pPr>
        <w:spacing w:after="0" w:line="2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Lower commodity prices may reduce HighPeak Energy’s cash flow and borrowing ability. If HighPeak Energy is unable to obtain needed capital or financing on satisfactory terms, its ability to develop future reserves could be adversely affected. Also, using lower prices in estimating proved reserves may result in a reduction in proved reserve volumes due to economic limits. In addition, sustained periods with lower crude oil and natural gas prices may adversely affect drilling economics and HighPeak Energy’s ability to raise capital, which may require it to re-evaluate and postpone or eliminate its development program, and result in the reduction of some proved undeveloped reserves and related standardized measure. If HighPeak Energy is required to curtail its drilling program, HighPeak Energy may be unable to hold leases that are scheduled to expire, which may further reduce reserves. As a result, a substantial or extended decline in commodity prices may materially and adversely affect HighPeak Energy’s future business, financial condition, results of operations, liquidity and ability to finance planned capital expenditures.</w:t>
      </w:r>
    </w:p>
    <w:p>
      <w:pPr>
        <w:spacing w:after="0" w:line="1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Reserve estimates depend on many assumptions that may turn out to be inaccurate. Any material inaccuracies in reserve estimates or underlying assumptions will materially affect the quantities and present value of reserves.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Numerous uncertainties are inherent in estimating quantities of crude oil and natural gas reserves. Our estimates of our SEC reserves are based upon average commodity prices over the prior 12 months, which may not reflect actual prices received for our production. For example, our reserve volumes and PV-10 as disclosed in this Annual Report are based on assumed commodity prices of $93.67 per Bbl of crude oil and $6.358 per MMBtu of natural gas as of December 31, 2022, which are substantially higher than the December 31, 2022 front-month forward pricing of $80.26 per Bbl of crude oil and $4.475 per Mcf of natural gas. Accordingly, you are cautioned not to place undue weight on our reserve volumes or PV-10 based on such pricing when evaluating our financial condition or an investment in our securities. The process of estimating crude oil and natural gas reserves is complex. It requires interpretations of available technical data and many assumptions, including assumptions relating to current and future economic conditions and commodity prices. Any significant inaccuracies in these interpretations or assumptions could materially affect the estimated quantities and present value of reserves. To prepare the reserve estimates included in this Annual Report, CG&amp;A analyzed available geological, geophysical, production and engineering data and projected the production rates and timing of development expenditures. The extent, quality and reliability of this data can vary. The process also requires economic assumptions about matters such as crude oil and natural gas prices, drilling and operating expenses, capital expenditures, taxes and availability of funds.</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Actual future production, crude oil, NGL and natural gas prices, revenues, taxes, development expenditures, operating expenses and quantities of recoverable crude oil and natural gas reserves may vary from the estimates included in this Annual Report. For instance, initial production rates reported by HighPeak Energy or other operators may not be indicative of future or long-term production rates, and recovery efficiencies may be worse than expected and production declines may be greater than estimated and may be more rapid and irregular compared with initial production rates. In addition, estimates of proved reserves may be adjusted to reflect additional production history, results of development activities, current commodity prices and other existing factors. Any significant variance could materially affect the estimated quantities and present value of reserves. Moreover, there can be no assurance that reserves will ultimately be produced or that proved undeveloped reserves will be developed within the periods anticipated.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1" w:name="page32"/>
    <w:bookmarkEnd w:id="31"/>
    <w:p>
      <w:pPr>
        <w:ind w:right="360"/>
        <w:spacing w:after="0" w:line="286" w:lineRule="auto"/>
        <w:rPr>
          <w:sz w:val="20"/>
          <w:szCs w:val="20"/>
          <w:color w:val="auto"/>
        </w:rPr>
      </w:pPr>
      <w:r>
        <w:rPr>
          <w:rFonts w:ascii="Arial" w:cs="Arial" w:eastAsia="Arial" w:hAnsi="Arial"/>
          <w:sz w:val="17"/>
          <w:szCs w:val="17"/>
          <w:b w:val="1"/>
          <w:bCs w:val="1"/>
          <w:i w:val="1"/>
          <w:iCs w:val="1"/>
          <w:color w:val="auto"/>
        </w:rPr>
        <w:t>HighPeak Energy</w:t>
      </w:r>
      <w:r>
        <w:rPr>
          <w:rFonts w:ascii="Arial" w:cs="Arial" w:eastAsia="Arial" w:hAnsi="Arial"/>
          <w:sz w:val="17"/>
          <w:szCs w:val="17"/>
          <w:color w:val="auto"/>
        </w:rPr>
        <w:t>’</w:t>
      </w:r>
      <w:r>
        <w:rPr>
          <w:rFonts w:ascii="Arial" w:cs="Arial" w:eastAsia="Arial" w:hAnsi="Arial"/>
          <w:sz w:val="17"/>
          <w:szCs w:val="17"/>
          <w:b w:val="1"/>
          <w:bCs w:val="1"/>
          <w:i w:val="1"/>
          <w:iCs w:val="1"/>
          <w:color w:val="auto"/>
        </w:rPr>
        <w:t>s development projects and acquisitions will require substantial capital expenditures. HighPeak Energy may be unable to obtain required capital or financing on satisfactory terms, including as a result of recent increases in the cost of capital resulting from Federal Reserve policies or otherwise, which could reduce its ability to access or increase production and reserves.</w:t>
      </w:r>
    </w:p>
    <w:p>
      <w:pPr>
        <w:spacing w:after="0" w:line="16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crude oil and natural gas industry is capital-intensive. HighPeak Energy has evaluated multiple development scenarios under multiple potential commodity price assumptions. Under its current 2023 development program, HighPeak Energy would expect to incur approximately $1.1 to $1.2 billion of capital expenditures for drilling, completion, facilities and equipping costs and $50 - $60 million for field infrastructure, land and other costs. The ability to make these capital expenditures will be highly dependent on the price of crude oil and available funding of HighPeak Energy. Commodity prices have recovered from their April 2020 lows, with the calendar month average NYMEX WTI price of $76.52 per Bbl and last trading day NYMEX natural gas price of $6.712 per MMBtu for the month of December 2022. HighPeak Energy ran a four-rig program during the first half of 2022 and increased to a six-rig program beginning in July 2022, subsequent to closing the Hannathon Acquisition. HighPeak Energy expects to average four to five (4-5) drilling rigs and two to three (2-3) frac crews during 2023. However, HighPeak Energy recognizes that commodity prices remain highly volatile and that its liquidity is limited, and as a result, there is no certainty that HighPeak Energy will operate a four to five (4-5) rig development program in the future.</w:t>
      </w:r>
    </w:p>
    <w:p>
      <w:pPr>
        <w:spacing w:after="0" w:line="16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HighPeak Energy expects to fund its forecasted capital expenditures with cash on its balance sheet, cash generated by operations, through borrowings under the Credit Agreement, proceeds from the issuance and sale of the 10.000% Senior Notes and the 10.625% Senior Notes and, depending on market circumstances, potential future debt or equity offerings. For terms of the Credit Agreement and the indentures governing the 10.000% Senior Notes and 10.625% Senior Notes, see Note 7 of Notes to Consolidated Financial Statements included in “Item 8. Financial Statements and Supplementary Data.”</w:t>
      </w:r>
    </w:p>
    <w:p>
      <w:pPr>
        <w:spacing w:after="0" w:line="15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Cash flows from operations are subject to significant uncertainty. As a result, the amount of liquidity that HighPeak Energy will have in the future is uncertain.</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HighPeak Energy’s financing needs may require it to alter or increase its capitalization substantially through the issuance of debt or equity securities or the sale of assets. The availability and cost of these capital sources is cyclical, and these capital sources may not remain available, or we may not be able to obtain financing at a reasonable cost in the future. For example, due to the high levels of inflation in the U.S., the Federal Reserve and other central banks increased interest rates multiple times in 2022, once so far in 2023 and have indicated that such increases will continue further into 2023. Such increased interest rates may increase the cost of capital and prevent us from being able to obtain debt financing at favorable rates, or at all, which would materially impact our operations. In addition, conditions in the global capital markets have been volatile due to the conflict in Ukraine, the COVID-19 pandemic or otherwise, making terms for certain types of financing difficult to predict, and in certain cases, resulting in certain types of financing being unavailable. Further, the issuance of additional indebtedness would require that an additional portion of cash flow from operations be used for the payment of interest and principal on its indebtedness, thereby further reducing its ability to use cash flow from operations to fund working capital, capital expenditures and acquisitions. The issuance of additional equity securities would be dilutive to existing stockholders. The actual amount and timing of future capital expenditures may differ materially from estimates as a result of, among other things: commodity prices; actual drilling results; the availability of drilling rigs and other services and equipment; and regulatory, technological and competitive developments. A reduction in commodity prices from current levels may result in a decrease in actual capital expenditures, which would negatively impact HighPeak Energy’s ability to increase production.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HighPeak Energy’s cash flow from operations and access to capital are subject to several variables, including:</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prices at which HighPeak Energy’s production is sold;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proved reserves;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hydrocarbons HighPeak Energy is able to produce from its wells;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HighPeak Energy’s ability to acquire, locate and produce new reserves;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HighPeak Energy’s operating expenses;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settlements from HighPeak Energy’s derivative activities;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HighPeak Energy’s ability to obtain additional debt financing, including increases to the Credit Agreement;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duration of economic uncertainty surrounding the COVID-19 pandemic;</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duration and scope of the ongoing war between Russia and Ukraine;</w:t>
      </w:r>
    </w:p>
    <w:p>
      <w:pPr>
        <w:spacing w:after="0" w:line="36" w:lineRule="exact"/>
        <w:rPr>
          <w:rFonts w:ascii="Arial" w:cs="Arial" w:eastAsia="Arial" w:hAnsi="Arial"/>
          <w:sz w:val="18"/>
          <w:szCs w:val="18"/>
          <w:color w:val="auto"/>
        </w:rPr>
      </w:pPr>
    </w:p>
    <w:p>
      <w:pPr>
        <w:ind w:left="660" w:right="14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duration and uncertainty of OPEC+’s agreement not to increase production above agreed levels and the compliance by its members with their respective production quotas during the term of the agreement;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HighPeak Energy’s ability to obtain storage capacity for the crude oil it produces;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in the instruments governing HighPeak Energy’s debt on HighPeak Energy’s ability to incur additional indebtedness;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HighPeak Energy’s ability to access the public or private capital markets.</w:t>
      </w:r>
    </w:p>
    <w:p>
      <w:pPr>
        <w:spacing w:after="0" w:line="25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Should HighPeak Energy’s revenues or the borrowing base under the Credit Agreement decrease as a result of lower crude oil, NGL and natural gas prices, operational difficulties, declines in reserves or for any other reason, HighPeak Energy may have limited ability to obtain the capital necessary to sustain operations at expected levels. If additional capital is needed, HighPeak Energy may not be able to obtain debt or equity financing on terms acceptable to it, if at all, due to rising interest rates and associated policies of the Federal reserve, or otherwise. If cash flow generated by HighPeak Energy’s operations or available debt financing, including borrowings under the Credit Agreement, are insufficient to meet its capital requirements, the failure to obtain additional financing could result in a curtailment of the development of HighPeak Energy’s properties, which in turn could lead to a decline in reserves and production and could materially and adversely affect HighPeak Energy’s business, financial condition and results of operations. If HighPeak Energy seeks and obtains additional financing, subject to the restrictions in the instruments governing its existing debt, the addition of new debt to existing debt levels could intensify the operational risks that HighPeak Energy will face. Further, adding new debt could limit HighPeak Energy’s ability to service existing debt service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existing and future indebtedness may adversely affect our cash flows and ability to operate our business, remain in compliance and repay our debt.</w:t>
      </w:r>
    </w:p>
    <w:p>
      <w:pPr>
        <w:spacing w:after="0" w:line="26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December 31, 2022, we had $745.0 million of total indebtedness, including $225.0 million outstanding of our 10.000% Senior Notes, $250.0 million outstanding of our 10.625% Senior Notes and $270.0 million of indebtedness outstanding under our Credit Agreement, and available capacity under our Credit Agreement of $252.6 million. The entirety of our $745.0 million of total indebtedness is maturing in 2024. If (i) the terms of the 10.000% Senior Notes are not amended to extend the scheduled repayment thereof to no earlier than October 1, 2024 or (ii) the 10.000% Senior Notes are not redeemed or refinanced prior to October 1, 2023, then pursuant to the terms of the Credit Agreement, in each case, all our outstanding borrowings under the Credit Agreement will mature and become due on October 1, 2023.</w:t>
      </w:r>
    </w:p>
    <w:p>
      <w:pPr>
        <w:sectPr>
          <w:pgSz w:w="11900" w:h="16838" w:orient="portrait"/>
          <w:cols w:equalWidth="0" w:num="1">
            <w:col w:w="11240"/>
          </w:cols>
          <w:pgMar w:left="320" w:top="584" w:right="339" w:bottom="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spacing w:after="0" w:line="290" w:lineRule="auto"/>
        <w:rPr>
          <w:sz w:val="20"/>
          <w:szCs w:val="20"/>
          <w:color w:val="auto"/>
        </w:rPr>
      </w:pPr>
      <w:r>
        <w:rPr>
          <w:rFonts w:ascii="Arial" w:cs="Arial" w:eastAsia="Arial" w:hAnsi="Arial"/>
          <w:sz w:val="16"/>
          <w:szCs w:val="16"/>
          <w:color w:val="auto"/>
        </w:rPr>
        <w:t>Among other events of default, an event of default will occur under the Credit Agreement if HighPeak Energy should fail to make any payment (whether of principal or interest and regardless of amount) in respect of any material debt (including under the 10.000% Senior Notes and 10.625% Senior Notes), when and as the same shall become due and payable and such failure to pay continues beyond any applicable grace period, or any event or condition occurs that results in any material debt becoming due prior to its scheduled maturity or that enables or permits (with or without the giving of notice, the lapse of time or both) the holder or holders of any material debt or any trustee or agent on its or their behalf to cause any material debt to become due, or to require the redemption thereof or any offer to redeem to be made in respect thereof, prior to its scheduled maturity or require HighPeak Energy to make an offer in respect thereof and such event or condition continues beyond any applicable grace period. In the event of a default under these circumstances, lenders could terminate their commitments to lend or accelerate the loans and declare all amounts borrowed due and payable.</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may be unable to repay amounts due when they become due, and our ability to refinance our indebtedness on reasonable terms may be limited. Although our debt agreements contain restrictions on the incurrence of additional indebtedness, these restrictions are subject to several significant qualifications and exceptions, and any indebtedness incurred in compliance with these restrictions could be substantial, and some of which may be secured by our assets. Our current level of indebtedness could have important consequences, such as:</w:t>
      </w:r>
    </w:p>
    <w:p>
      <w:pPr>
        <w:spacing w:after="0" w:line="18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making it difficult for us to satisfy our obligations under our indebtedness and contractual and commercial commitments;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36" w:lineRule="exact"/>
        <w:rPr>
          <w:rFonts w:ascii="Arial" w:cs="Arial" w:eastAsia="Arial" w:hAnsi="Arial"/>
          <w:sz w:val="18"/>
          <w:szCs w:val="18"/>
          <w:color w:val="auto"/>
        </w:rPr>
      </w:pPr>
    </w:p>
    <w:p>
      <w:pPr>
        <w:ind w:left="660" w:right="1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the availability of our cash flow to fund working capital, capital expenditures and other general corporate purposes;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 and the industry in which we operate;</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exploiting business opportunities;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36" w:lineRule="exact"/>
        <w:rPr>
          <w:rFonts w:ascii="Arial" w:cs="Arial" w:eastAsia="Arial" w:hAnsi="Arial"/>
          <w:sz w:val="18"/>
          <w:szCs w:val="18"/>
          <w:color w:val="auto"/>
        </w:rPr>
      </w:pPr>
    </w:p>
    <w:p>
      <w:pPr>
        <w:ind w:left="660" w:right="200" w:hanging="328"/>
        <w:spacing w:after="0" w:line="274"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preventing us from raising the funds necessary to repurchase notes tendered to us if there is a change of control, which could constitute a default under the indentures governing the 10.000% Senior Notes and 10.625% Senior Notes and the Credit Agreement; and</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decreasing our ability to compete effectively or operate successfully under adverse economic and industry conditions.</w:t>
      </w:r>
    </w:p>
    <w:p>
      <w:pPr>
        <w:spacing w:after="0" w:line="23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We may not be able to generate sufficient cash to pay, when due, the principal of, interest on or other amounts due in respect of our indebtedness and may be forced to take other actions to satisfy our obligations under our debt agreements, which may not be successful.</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expect our results of operations and cash flows to vary significantly from year to year due to the cyclical nature of the crude oil and natural gas industry. As a result, the amount of debt that we can manage in some periods may not be appropriate for us in other periods. In addition, our future cash flows may be insufficient to meet our debt obligations and commitments, including the 10.000% Senior Notes and 10.625% Senior Notes. Any insufficiency could negatively impact our business. A range of economic, competitive, business and industry factors will affect our future financial performance, and as a result, our ability to generate cash flows from operations and to pay our debt, including the 10.000% Senior Notes and 10.625% Senior Notes. Many of these factors, such as crude oil, NGL and natural gas prices, regulatory factors, economic and financial conditions in our industry and the global economy or competitive initiatives of our competitors, are beyond our control. If we do not generate sufficient cash flows from operations to satisfy our debt obligations, we may have to undertake alternative financing plans, such as:</w:t>
      </w:r>
    </w:p>
    <w:p>
      <w:pPr>
        <w:spacing w:after="0" w:line="17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refinancing or restructuring our debt;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selling assets;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reducing or delaying capital investments; or</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seeking to raise additional capital.</w:t>
      </w:r>
    </w:p>
    <w:p>
      <w:pPr>
        <w:spacing w:after="0" w:line="2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However, any alternative financing plans that we undertake, if necessary, may not allow us to meet our debt obligations. We cannot assure you that any refinancing or debt restructuring would be possible, that any assets could be sold or that, if sold, the timing of the sales and the amount of proceeds realized from those sales would be favorable to us or that additional financing could be obtained on acceptable terms. Our inability to generate sufficient cash flows to satisfy our debt obligations, including our obligations under the 10.000% Senior Notes and 10.625% Senior Notes, or to obtain alternative financing, could materially and adversely affect our business, financial condition, results of operations and prospects.</w:t>
      </w:r>
    </w:p>
    <w:p>
      <w:pPr>
        <w:spacing w:after="0" w:line="1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ability to restructure or refinance our indebtedness will depend on the condition of the capital markets and our financial condition at such time. Any refinancing of our indebtedness could be at higher interest rates and could require us to comply with more onerous covenants, which could further restrict our business operations. The terms of existing or future debt instruments, including the indentures governing the 10.000% Senior Notes and 10.625% Senior Notes, may restrict us from adopting some of these alternatives. In addition, any failure to make payments of interest or principal on our outstanding indebtedness on a timely basis would likely result in a reduction of our credit rating, which could harm our ability to incur additional indebtedness. In the absence of sufficient cash flows and capital resources, we could face substantial liquidity problems and might be required to dispose of material assets or operations to meet our debt service and other obligations. We may not be able to refinance our indebtedness, sell assets or issue equity, or borrow more funds on terms acceptable to us, if at all.</w:t>
      </w:r>
    </w:p>
    <w:p>
      <w:pPr>
        <w:spacing w:after="0" w:line="17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addition, if we fail to comply with the covenants or other terms of our Credit Agreement, our lenders will have the right to accelerate the maturity of that debt and foreclose upon the collateral, if any, securing that debt. Realization of any of these factors could adversely affect our financial condition.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spacing w:after="0" w:line="279" w:lineRule="auto"/>
        <w:rPr>
          <w:sz w:val="20"/>
          <w:szCs w:val="20"/>
          <w:color w:val="auto"/>
        </w:rPr>
      </w:pPr>
      <w:r>
        <w:rPr>
          <w:rFonts w:ascii="Arial" w:cs="Arial" w:eastAsia="Arial" w:hAnsi="Arial"/>
          <w:sz w:val="17"/>
          <w:szCs w:val="17"/>
          <w:b w:val="1"/>
          <w:bCs w:val="1"/>
          <w:i w:val="1"/>
          <w:iCs w:val="1"/>
          <w:color w:val="auto"/>
        </w:rPr>
        <w:t>HighPeak Energy experiences periods of higher costs when commodity prices rise and inflation may adversely affect our operating results, which could negatively impact our profitability, cash flow and ability to complete development activities as planned. Continuing or worsening inflationary issues and associated changes in monetary policy have resulted in and may result in additional increases to the cost of our goods, services and personnel, which in turn could cause our capital expenditures and operating costs to rise.</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Historically, capital and operating costs have risen during periods of increasing crude oil, NGL and natural gas prices. Inflationary factors such as increases in the labor costs, material costs and overhead costs may adversely affect our operating results. These cost increases have resulted from a variety of factors that HighPeak Energy will be unable to control, such as increases in the cost of electricity, steel and other raw materials; increased demand for labor, services and materials as drilling activity increases; and increased taxes. Such costs may rise faster than increases in HighPeak Energy’s revenue if commodity prices rise, thereby negatively impacting its profitability, cash flow and ability to complete development activities as scheduled and on budget. A high rate of inflation may have an adverse effect on HighPeak Energy’s operating results and this impact may be magnified to the extent that HighPeak Energy’s ability to participate in the commodity price increases is limited by its derivative activities, if any.</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Although the U.S. inflation rate has been showing signs of cooling in the second half of 2022, it had been steadily increasing since 2021. These inflationary pressures have resulted in and may result in additional increases to the costs of our oilfield goods, services and personnel, which would in turn cause our capital expenditures and operating costs to rise. Sustained levels of high inflation have likewise caused the U.S. Federal Reserve and other central banks to increase interest rates multiple times in 2022 and the U.S. Federal Reserve has indicated its intention to continue to raise benchmark interest rates into 2023 in an effort to curb inflationary pressure on the costs of goods and services across the U.S., which could have the effects of raising the cost of capital and depressing economic growth, either of which—or the combination thereof—could hurt the financial and operating results of our business. To the extent elevated inflation remains, we may experience further cost increases for our operations, including oilfield services, labor costs and equipment if our drilling activity increases.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Higher crude oil and natural gas prices, continued inflation and supply chain issues as well as an increase in demand for services may cause the costs of materials and services to continue to rise. We cannot predict any future trends in the rate of inflation, and a significant increase in inflation, to the extent we are unable to recover higher costs through higher crude oil and natural gas prices and revenues, would negatively impact our business, financial condition and results of operations.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risks are not the only risks facing the Company. Additional risks and uncertainties not currently known to the Company or that it currently deems to be immaterial also may have a material adverse effect on the Company's business, financial condition or future results.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5" w:name="page36"/>
    <w:bookmarkEnd w:id="35"/>
    <w:p>
      <w:pPr>
        <w:ind w:right="40"/>
        <w:spacing w:after="0" w:line="277" w:lineRule="auto"/>
        <w:rPr>
          <w:sz w:val="20"/>
          <w:szCs w:val="20"/>
          <w:color w:val="auto"/>
        </w:rPr>
      </w:pPr>
      <w:r>
        <w:rPr>
          <w:rFonts w:ascii="Arial" w:cs="Arial" w:eastAsia="Arial" w:hAnsi="Arial"/>
          <w:sz w:val="18"/>
          <w:szCs w:val="18"/>
          <w:b w:val="1"/>
          <w:bCs w:val="1"/>
          <w:i w:val="1"/>
          <w:iCs w:val="1"/>
          <w:color w:val="auto"/>
        </w:rPr>
        <w:t>Political instability or armed conflict in crude oil or natural gas producing regions, such as the ongoing war between Russia and Ukraine, and OPEC+ policy decisions could have a material adverse impact on our business, financial condition or future results.</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business, financial condition and future results are subject to political and economic risks and uncertainties, including instability resulting from civil unrest, political demonstrations, mass strikes or armed conflict or other crises in crude oil or natural gas producing areas such as the ongoing war between Russia and Ukraine.</w:t>
      </w:r>
    </w:p>
    <w:p>
      <w:pPr>
        <w:spacing w:after="0" w:line="18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late February 2022, Russian military forces commenced a military operation and invasion against Ukraine. The United States and other countries and certain international organizations have imposed broad-ranging and severe economic sanctions on Russia and certain Russian individuals, banking entities and corporations as a response, and additional sanctions may be imposed in the future. This conflict and the resulting sanctions and concerns regarding global energy security have contributed to increases and volatility in the prices for crude oil and natural gas. The length, impact, and outcome of the ongoing war between Russia and Ukraine is highly unpredictable, and such events or any further hostilities in Ukraine or elsewhere could severely impact the world economy and may adversely affect our financial condition. While the Company does not have operations overseas, the conflict elevates the likelihood of supply chain disruptions, heightened volatility in crude oil and natural gas prices and negative effects on our ability to raise additional capital when required and could have a material adverse impact on our business, financial condition or future results.</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due to the above and other factors, crude oil and natural gas prices increased significantly during 2022, reaching a high of almost $128.00 per Bbl at one point, primarily due to global supply and demand imbalances. Currently, global crude oil inventories are low relative to historical levels and supply from OPEC+ and other crude oil producing nations are not expected to be sufficient to meet forecasted crude oil demand growth for the next few years. It is believed that many OPEC+ countries will be unable to increase their production levels or even produce at expected levels due to their lack of capital investments in developing incremental crude oil supplies over the past few years. In October 2022, OPEC+ determined to reduce production beginning in November 2022 through December 2023 by 2 million Bopd, due to the uncertainty surrounding the global economic and crude oil market outlooks. Furthermore, sanctions and import bans on Russian crude oil have been implemented by various countries in response to the war in Ukraine, further impacting global crude oil supply. Still, crude oil and natural gas prices have recently declined from the highs experienced in second quarter of 2022 and could decrease or increase with any changes in demand due to, among other things, uncertainty and volatility from global supply chain disruptions attributable to the pandemic, the ongoing conflict in Ukraine, international sanctions, speculation as to future actions by OPEC+, developing COVID-19 variants and the potential for a widespread COVID-19 outbreak, increasing inflation and government efforts to reduce inflation, and possible changes in the overall health of the global economy, including a prolonged recession. Further, the volatility in crude oil and natural gas prices could accelerate a transition away from fossil fuels, resulting in reduced demand over the longer term. To what extent these and other external factors (such as government action with respect to climate change regulation) ultimately impact our future business, liquidity, financial condition, and results of operations is highly uncertain and dependent on numerous factors, including future developments, which are not within our control and cannot be accurately predicted.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i w:val="1"/>
          <w:iCs w:val="1"/>
          <w:color w:val="auto"/>
        </w:rPr>
        <w:t>The marketability of HighPeak Energy</w:t>
      </w:r>
      <w:r>
        <w:rPr>
          <w:rFonts w:ascii="Arial" w:cs="Arial" w:eastAsia="Arial" w:hAnsi="Arial"/>
          <w:sz w:val="15"/>
          <w:szCs w:val="15"/>
          <w:color w:val="auto"/>
        </w:rPr>
        <w:t>’</w:t>
      </w:r>
      <w:r>
        <w:rPr>
          <w:rFonts w:ascii="Arial" w:cs="Arial" w:eastAsia="Arial" w:hAnsi="Arial"/>
          <w:sz w:val="15"/>
          <w:szCs w:val="15"/>
          <w:b w:val="1"/>
          <w:bCs w:val="1"/>
          <w:i w:val="1"/>
          <w:iCs w:val="1"/>
          <w:color w:val="auto"/>
        </w:rPr>
        <w:t>s production is dependent upon transportation, storage and other facilities, certain of which it does not control.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these facilities are unavailable, in whole or in part,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operations could be interrupted, and its revenues reduced.</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marketability of HighPeak Energy’s crude oil and natural gas production depends in part upon the availability, proximity and capacity of transportation, processing and storage facilities owned and operated by third parties. Any significant interruption in service from, damage to, or lack of available capacity in these systems and facilities may result in the shutting-in of producing wells or the delay or discontinuance of development plans for our properties. Federal and state regulation of crude oil, NGL and natural gas production and transportation, tax and energy policies, changes in supply and demand, pipeline pressures, damage to or destruction of pipelines or processing facilities, infrastructure or capacity constraints, and general economic conditions could adversely affect our ability to produce, gather, process, transport or market crude oil, NGLs and natural gas. In addition, even if these systems and facilities remain open generally, certain quality specifications implemented thereby may restrict our ability to utilize such systems and facilities. Further, insufficient production from wells to support the construction of pipeline facilities by purchasers or a significant disruption in the availability of HighPeak Energy’s or third-party transportation facilities or other production facilities could adversely impact HighPeak Energy’s ability to deliver to market or produce crude oil and natural gas and thereby cause a significant interruption in HighPeak Energy’s operations. If, in the future, HighPeak Energy is unable, for any sustained period, to implement acceptable delivery or transportation arrangements or encounters production related difficulties, it may be required to shut-in or curtail production. Any such shut-in or curtailment, or an inability to obtain favorable terms for delivery of the crude oil and natural gas produced from HighPeak Energy’s fields, would materially and adversely affect its financial condition and results of operations.</w:t>
      </w:r>
    </w:p>
    <w:p>
      <w:pPr>
        <w:spacing w:after="0" w:line="1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Production may be interrupted, or shut-in, from time to time for numerous reasons, including as a result of weather conditions, accidents, loss of pipeline, gathering, processing or transportation system access or capacity, field labor issues or strikes, or we might voluntarily curtail production in response to market or other conditions. If a substantial amount of our production is interrupted at the same time, it could adversely affect our cash flows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factors could require HighPeak Energy to shut-in production or cease its capital expenditure program.</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During 2020, the reduction in global demand caused by COVID-19, coupled with the actions of foreign crude oil producers such as Saudi Arabia and Russia, materially decreased global crude oil prices and generated a surplus of crude oil. This significant surplus created a saturation of storage and caused imminent crude storage constraints, which led to, and in the future may further lead to the shut-in of production of our wells due to the lack of sufficient markets or the lack of availability and capacity of processing, gathering, storing and transportation systems. Additionally, several state crude oil and natural gas authorities, including the TRRC, implemented or considered implementing crude oil and natural gas production limits in an effort to stabilize declining commodity prices. To the extent adopted, such production limits could not only reduce our revenue, but also, if wells are required to be shut-in for extended periods of time due to such production limits, result in expenditures related to well plugging and abandonment. Cost increases necessary to bring wells back online may be significant enough that such wells would become uneconomic at low commodity price levels, which may lead to decreases in HighPeak Energy’s proved reserve estimates and potential impairments and associated charges to its earnings. HighPeak Energy curtailed the majority of its production in April 2020. However, prices increased, and HighPeak Energy management began returning its wells to production in mid-July 2020. As of December 31, 2022, HighPeak Energy was running a six-rig program and expects to average four to five (4-5) drilling rigs and two to three (2-3) frac crews during 2023 under our current development plan. HighPeak Energy will continue to monitor the extent by which prices continue to increase and/or stabilize as we execute our capital expenditure program. Any shut-in or curtailment of the crude oil, NGL and natural gas produced from HighPeak Energy’s fields could adversely affect its financial condition and results of operations.</w:t>
      </w:r>
    </w:p>
    <w:p>
      <w:pPr>
        <w:spacing w:after="0" w:line="1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Certain of the undeveloped leasehold acreage of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assets is subject to leases that will expire over the next several years unless production is established on units containing the acreage or the leases are renewed.</w:t>
      </w:r>
    </w:p>
    <w:p>
      <w:pPr>
        <w:spacing w:after="0" w:line="17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As of December 31, 2022, approximately 56% of HighPeak Energy’s acreage was held by production. The leases for net acreage not held by production will expire at the end of their primary term unless production is established in paying quantities under the units containing these leases or the leases are extended or renewed. From 2023 through 2025, approximately 18%, 11% and 12%, respectively, of the acreage associated with the leases are set to expire. If the leases expire and HighPeak Energy is unable to renew the leases, HighPeak Energy will lose its right to develop the related properties. Although HighPeak Energy intends to hold substantially all these leases through its development drilling program or extend substantially all the net acreage associated with identified drilling locations through a combination of exploratory and development drilling, a portion of such leases may be extended or renewed. Additionally, any payments related to such extensions or renewals may be more than anticipated. Please see “Items 1 and 2: Business and Properties—Reserve Data—Undeveloped Acreage Expirations” for more information regarding acreage expirations and our plans for extending our acreage. HighPeak Energy’s ability to drill and develop its acreage and establish production to maintain its leases depends on a number of uncertainties, including crude oil, NGL and natural gas prices, the availability and cost of capital, drilling and production costs, availability of drilling services and equipment, drilling results, lease expirations, gathering system and pipeline transportation constraints, access to and availability of water sourcing, frac sand and distribution systems, regulatory approvals and other factors.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ind w:right="400"/>
        <w:spacing w:after="0" w:line="342" w:lineRule="auto"/>
        <w:rPr>
          <w:sz w:val="20"/>
          <w:szCs w:val="20"/>
          <w:color w:val="auto"/>
        </w:rPr>
      </w:pPr>
      <w:r>
        <w:rPr>
          <w:rFonts w:ascii="Arial" w:cs="Arial" w:eastAsia="Arial" w:hAnsi="Arial"/>
          <w:sz w:val="16"/>
          <w:szCs w:val="16"/>
          <w:b w:val="1"/>
          <w:bCs w:val="1"/>
          <w:i w:val="1"/>
          <w:iCs w:val="1"/>
          <w:color w:val="auto"/>
        </w:rPr>
        <w:t>Certain factors could require HighPeak Energy to write-down the carrying values of its crude oil and natural gas properties, including commodity prices decreasing to a level such that future undiscounted cash flows from its properties are less than their carrying value.</w:t>
      </w:r>
    </w:p>
    <w:p>
      <w:pPr>
        <w:spacing w:after="0" w:line="12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Accounting rules require that HighPeak Energy periodically review the carrying value of its properties for possible impairment. Based on prevailing commodity prices and specific market factors and circumstances at the time of prospective impairment reviews, and the continuing evaluation of development plans, production data, economics and other factors, HighPeak Energy may be required to write-down the carrying value of its properties. A write-down constitutes a non-cash impairment charge to earnings. Historically, crude oil, NGL and natural gas prices have been volatile. For example, during the period from January 1, 2018 through December 31, 2022, the calendar month average NYMEX WTI crude oil price per Bbl ranged from a low of $16.70 to a high of $114.34, and the last trading day NYMEX natural gas price per MMBtu ranged from a low of $1.50 to a high of $9.35.</w:t>
      </w:r>
    </w:p>
    <w:p>
      <w:pPr>
        <w:spacing w:after="0" w:line="16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Likewise, NGL, which are made up of ethane, propane, isobutane, normal butane and natural gasoline, each of which has different uses and pricing characteristics, have also fluctuated widely during this period.</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Sustained levels of depressed commodity prices, or further decreases, in the future could result in impairments of HighPeak Energy’s properties, which could have a material adverse effect on results of operations for the periods in which such charges are taken. HighPeak Energy could experience material write-downs as a result of lower commodity prices or other factors, including low production results or high lease operating expenses, capital expenditures or transportation fees.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Part of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strategy involves using some of the latest available horizontal drilling and completion techniques, which involve risks and uncertainties in their application.</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HighPeak Energy’s operations involve utilizing some of the latest drilling and completion techniques as developed by HighPeak Energy and its service providers. The difficulties HighPeak Energy may face drilling horizontal wells may include, among others:</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landing its wellbore in the desired drilling zone;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staying in the desired drilling zone while drilling horizontally through the formation;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running its casing the entire length of the wellbore;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being able to run tools and other equipment consistently through the horizontal wellbore.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Difficulties that HighPeak Energy may face while completing its wells include the following, among others:</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fracture stimulate the planned number of stages;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run tools the entire length of the wellbore during completion operations;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successfully clean out the wellbore after completion of the final fracture stimulation stage.</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Use of new technologies may not prove successful and could result in significant cost overruns or delays or reductions in production, and, in extreme cases, the sidetracking or abandonment of a well. In addition, certain of the new techniques HighPeak Energy adopts may cause irregularities or interruptions in production due to offset wells being shut-in and the time required to drill and complete multiple wells before any such wells begin producing. Furthermore, the results of drilling in new or emerging formations are more uncertain initially than drilling results in areas that are more developed and have a longer history of established production. Newer and emerging formations and areas have limited or no production history and, consequently, HighPeak Energy may be more limited in assessing future drilling results in these areas. If its drilling results are less than anticipated, the return on investment for a particular project may not be as attractive as anticipated, and HighPeak Energy could incur material write downs of unevaluated properties and the value of undeveloped acreage could decline in the future.</w:t>
      </w:r>
    </w:p>
    <w:p>
      <w:pPr>
        <w:spacing w:after="0" w:line="17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example, potential complications associated with the new drilling and completion techniques that HighPeak Energy intends to utilize may cause HighPeak Energy to be unable to develop its assets in line with current expectations and projections. Further, recent well results may not be indicative of HighPeak Energy’s future well results.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Drilling for and producing crude oil and natural gas are high risk activities with many uncertainties that could adversely affect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financial condition or results of operations.</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HighPeak Energy’s future financial condition and results of operations will depend on the success of its development, production and acquisition activities, which are subject to numerous risks beyond its control, including the risk that drilling will not result in commercially viable crude oil and natural gas production.</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HighPeak Energy’s decisions to develop or purchase prospects or properties will depend, in part, on the evaluation of data obtained through geophysical and geological analyses, production data and engineering studies, which are often inconclusive or subject to varying interpretations. For a discussion of the uncertainty involved in these processes, see “—Reserve estimates depend on many assumptions that may turn out to be inaccurate. Any material inaccuracies in reserve estimates or underlying assumptions will materially affect the quantities and present value of reserves.” In addition, the cost of drilling, completing and operating wells will often be uncertain.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Further, many factors may curtail, delay or cancel scheduled drilling operations, including:</w:t>
      </w:r>
    </w:p>
    <w:p>
      <w:pPr>
        <w:spacing w:after="0" w:line="225" w:lineRule="exact"/>
        <w:rPr>
          <w:sz w:val="20"/>
          <w:szCs w:val="20"/>
          <w:color w:val="auto"/>
        </w:rPr>
      </w:pPr>
    </w:p>
    <w:p>
      <w:pPr>
        <w:ind w:left="660" w:right="480" w:hanging="32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imposed by, or resulting from, compliance with regulatory requirements, including the IRA 2022, limitations on wastewater disposal, emission of GHGs and hydraulic fracturing;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pressure or irregularities in geological formations;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shortages of or delays in obtaining equipment and qualified personnel or in obtaining water for hydraulic fracturing activities;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equipment failures, accidents or other unexpected operational events;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available gathering facilities or delays in construction of gathering facilities;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available capacity on interconnecting transmission pipelines;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availability of water and electricity;</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issues related to compliance with environmental regulations;</w:t>
      </w:r>
    </w:p>
    <w:p>
      <w:pPr>
        <w:spacing w:after="0" w:line="36" w:lineRule="exact"/>
        <w:rPr>
          <w:rFonts w:ascii="Arial" w:cs="Arial" w:eastAsia="Arial" w:hAnsi="Arial"/>
          <w:sz w:val="18"/>
          <w:szCs w:val="18"/>
          <w:color w:val="auto"/>
        </w:rPr>
      </w:pPr>
    </w:p>
    <w:p>
      <w:pPr>
        <w:ind w:left="660" w:right="240" w:hanging="328"/>
        <w:spacing w:after="0" w:line="274"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environmental hazards, such as crude oil and natural gas leaks, crude oil spills, pipeline and tank ruptures and unauthorized discharges of brine, well stimulation and completion fluids, toxic gases or other pollutants into the surface and subsurface environment;</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declines in crude oil and natural gas prices;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limited availability of financing on acceptable terms;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title issues;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market limitations in HighPeak Energy’s industry.</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entered into certain long-term contracts that require us to pay fees to our service providers based on minimum volumes regardless of actual volume throughput and that may limit our ability to use other service providers.</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From time to time, HighPeak Energy has entered into and may in the future enter into certain crude oil, natural gas or produced water gathering or transportation agreements, natural gas processing agreements, NGL transportation agreements, produced water disposal agreements or similar commercial arrangements with midstream companies and contracts to provide sand or other drilling and completion or operating supplies. Certain of these agreements require HighPeak Energy to meet minimum volume commitments, often regardless of actual throughput.</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May 2021, the Company entered into a crude oil marketing contract with Delek as the purchaser and DKL Permian Gathering, LLC (“DKL”) as the gatherer and transporter. The contract includes the Company’s current and future crude oil production from the majority of its horizontal wells in Flat Top where DKL is constructing a crude oil gathering system and custody transfer meters to most of the Company’s central tank batteries. The contract contains a minimum volume commitment commencing October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December 31, 2022, the Company has delivered approximately 22,800 Bopd under the contract. The remaining monetary commitment as of December 31, 2022, if the Company never delivers any additional volumes under the agreement, is approximately $18.3 million.</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is party to an agreement whereby it has agreed to purchase at least 600,000 tons of sand over a two-year period beginning at the commencement date of the sand mine being operational, which was late in the second quarter of 2022. There are stipulations in the agreement that reduce this commitment should we experience a downturn in crude oil prices. As of December 31, 2022, the Company has purchased approximately 279,000 tons of sand under the contract. However, generally if the Company never takes delivery of any additional sand under the agreement, the monetary commitment that remains as of December 31, 2022 is approximately $4.6 million.</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HighPeak Energy has insufficient production to meet the minimum volume commitments under any of these agreements or if HighPeak Energy fails to take delivery of supplies which it committed to, HighPeak Energy’s cash flow from operations will be reduced, which may require HighPeak Energy to reduce or delay its planned investments and capital expenditures, or seek alternative means of financing, all of which may have a material adverse effect on HighPeak Energy’s results of operation.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ind w:right="740"/>
        <w:spacing w:after="0" w:line="277" w:lineRule="auto"/>
        <w:rPr>
          <w:sz w:val="20"/>
          <w:szCs w:val="20"/>
          <w:color w:val="auto"/>
        </w:rPr>
      </w:pPr>
      <w:r>
        <w:rPr>
          <w:rFonts w:ascii="Arial" w:cs="Arial" w:eastAsia="Arial" w:hAnsi="Arial"/>
          <w:sz w:val="18"/>
          <w:szCs w:val="18"/>
          <w:b w:val="1"/>
          <w:bCs w:val="1"/>
          <w:i w:val="1"/>
          <w:iCs w:val="1"/>
          <w:color w:val="auto"/>
        </w:rPr>
        <w:t>Restrictions in the Credit Agreement, the indentures governing the 10.000% Senior Notes and the 10.625% Senior Notes and any future debt agreements could limit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growth and ability to engage in certain activities.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 terms and conditions governing </w:t>
      </w:r>
      <w:r>
        <w:rPr>
          <w:rFonts w:ascii="Arial" w:cs="Arial" w:eastAsia="Arial" w:hAnsi="Arial"/>
          <w:sz w:val="18"/>
          <w:szCs w:val="18"/>
          <w:u w:val="single" w:color="auto"/>
          <w:color w:val="auto"/>
        </w:rPr>
        <w:t>the</w:t>
      </w:r>
      <w:r>
        <w:rPr>
          <w:rFonts w:ascii="Arial" w:cs="Arial" w:eastAsia="Arial" w:hAnsi="Arial"/>
          <w:sz w:val="18"/>
          <w:szCs w:val="18"/>
          <w:color w:val="auto"/>
        </w:rPr>
        <w:t xml:space="preserve"> Credit </w:t>
      </w:r>
      <w:r>
        <w:rPr>
          <w:rFonts w:ascii="Arial" w:cs="Arial" w:eastAsia="Arial" w:hAnsi="Arial"/>
          <w:sz w:val="18"/>
          <w:szCs w:val="18"/>
          <w:u w:val="single" w:color="auto"/>
          <w:color w:val="auto"/>
        </w:rPr>
        <w:t>Agreement</w:t>
      </w:r>
      <w:r>
        <w:rPr>
          <w:rFonts w:ascii="Arial" w:cs="Arial" w:eastAsia="Arial" w:hAnsi="Arial"/>
          <w:sz w:val="18"/>
          <w:szCs w:val="18"/>
          <w:color w:val="auto"/>
        </w:rPr>
        <w:t>, the 10.000% Senior Notes and the 10.625% Senior Notes currently, and any future additional indebtedness are expected to:</w:t>
      </w:r>
    </w:p>
    <w:p>
      <w:pPr>
        <w:spacing w:after="0" w:line="170" w:lineRule="exact"/>
        <w:rPr>
          <w:sz w:val="20"/>
          <w:szCs w:val="20"/>
          <w:color w:val="auto"/>
        </w:rPr>
      </w:pPr>
    </w:p>
    <w:p>
      <w:pPr>
        <w:jc w:val="both"/>
        <w:ind w:left="660" w:right="340" w:hanging="328"/>
        <w:spacing w:after="0" w:line="25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HighPeak Energy to dedicate a portion of cash flow from operations to service its debt, thereby reducing the cash available to finance operations and other business activities and could limit its flexibility in planning for or reacting to changes in its business and the industry in which it operates;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vulnerability to economic downturns and adverse developments in HighPeak Energy’s business;</w:t>
      </w:r>
    </w:p>
    <w:p>
      <w:pPr>
        <w:spacing w:after="0" w:line="21" w:lineRule="exact"/>
        <w:rPr>
          <w:rFonts w:ascii="Arial" w:cs="Arial" w:eastAsia="Arial" w:hAnsi="Arial"/>
          <w:sz w:val="18"/>
          <w:szCs w:val="18"/>
          <w:color w:val="auto"/>
        </w:rPr>
      </w:pPr>
    </w:p>
    <w:p>
      <w:pPr>
        <w:ind w:left="660" w:hanging="328"/>
        <w:spacing w:after="0" w:line="269"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place restrictions on HighPeak Energy’s ability to engage in certain business activities, including without limitation, to raise capital, obtain additional financing (whether for working capital, capital expenditures or acquisitions) or to refinance indebtedness, grant or incur liens on assets, pay dividends or make distributions in respect of its capital stock, make investments, amend or repay subordinated indebtedness, sell or otherwise dispose of assets, businesses or operations and engage in business combinations or other fundamental changes;</w:t>
      </w:r>
    </w:p>
    <w:p>
      <w:pPr>
        <w:spacing w:after="0" w:line="1" w:lineRule="exact"/>
        <w:rPr>
          <w:rFonts w:ascii="Arial" w:cs="Arial" w:eastAsia="Arial" w:hAnsi="Arial"/>
          <w:sz w:val="17"/>
          <w:szCs w:val="17"/>
          <w:color w:val="auto"/>
        </w:rPr>
      </w:pPr>
    </w:p>
    <w:p>
      <w:pPr>
        <w:ind w:left="660" w:right="3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potentially place HighPeak Energy at a competitive disadvantage relative to competitors with lower levels of indebtedness in relation to their overall size or less restrictive terms governing their indebtedness; and</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management’s discretion in operating HighPeak Energy’s business.</w:t>
      </w:r>
    </w:p>
    <w:p>
      <w:pPr>
        <w:spacing w:after="0" w:line="23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debt instruments also contain provisions that could have the effect of making it more difficult for a third party to acquire control of us. The Credit Agreement and the indentures governing the 10.000% Senior Notes and the 10.625% Senior Notes provide that a change of control constitutes an event of default and would permit the lenders to declare the indebtedness thereunder to be immediately due and payable. Our future credit facilities may contain similar provisions. The need to repay all such indebtedness may deter potential third parties from acquiring us.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HighPeak Energy’s ability to meet its expenses and its current and future debt obligations and comply with the covenants and restrictions contained therein will depend on its future performance, which will be affected by financial, business, economic, industry, regulatory and other factors, many of which are beyond HighPeak Energy’s control. If market or other economic conditions deteriorate, HighPeak Energy’s ability to comply with these covenants may be impaired. HighPeak Energy cannot be certain that its cash flow will be sufficient to enable it to pay the principal and interest on its debt and meet its other obligations. If HighPeak Energy does not have enough money, HighPeak Energy may be required to refinance all or part of its debt, sell assets, borrow more money or raise equity. HighPeak Energy may not be able to refinance its debt, sell assets, borrow more money or raise equity on terms acceptable to it, or at all. For example, HighPeak Energy’s future debt agreements may require the satisfaction of certain conditions, including coverage and leverage ratios, to borrow money. HighPeak Energy’s future debt agreements may also restrict the payment of dividends and distributions by certain of its subsidiaries to it, which could affect its access to cash. In addition, HighPeak Energy’s ability to comply with the financial and other restrictive covenants in the agreements governing its indebtedness will be affected by the levels of cash flow from operations and future events and circumstances beyond HighPeak Energy’s control. Breach of these covenants or restrictions could result in an event of default under HighPeak Energy’s existing and/or future financing arrangements, which, if not cured or waived, could permit the lenders to accelerate all indebtedness outstanding thereunder. Upon acceleration, the debt would become immediately due and payable, together with accrued and unpaid interest, and any lenders’ commitment to make further loans to HighPeak Energy may terminate. Even if new financing were then available, it may not be on terms that are acceptable to HighPeak Energy. Additionally, upon the occurrence of an event of default under HighPeak Energy’s financing agreements, the affected lenders may exercise remedies, including through foreclosure, on the collateral, if any, securing any such secured financing arrangements. Moreover, any subsequent replacement of HighPeak Energy’s financing arrangements may require it to comply with more restrictive covenants which could further restrict business operations.</w:t>
      </w:r>
    </w:p>
    <w:p>
      <w:pPr>
        <w:spacing w:after="0" w:line="1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Any significant reduction in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borrowing base under the Credit Agreement as a result of periodic borrowing base redeterminations or otherwise may negatively impact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ability to fund its operations.</w:t>
      </w:r>
    </w:p>
    <w:p>
      <w:pPr>
        <w:spacing w:after="0" w:line="17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Company had a borrowing base of $550.0 million and aggregate elected commitments of $525.0 million with respect to the Credit Agreement as of December 31, 2022. The Credit Agreement limits the amounts HighPeak Energy can borrow up to the lesser of (i) the aggregate elected commitments of the lenders and (ii) a borrowing base amount, which the lenders will in good faith periodically redetermine, in accordance with their respective usual and customary crude oil and natural gas lending criteria, based upon the loan value of the proved crude oil and natural gas reserves located within the geographic boundaries of the United States included in the most recent reserve report provided to the lenders.</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40" w:name="page41"/>
    <w:bookmarkEnd w:id="40"/>
    <w:p>
      <w:pPr>
        <w:ind w:right="20"/>
        <w:spacing w:after="0" w:line="290" w:lineRule="auto"/>
        <w:rPr>
          <w:sz w:val="20"/>
          <w:szCs w:val="20"/>
          <w:color w:val="auto"/>
        </w:rPr>
      </w:pPr>
      <w:r>
        <w:rPr>
          <w:rFonts w:ascii="Arial" w:cs="Arial" w:eastAsia="Arial" w:hAnsi="Arial"/>
          <w:sz w:val="16"/>
          <w:szCs w:val="16"/>
          <w:color w:val="auto"/>
        </w:rPr>
        <w:t>The Credit Agreement requires scheduled semi-annual borrowing base redeterminations based on updated reserve reports. Additionally, the borrowing base is subject to unscheduled reductions due to certain issuances of new junior lien indebtedness, unsecured indebtedness or subordinated indebtedness, certain sales or acquisitions of borrowing base properties or early monetizations or terminations of certain hedge or swap positions. A reduced borrowing base could render HighPeak Energy unable to access adequate funding under the Credit Agreement. Additionally, if the aggregate amount outstanding under the Credit Agreement exceeds the borrowing base at any time, HighPeak Energy would be required to repay any indebtedness in excess of the borrowing base or to provide mortgages on additional borrowing base properties to eliminate such excess. As a result of a mandatory prepayment and/or reduced access to funds under the Credit Agreement, HighPeak Energy may be unable to implement its drilling and development plan, make acquisitions or otherwise carry out business plans, which would have a material adverse effect on its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 transactions expose HighPeak Energy to counterparty credit risk and may become more costly or unavailable.</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HighPeak is required under the Credit Agreement and indentures governing the 10.000% Senior Notes and the 10.625% Senior Notes to hedge certain quantities of its projected crude oil production, in the case of the Credit Agreement, if its ratio of debt to EBITDAX is greater than a certain ratio. Hedging transactions expose HighPeak Energy to risk of financial loss if a counterparty fails to perform under a derivative contract. Disruptions in the financial markets could lead to sudden decreases in a counterparty’s liquidity, which could make them unable to perform under the terms of the derivative contract and HighPeak Energy may not be able to realize the benefit of the derivative contract. Derivative instruments also expose HighPeak Energy to the risk of financial loss in some circumstances, including when there is an increase in the differential between the underlying price in the derivative instrument and actual prices received or there are issues with regard to legal enforceability of such instruments.</w:t>
      </w:r>
    </w:p>
    <w:p>
      <w:pPr>
        <w:spacing w:after="0" w:line="1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use of derivatives may, in some cases, require the posting of cash collateral with counterparties. If HighPeak Energy enters into derivative instruments that require cash collateral and commodity prices or interest rates change in an adverse manner, our cash otherwise available for use in operations would be reduced which could limit HighPeak Energy’s ability to make future capital expenditures and make payments on indebtedness, and which could also limit the size of the borrowing base. Future collateral requirements will depend on arrangements with counterparties, highly volatile crude oil, NGL and natural gas prices and interest rates.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derivative arrangements could limit the benefits to be received from increases in the prices for natural gas, NGL and crude oil, which could also have an adverse effect on HighPeak Energy’s financial condition. If natural gas, NGL or crude oil prices upon settlement of derivative swap contracts exceed the price at which commodities have been hedged, HighPeak Energy will be obligated to make cash payments to counterparties, which could, in certain circumstances, be significant.</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U.S. regulators adopted a final rule in November 2019 implementing a new approach for calculating the exposure amount of derivative contracts under the applicable agencies’ regulatory capital rules, referred to as the standardized approach for counterparty credit risk (“SA-CCR”). As adopted, certain financial institutions are required to comply with the new SA-CCR rules beginning on January 1, 2022. The new rules could significantly increase the capital requirements for certain participants in the over-the-counter derivatives market in which HighPeak Energy participates. These increased capital requirements could result in significant additional costs being passed through to end-users or reduce the number of participants or products available in the over-the-counter derivatives market. The effects of these regulations could reduce HighPeak Energy’s hedging opportunities, or substantially increase the cost of hedging, which could adversely affect HighPeak Energy’s business, financial condition and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ind w:right="560"/>
        <w:spacing w:after="0" w:line="277" w:lineRule="auto"/>
        <w:rPr>
          <w:sz w:val="20"/>
          <w:szCs w:val="20"/>
          <w:color w:val="auto"/>
        </w:rPr>
      </w:pPr>
      <w:r>
        <w:rPr>
          <w:rFonts w:ascii="Arial" w:cs="Arial" w:eastAsia="Arial" w:hAnsi="Arial"/>
          <w:sz w:val="18"/>
          <w:szCs w:val="18"/>
          <w:b w:val="1"/>
          <w:bCs w:val="1"/>
          <w:i w:val="1"/>
          <w:iCs w:val="1"/>
          <w:color w:val="auto"/>
        </w:rPr>
        <w:t>The standardized measure of estimated reserves may not be an accurate estimate of the current fair value of estimated crude oil and natural gas reserves.</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Standardized measure is a reporting convention that provides a common basis for comparing crude oil and natural gas companies subject to the rules and regulations of the SEC. Standardized measure requires historical twelve-month pricing as required by the SEC as well as operating and development costs prevailing as of the date of computation. For example, our reserve volumes and PV-10 as disclosed in this Annual Report are based on assumed commodity prices of $93.67 per Bbl of crude oil and $6.358 per MMBtu of natural gas as of December 31, 2022, which are substantially higher than December 31, 2022 front-month forward pricing of $80.26 per Bbl of crude oil and $4.475 per Mcf of natural gas. Consequently, it may not reflect the prices ordinarily received or that will be received for crude oil and natural gas production because of varying market conditions, nor may it reflect the actual costs that will be required to produce or develop the crude oil and natural gas properties. As a result, estimates included in this Annual Report of future net cash flow may be materially different from the future net cash flows that are ultimately received. Therefore, the standardized measure of estimated reserves included in this Annual Report should not be construed as an accurate estimate of the current fair value of such proved reserves. Accordingly, you are cautioned not to place undue weight on our reserve volumes or PV-10 based on such pricing when evaluating our financial condition or an investment in our securities.</w:t>
      </w:r>
    </w:p>
    <w:p>
      <w:pPr>
        <w:spacing w:after="0" w:line="1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You should not assume the present value of future net revenues from the reserves presented in this Annual Report is the current market value of the estimated reserves of our assets. Actual future prices and costs may differ materially from those used in the present value estimate. If spot prices are below such calculated amounts, using more recent prices in estimating proved reserves may result in a reduction in proved reserve volumes due to economic limits.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Properties that HighPeak Energy acquires may not produce as projected, and HighPeak Energy may be unable to determine reserve potential, identify liabilities associated with such properties or obtain protection from sellers against such liabilities.</w:t>
      </w:r>
    </w:p>
    <w:p>
      <w:pPr>
        <w:spacing w:after="0" w:line="17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During 2022, HighPeak Energy entered into multiple unrelated agreements to effect certain bolt-on acquisitions from various third parties as well as adding certain undeveloped acreage, all which have closed as of December 31, 2022, whereby it acquired a number of crude oil and natural gas properties, which aggregated to approximately 45,101 net acres. To the extent some of these acquisitions included current producing crude oil and natural gas properties, acquiring crude oil and natural gas properties requires HighPeak Energy to assess reservoir and infrastructure characteristics, including such assets and/or other recoverable reserves, future crude oil and natural gas prices and their applicable differentials, development and operating costs, and potential liabilities, including environmental liabilities. In connection with these assessments, HighPeak Energy performs a review of the subject properties that it believes to be generally consistent with industry practices. Such assessments are inexact and inherently uncertain. For these reasons, the properties that HighPeak Energy acquired, or may acquire in the future, may not produce as expected. In connection with the assessments, HighPeak Energy performs a review of the subject properties, but such a review may not reveal all existing or potential problems. In the course of due diligence, HighPeak Energy may not review every well, pipeline or associated facility. HighPeak Energy cannot necessarily observe structural and environmental problems, such as groundwater contamination, when a review is performed. HighPeak Energy may be unable to obtain contractual indemnities from the seller for liabilities created prior to HighPeak Energy’s purchase of the property. HighPeak Energy may be required to assume the risk of the physical condition of the properties in addition to the risk that the properties may not perform in accordance with its expectations. Additionally, the success of future acquisitions will depend on HighPeak Energy’s ability to integrate effectively the then-acquired business into its then-existing operations. The process of integrating acquired assets may involve unforeseen difficulties and may require a disproportionate amount of managerial and financial resources. HighPeak Energy’s failure to achieve consolidation savings, to incorporate the additionally acquired assets into its then-existing operations successfully, or to minimize any unforeseen operational difficulties, or the failure to acquire future assets at all, could have a material adverse effect on its financial condition and results of operations.</w:t>
      </w:r>
    </w:p>
    <w:p>
      <w:pPr>
        <w:spacing w:after="0" w:line="190"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b w:val="1"/>
          <w:bCs w:val="1"/>
          <w:i w:val="1"/>
          <w:iCs w:val="1"/>
          <w:color w:val="auto"/>
        </w:rPr>
        <w:t>HighPeak Energy is not the operator on all its acreage or drilling locations, and, therefore, HighPeak Energy is not able to control the timing of exploration or development efforts, associated costs or the rate of production of any non-operated assets, and could be liable for certain financial obligations of the operators or any of its contractors, to the extent such operator or contractor is unable to satisfy such obligations.</w:t>
      </w:r>
    </w:p>
    <w:p>
      <w:pPr>
        <w:spacing w:after="0" w:line="1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HighPeak Energy is not the operator on all its acreage or drilling locations, and there is no assurance that it will operate all HighPeak Energy’s other future drilling locations. As a result, HighPeak Energy will have limited ability to exercise influence over the operations of the drilling locations operated by its partners and there is the risk that HighPeak Energy’s partners may at any time have economic, business or legal interests or goals that are inconsistent with ours. Furthermore, the success and timing of development activities operated by its partners will depend on several factors that will be largely outside of HighPeak Energy’s control, including:</w:t>
      </w:r>
    </w:p>
    <w:p>
      <w:pPr>
        <w:spacing w:after="0" w:line="18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amount of capital expenditures;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operator’s expertise and financial resources;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of other participants in drilling wells;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2" w:name="page43"/>
    <w:bookmarkEnd w:id="42"/>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selection of technology;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of production of reserves, if any.</w:t>
      </w:r>
    </w:p>
    <w:p>
      <w:pPr>
        <w:spacing w:after="0" w:line="25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This limited ability to exercise control over the operations and associated costs of some of HighPeak Energy’s drilling locations could prevent the realization of targeted returns on capital in drilling or acquisition activities. Further, HighPeak Energy may be liable for certain financial obligations of the operator of a well in which it owns a working interest to the extent such operator becomes insolvent and cannot satisfy such obligations. Similarly, HighPeak Energy may be liable for certain obligations of contractors to the extent such contractor becomes insolvent and cannot satisfy their obligations. The satisfaction of such obligations could have a material adverse effect on HighPeak Energy’s financial condition. For more information about certain of HighPeak Energy’s assets, see the sections entitled “Items 1 and 2. Business and Properties” and “Item 7. Management’s Discussion and Analysis of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weather conditions may negatively affect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operating results and ability to conduct drilling activities.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Adverse weather conditions may cause, among other things, increases in the costs of, and delays in, drilling or completing new wells, power failures, temporary shut-in of production and difficulties in the transportation of crude oil, NGL and natural gas. Any decreases in production due to poor weather conditions will have an adverse effect on revenues, which will in turn negatively affect cash flow from operations. Climate change may also increase the frequency or intensity of such adverse weather conditions; for more information, see our risk factor titled “The operations of HighPeak Energy are subject to a variety of risks arising from climate change.”</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operations are substantially dependent on the availability of sand and water. Restrictions on its ability to obtain sand and water may have an adverse effect on its financial condition, results of operations and cash flows.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Water and sand are an essential component of crude oil and natural gas production during the hydraulic fracturing process, and to a lesser extent, drilling operations. Drought conditions have persisted in the areas where the Company’s assets are located in past years. Such drought conditions can lead governmental authorities to restrict the use of water, subject to their jurisdiction, for hydraulic fracturing to protect local water supplies. Although HighPeak Energy may enter into a long-term contract for the supply of water, it currently procures local water for drilling on a well-to-well basis and currently recycles a significant portion of its produced water for completion operations. If HighPeak Energy is unable to obtain water to use in operations, it may need to be obtained from non-local sources and transported to drilling sites, resulting in increased costs, or HighPeak Energy may be unable to economically produce crude oil and natural gas, which could have a material and adverse effect on its financial condition, results of operations and cash flows.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ind w:right="400"/>
        <w:spacing w:after="0" w:line="277" w:lineRule="auto"/>
        <w:rPr>
          <w:sz w:val="20"/>
          <w:szCs w:val="20"/>
          <w:color w:val="auto"/>
        </w:rPr>
      </w:pPr>
      <w:r>
        <w:rPr>
          <w:rFonts w:ascii="Arial" w:cs="Arial" w:eastAsia="Arial" w:hAnsi="Arial"/>
          <w:sz w:val="18"/>
          <w:szCs w:val="18"/>
          <w:b w:val="1"/>
          <w:bCs w:val="1"/>
          <w:i w:val="1"/>
          <w:iCs w:val="1"/>
          <w:color w:val="auto"/>
        </w:rPr>
        <w:t>The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s assets are located in the northeastern Midland Basin, making HighPeak Energy vulnerable to risks associated with operating in a limited geographic area.</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All HighPeak Energy’s producing properties are geographically concentrated in the northeastern Midland Basin. As a result, HighPeak Energy may be disproportionately exposed to various factors, including, among others: (i) the impact of regional supply and demand factors, (ii) delays or interruptions of production from wells in such areas caused by governmental regulation, (iii) processing or transportation capacity constraints, (iv) market limitations, (v) availability of equipment and personnel, (vi) water shortages or other drought related conditions or (vii) interruption of the processing or transportation of crude oil, NGL or natural gas. The concentration of the Company’s assets in a limited geographic area also increases its exposure to changes in local laws and regulations, certain lease stipulations designed to protect wildlife and unexpected events that may occur in the regions such as natural disasters, adverse weather, seismic events, industrial accidents or labor difficulties. Any one of these factors has the potential to cause producing wells to be shut-in, delay operations, decrease cash flows, increase operating and capital costs and prevent development of lease inventory before expirations. Any of the risks described above could have a material adverse effect on HighPeak Energy’s business, financial condition, results of operations and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HighPeak Energy may incur losses as a result of title defects in the properties in which it invests.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existence of a material title deficiency can render a lease worthless and adversely affect HighPeak Energy’s results of operations and financial condition. While HighPeak Energy typically obtains title opinions prior to commencing drilling operations on a lease or in a unit, the failure of title may not be discovered until after a well is drilled, in which case HighPeak Energy may lose the lease and the right to produce all or a portion of the minerals under the property. Additionally, if an examination of the title history of a property reveals that a crude oil or natural gas lease or other developed right has been purchased in error from a person who is not the owner of the mineral interest desired, HighPeak Energy’s interest would substantially decline in value. In such cases, the amount paid for such crude oil or natural gas lease or leases would be lost.</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development of estimated PUDs may take longer and may require higher levels of capital expenditures than anticipated. Therefore, estimated PUDs may not be ultimately developed or produced.</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December 31, 2022, the Company’s assets contained 61,700 MBoe of proved undeveloped reserves, or PUDs, consisting of 50,971 MBbls of crude oil, 6,401 MBbls of NGL and 25,969 MMcf of natural gas. Development of these proved undeveloped reserves may take longer and require higher levels of capital expenditures than anticipated. Estimated future development costs relating to the development of such PUDs at December 31, 2022 are approximately $934.3 million over the next five (5) years. HighPeak Energy’s ability to fund these expenditures is subject to several risks. See “— HighPeak Energy’s development projects and acquisitions will require substantial capital expenditures. HighPeak Energy may be unable to obtain required capital or financing on satisfactory terms, which could reduce its ability to access or increase production and reserves.” Delays in the development of reserves, increases in costs to drill and develop such reserves or decreases in commodity prices will reduce the value of the estimated PUDs and future net revenues estimated for such reserves and may result in some projects becoming uneconomic. In addition, delays in the development of reserves could cause HighPeak Energy to have to reclassify PUDs as unproved reserves. Furthermore, there is no certainty that HighPeak Energy will be able to convert PUDs to developed reserves or that undeveloped reserves will be economically viable or technically feasible to produce.</w:t>
      </w:r>
    </w:p>
    <w:p>
      <w:pPr>
        <w:spacing w:after="0" w:line="168" w:lineRule="exact"/>
        <w:rPr>
          <w:sz w:val="20"/>
          <w:szCs w:val="20"/>
          <w:color w:val="auto"/>
        </w:rPr>
      </w:pPr>
    </w:p>
    <w:p>
      <w:pPr>
        <w:jc w:val="both"/>
        <w:ind w:right="180"/>
        <w:spacing w:after="0" w:line="275" w:lineRule="auto"/>
        <w:rPr>
          <w:sz w:val="20"/>
          <w:szCs w:val="20"/>
          <w:color w:val="auto"/>
        </w:rPr>
      </w:pPr>
      <w:r>
        <w:rPr>
          <w:rFonts w:ascii="Arial" w:cs="Arial" w:eastAsia="Arial" w:hAnsi="Arial"/>
          <w:sz w:val="17"/>
          <w:szCs w:val="17"/>
          <w:color w:val="auto"/>
        </w:rPr>
        <w:t>Further, SEC rules require that, subject to limited exceptions, PUDs may only be booked if they relate to wells scheduled to be drilled within five years after the date of booking. This requirement may limit HighPeak Energy’s ability to book additional PUDs as it pursues its future drilling programs. As a result, HighPeak Energy may be required to write-down its PUDs if it does not drill those wells within the required timeframe. If actual reserves prove to be less than current reserve estimates, or if HighPeak Energy is required to write-down some of its PUDs, such reductions could have a material adverse effect on HighPeak Energy’s financial condition, results of operations and future cash flows.</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Unless HighPeak Energy replaces its reserves with new reserves and develops those new reserves, its reserves and production will decline, which would adversely affect future cash flows and results of operations.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Producing crude oil and natural gas reservoirs generally are characterized by declining production rates that vary depending upon reservoir characteristics and other factors. Unless HighPeak Energy conducts successful ongoing exploration and development activities or continually acquires properties containing proved reserves, proved reserves will decline as those reserves are produced. HighPeak Energy’s future reserves and production, and therefore future cash flows and results of operations, are highly dependent on HighPeak Energy’s success in efficiently developing current reserves and economically finding or acquiring additional recoverable reserves. HighPeak Energy may not be able to develop, find or acquire sufficient additional reserves to replace future production. If HighPeak Energy is unable to replace such production, the value of its reserves will decrease, and its business, financial condition and results of operations would be materially and adversely affected.</w:t>
      </w:r>
    </w:p>
    <w:p>
      <w:pPr>
        <w:spacing w:after="0" w:line="17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HighPeak Energy depends upon a small number of significant purchasers for the sale of most of its crude oil, NGL and natural gas production. The loss of one or more of such purchasers could, among other factors, limit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access to suitable markets for the crude oil, NGL and natural gas it produces.</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HighPeak Energy expects to sell its production to a relatively small number of customers, as is customary in the crude oil and natural gas business. For the years ended December 31, 2022 and 2021, there was one purchaser that accounted for approximately 88% and 94%, respectively, and the year ended December 31, 2020, there were two purchasers who accounted for approximately 97% of the total revenue attributable to the Company’s assets. No other purchaser accounted for 10% or more of such revenues during such period. The loss of any such greater than 10% purchaser could adversely affect HighPeak Energy’s revenues in the short term. See the section entitled “Items 1 and 2: Business and Properties—Operations—Marketing and Customers” for additional information. HighPeak Energy expects to depend upon these or other significant purchasers for the sale of most of its crude oil and natural gas production. HighPeak Energy cannot ensure that it will continue to have ready access to suitable markets for its future crude oil and natural gas production.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4" w:name="page45"/>
    <w:bookmarkEnd w:id="44"/>
    <w:p>
      <w:pPr>
        <w:ind w:right="400"/>
        <w:spacing w:after="0" w:line="277" w:lineRule="auto"/>
        <w:rPr>
          <w:sz w:val="20"/>
          <w:szCs w:val="20"/>
          <w:color w:val="auto"/>
        </w:rPr>
      </w:pPr>
      <w:r>
        <w:rPr>
          <w:rFonts w:ascii="Arial" w:cs="Arial" w:eastAsia="Arial" w:hAnsi="Arial"/>
          <w:sz w:val="18"/>
          <w:szCs w:val="18"/>
          <w:b w:val="1"/>
          <w:bCs w:val="1"/>
          <w:i w:val="1"/>
          <w:iCs w:val="1"/>
          <w:color w:val="auto"/>
        </w:rPr>
        <w:t>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operations may be exposed to significant delays, costs and liabilities as a result of environmental and occupational health and safety requirements applicable to its business activities.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HighPeak Energy’s operations will be subject to stringent and complex federal, state and local laws and regulations governing the discharge of materials into the environment, the occupational health and safety aspects of its operations or otherwise relating to the protection of the environment and natural resources. These laws and regulations may impose numerous obligations applicable to HighPeak Energy’s operations, including the acquisition of a permit or other approval before conducting regulated activities; the restriction of types, quantities and concentration of materials that can be released into the environment; the limitation or prohibition of drilling activities on certain lands lying within wilderness, wetlands, seismically active areas and other protected areas; the application of specific health and safety criteria addressing worker protection; and the imposition of substantial liabilities for pollution resulting from HighPeak Energy’s operations. Numerous governmental authorities, such as the EPA and analogous state agencies, have the power to enforce compliance with these laws and regulations and the permits issued under them. Such enforcement actions often involve difficult and costly compliance measures or corrective actions. Failure to comply with these laws and regulations may result in the assessment of sanctions, including administrative, civil or criminal penalties, natural resource damages, the imposition of investigatory or remedial obligations, and the issuance of orders limiting or prohibiting some or all HighPeak Energy’s operations. In addition, HighPeak Energy may experience delays in obtaining, or be unable to obtain, required permits, which may delay or interrupt its operations and limit growth and revenue.</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environmental laws impose strict liability (i.e., no showing of “fault” is required) as well as joint and several liability for costs required to remediate and restore sites where hazardous substances, hydrocarbons or solid wastes have been stored or released. HighPeak Energy may be required to remediate contaminated properties owned or operated by it or facilities of third parties that received waste generated by operations regardless of whether such contamination resulted from the conduct of others or from consequences of its own actions that were in compliance with all applicable laws at the time those actions were taken. In connection with certain acquisitions, HighPeak Energy could acquire, or be required to provide indemnification against, environmental liabilities that could expose HighPeak Energy to material losses. In certain instances, citizen groups also have the ability to bring legal proceedings against HighPeak Energy if it is not in compliance with environmental laws, or to challenge its ability to receive environmental permits needed to operate. In addition, claims for damages to persons or property, including natural resources, may result from the environmental, health and safety impacts of its operations. HighPeak Energy’s insurance may not cover all environmental risks and costs or may not provide sufficient coverage if an environmental claim is made against us. Moreover, public interest in the protection of the environment has increased dramatically in recent years. The trend of more expansive and stringent environmental legislation and regulations applied to the crude oil and natural gas industry could continue, resulting in increased costs of doing business and consequently affecting profitability.</w:t>
      </w:r>
    </w:p>
    <w:p>
      <w:pPr>
        <w:spacing w:after="0" w:line="17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For example, HighPeak Energy may incur significant costs and liabilities as a result of environmental requirements applicable to the operation of its wells, gathering systems and other facilities. These costs and liabilities could arise under a wide range of federal, state and local environmental laws and regulations, including the following federal laws and their state counterparts, as amended from time to time, among others:</w:t>
      </w:r>
    </w:p>
    <w:p>
      <w:pPr>
        <w:spacing w:after="0" w:line="165" w:lineRule="exact"/>
        <w:rPr>
          <w:sz w:val="20"/>
          <w:szCs w:val="20"/>
          <w:color w:val="auto"/>
        </w:rPr>
      </w:pPr>
    </w:p>
    <w:p>
      <w:pPr>
        <w:ind w:left="660" w:right="840" w:hanging="328"/>
        <w:spacing w:after="0" w:line="29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CAA, which restricts the emission of air pollutants from many sources, imposes various pre-construction, monitoring and reporting requirements and is relied upon by the EPA as authority for adopting climate change regulatory initiatives relating to GHG emissions;</w:t>
      </w:r>
    </w:p>
    <w:p>
      <w:pPr>
        <w:ind w:left="660" w:right="10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CWA, which regulates discharges of pollutants from facilities and sources to federal waters and establishes the extent to which waterways are subject to federal jurisdiction and rulemaking as protected waters of the United States;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OPA, which imposes liabilities for removal costs and damages arising from a crude oil spill into waters of the United States;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5" w:name="page46"/>
    <w:bookmarkEnd w:id="45"/>
    <w:p>
      <w:pPr>
        <w:ind w:left="660" w:right="420" w:hanging="328"/>
        <w:spacing w:after="0" w:line="25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SDWA, which ensures the quality of the nations’ public drinking water through adoption of drinking water standards and control over the subsurface injection of fluids into belowground formations;</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RCRA, which imposes requirements for the generation, treatment, storage, transport, disposal and cleanup of non-hazardous, hazardous and solid wastes;</w:t>
      </w:r>
    </w:p>
    <w:p>
      <w:pPr>
        <w:ind w:left="660" w:hanging="328"/>
        <w:spacing w:after="0" w:line="265"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CERCLA, which imposes liability on generators, transporters and those who arrange for transportation or disposal of hazardous substances at sites where hazardous substance releases have occurred or are threatening to occur, as well as imposes liability on present and certain past owners and operations of sites where hazardous substance releases have occurred or are threatening to occur;</w:t>
      </w:r>
    </w:p>
    <w:p>
      <w:pPr>
        <w:jc w:val="both"/>
        <w:ind w:left="660" w:right="980" w:hanging="328"/>
        <w:spacing w:after="0" w:line="28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ESA, which restricts activities that may affect federally identified endangered and threatened species or their habitats through the implementation of operating limitations or restrictions or a temporary, seasonal or permanent ban on operations in affected areas; and</w:t>
      </w:r>
    </w:p>
    <w:p>
      <w:pPr>
        <w:spacing w:after="0" w:line="1" w:lineRule="exact"/>
        <w:rPr>
          <w:rFonts w:ascii="Arial" w:cs="Arial" w:eastAsia="Arial" w:hAnsi="Arial"/>
          <w:sz w:val="16"/>
          <w:szCs w:val="16"/>
          <w:color w:val="auto"/>
        </w:rPr>
      </w:pPr>
    </w:p>
    <w:p>
      <w:pPr>
        <w:ind w:left="660" w:right="380" w:hanging="328"/>
        <w:spacing w:after="0" w:line="26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OSHA, under which federal Occupational Safety and Health Administration and similar state agencies have promulgated regulations limiting exposures to hazardous substances in the workplace and imposing various worker safety requirements.</w:t>
      </w:r>
    </w:p>
    <w:p>
      <w:pPr>
        <w:spacing w:after="0" w:line="1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Failure to comply with these laws and regulations may result in the assessment of sanctions, including administrative, civil and criminal penalties, the imposition of investigatory, remedial and corrective actions, the incurrence of capital expenditures, the occurrence of delays in the permitting, development or expansion of projects and the issuance of orders enjoining some or all HighPeak Energy’s future operations in a particular area. It is not uncommon for neighboring landowners, employees and other third parties to file claims for personal injury and property damage allegedly caused by the release of hazardous substances, wastes or other materials into the environment. The trend in environmental regulation is to place more restrictions and limitations on activities that may affect the environment and more stringent laws and regulations may be adopted in the future.</w:t>
      </w:r>
    </w:p>
    <w:p>
      <w:pPr>
        <w:spacing w:after="0" w:line="178"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To the extent HighPeak Energy’s operations are affected by national, regional, local and other laws, and to the extent such laws are enacted or other governmental action is taken that restricts drilling or imposes more stringent and costly operating, waste handling, disposal and cleanup requirements, HighPeak Energy’s business, prospects, financial condition or results of operations could be materially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HighPeak Energy may incur increasing attention to ESG matters that may impact its business.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Businesses across all industries are facing increasing scrutiny from stakeholders related to their ESG practices. Businesses that do not adapt to or comply with investor or stakeholder expectations and standards, which are evolving, or which are perceived to have not responded appropriately to the growing concern for ESG issues, regardless whether there is a legal requirement to do so, may suffer from reputational damage and the business, financial condition and/or stock price of such business entity could be materially and adversely affected. Increasing attention to climate change, increasing societal expectations on businesses to address climate change, and potential consumer use of substitutes to energy commodities may result in increased costs, reduced demand for HighPeak Energy’s hydrocarbon products, reduced profits, increased investigations and litigation and negative impacts on its stock price and access to capital markets. Increasing attention to climate change, for example, may result in demand shifts for HighPeak Energy’s hydrocarbon products and additional governmental investigations and private litigation.</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Moreover, while we may create and publish voluntary disclosures regarding ESG matters from time to time, certain statements in those voluntary disclosures may be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We may also announce participation in, or certification under, various third-party ESG frameworks in an attempt to improve our ESG profile, but such participation or certification may be costly and may not achieve the desired results. Additionally, while we may announce various voluntary ESG targets, such targets are aspirational. We may not be able to meet such targets in the manner or on such a timeline as initially contemplated, including but not limited to as a result of unforeseen costs or technical difficulties associated with achieving such results. To the extent we meet such targets, it may be achieved through various contractual arrangements, including the purchase of various credits or offsets that may be deemed to mitigate our ESG impact instead of actual changes in our ESG performance. Also, despite these aspirational goals and any other actions taken, we may receive pressure from investors, lenders, or other groups to adopt more aggressive climate or other ESG-related goals, but we cannot guarantee that we will be able to implement such goals because of potential costs or technical or operational obstacles.</w:t>
      </w:r>
    </w:p>
    <w:p>
      <w:pPr>
        <w:spacing w:after="0" w:line="16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organizations that provided information to investors on corporate governance and related matters have developed rating processes for evaluating business entities on their approach to ESG matters. Currently, there are no universal standards for such scores or ratings, but the importance of sustainability evaluations is becoming more broadly accepted by investors and shareholders. Such ratings are used by some investors to inform their investment and voting decisions. Additionally, certain investors use these scores to benchmark businesses against their peers and if a business entity is perceived as lagging, these investors may engage with such entities to require improved ESG disclosure or performance. Moreover, certain members of the broader investment community may consider a business entity’s sustainability score as a reputational or other factor in making an investment decision. Consequently, a low sustainability score could result in exclusion of HighPeak Energy’s stock from consideration by certain investment funds, engagement by investors seeking to improve such scores and a negative perception of HighPeak Energy’s operation by certain investors. Additionally, to the extent ESG matters negatively impact our reputation, we may not be able to compete as effectively to recruit or retain employees, which may adversely affect our operations. ESG matters may also impact our suppliers and customers, which may ultimately have adverse impacts on our operations.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6" w:name="page47"/>
    <w:bookmarkEnd w:id="46"/>
    <w:p>
      <w:pPr>
        <w:ind w:right="240"/>
        <w:spacing w:after="0" w:line="308" w:lineRule="auto"/>
        <w:rPr>
          <w:sz w:val="20"/>
          <w:szCs w:val="20"/>
          <w:color w:val="auto"/>
        </w:rPr>
      </w:pPr>
      <w:r>
        <w:rPr>
          <w:rFonts w:ascii="Arial" w:cs="Arial" w:eastAsia="Arial" w:hAnsi="Arial"/>
          <w:sz w:val="17"/>
          <w:szCs w:val="17"/>
          <w:b w:val="1"/>
          <w:bCs w:val="1"/>
          <w:i w:val="1"/>
          <w:iCs w:val="1"/>
          <w:color w:val="auto"/>
        </w:rPr>
        <w:t>HighPeak Energy may incur substantial losses and be subject to substantial liability claims as a result of operations. Additionally, HighPeak Energy may not be insured for, or insurance may be inadequate to protect HighPeak Energy against, these risks.</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HighPeak Energy will not be insured against all risks. Losses and liabilities arising from uninsured and underinsured events could materially and adversely affect its business, financial condition or results of operations.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HighPeak Energy’s development activities will be subject to all the operating risks associated with drilling for and producing crude oil and natural gas, including the possibility of:</w:t>
      </w:r>
    </w:p>
    <w:p>
      <w:pPr>
        <w:spacing w:after="0" w:line="170" w:lineRule="exact"/>
        <w:rPr>
          <w:sz w:val="20"/>
          <w:szCs w:val="20"/>
          <w:color w:val="auto"/>
        </w:rPr>
      </w:pPr>
    </w:p>
    <w:p>
      <w:pPr>
        <w:ind w:left="660" w:right="220" w:hanging="328"/>
        <w:spacing w:after="0" w:line="25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environmental hazards, such as uncontrollable releases of crude oil, natural gas, brine, well fluids, toxic gas or other pollution into the environment, including groundwater, air and shoreline contamination, damage to natural resources or wildlife, or the presence of endangered or threatened species;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abnormally pressured formations;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mechanical difficulties, such as stuck oilfield drilling and service tools and casing collapse;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fires, explosions and ruptures of pipelines;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personal injuries and death;</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natural disasters;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terrorist attacks targeting crude oil and natural gas related facilities and infrastructure.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Any of these events could adversely affect HighPeak Energy’s ability to conduct operations or result in substantial loss as a result of claims for:</w:t>
      </w:r>
    </w:p>
    <w:p>
      <w:pPr>
        <w:spacing w:after="0" w:line="23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or loss of life;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damage to and destruction of property, natural resources and equipment;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pollution and other environmental or natural resource damage;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investigations and penalties;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repair and remediation costs.</w:t>
      </w:r>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HighPeak Energy may elect not to obtain insurance for any or all of these risks if it believes that the cost of available insurance is excessive relative to the risks presented. In addition, pollution and environmental risks generally are not fully insurable. The occurrence of an event that is not fully covered by insurance could have a material adverse effect on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Properties that HighPeak Energy decides to drill may not yield crude oil or natural gas in commercially viable quantities.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Properties that HighPeak Energy decides to drill that do not yield crude oil or natural gas in commercially viable quantities will adversely affect its results of operations and financial condition. There is no way to predict in advance of drilling and testing whether any particular prospect will yield crude oil or natural gas in sufficient quantities to recover drilling or completion costs or to be economically viable. The use of micro-seismic data and other technologies and the study of producing fields in the same area will not enable HighPeak Energy to know conclusively prior to drilling whether crude oil or natural gas will be present or, if present, whether crude oil or natural gas will be present in commercial quantities. HighPeak Energy cannot assure you that the analogies drawn from available data from other wells, more fully explored prospects or producing fields will be applicable to its drilling prospects. Further, HighPeak Energy’s drilling operations may be curtailed, delayed or cancelled as a result of numerous factors, including:</w:t>
      </w:r>
    </w:p>
    <w:p>
      <w:pPr>
        <w:spacing w:after="0" w:line="166"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unexpected drilling conditions;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title issues;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pressure or lost circulation in formations;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equipment failures or accidents;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or changes in, environmental and other governmental or contractual requirements, including the IRA 2022; and</w:t>
      </w:r>
    </w:p>
    <w:p>
      <w:pPr>
        <w:spacing w:after="0" w:line="36"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increases in the cost of, and shortages or delays in the availability of, electricity, supplies, materials, drilling or workover rigs, equipment and services.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7" w:name="page48"/>
    <w:bookmarkEnd w:id="47"/>
    <w:p>
      <w:pPr>
        <w:ind w:right="280"/>
        <w:spacing w:after="0" w:line="277" w:lineRule="auto"/>
        <w:rPr>
          <w:sz w:val="20"/>
          <w:szCs w:val="20"/>
          <w:color w:val="auto"/>
        </w:rPr>
      </w:pPr>
      <w:r>
        <w:rPr>
          <w:rFonts w:ascii="Arial" w:cs="Arial" w:eastAsia="Arial" w:hAnsi="Arial"/>
          <w:sz w:val="18"/>
          <w:szCs w:val="18"/>
          <w:b w:val="1"/>
          <w:bCs w:val="1"/>
          <w:i w:val="1"/>
          <w:iCs w:val="1"/>
          <w:color w:val="auto"/>
        </w:rPr>
        <w:t>HighPeak Energy may be unable to make additional attractive acquisitions or successfully integrate acquired businesses with its current assets, and any inability to do so may disrupt its business and hinder its ability to grow.</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HighPeak Energy may not be able to identify attractive acquisition opportunities that complement the Company’s assets or expand its business. In the event it identifies attractive acquisition opportunities, HighPeak Energy may not be able to complete the acquisition or do so on commercially acceptable terms. Competition for acquisitions may also increase the cost of, or cause HighPeak Energy to refrain from, completing acquisitions.</w:t>
      </w:r>
    </w:p>
    <w:p>
      <w:pPr>
        <w:spacing w:after="0" w:line="16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success of completed acquisitions will depend on HighPeak Energy’s ability to integrate effectively the acquired business into its then-existing operations. The process of integrating acquired businesses may involve unforeseen difficulties and may require a disproportionate amount of its managerial and financial resources. In addition, possible future acquisitions may be larger and for purchase prices significantly higher than those paid for earlier acquisitions. No assurance can be given that it will be able to identify additional suitable acquisition opportunities, negotiate acceptable terms, obtain financing for acquisitions on acceptable terms or successfully acquire identified targets. HighPeak Energy’s failure to achieve consolidation savings, to integrate the acquired businesses and assets, including those from the Hannathon and Alamo Acquisitions, into its then-existing operations successfully or to minimize any unforeseen operational difficulties could have a material adverse effect on its financial condition and results of operations.</w:t>
      </w:r>
    </w:p>
    <w:p>
      <w:pPr>
        <w:spacing w:after="0" w:line="16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addition, the Credit Agreement and the indentures governing the 10.000% Senior Notes and the 10.625% Senior Notes impose certain limitations on HighPeak Energy’s ability to enter into mergers or combination transactions and on HighPeak Energy’s and its restricted subsidiaries’ ability to incur certain indebtedness, which could indirectly limit its ability to acquire assets and businesses.</w:t>
      </w:r>
    </w:p>
    <w:p>
      <w:pPr>
        <w:spacing w:after="0" w:line="1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Certain of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properties are subject to land use restrictions, which could limit the manner in which HighPeak Energy conducts business.</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Certain of HighPeak Energy’s properties are subject to land use restrictions, which could limit the manner in which HighPeak Energy conducts business. Such restrictions could affect, among other things, access to and the permissible uses of facilities as well as the manner in which HighPeak Energy produces crude oil and natural gas and may restrict or prohibit drilling in general. The costs incurred to comply with such restrictions may be significant, and HighPeak Energy may experience delays or curtailment in the pursuit of development activities and perhaps even be precluded from the drilling of wells.</w:t>
      </w:r>
    </w:p>
    <w:p>
      <w:pPr>
        <w:spacing w:after="0" w:line="18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b w:val="1"/>
          <w:bCs w:val="1"/>
          <w:i w:val="1"/>
          <w:iCs w:val="1"/>
          <w:color w:val="auto"/>
        </w:rPr>
        <w:t>The unavailability or high cost of drilling rigs, equipment, supplies, personnel, frac crews and oilfield services due to commodity price volatility or supply constraints as a result of the conflict in Ukraine, the COVID-19 pandemic, rising interest rates and associated policies of the Federal Reserve could adversely affect HighPeak Energy</w:t>
      </w:r>
      <w:r>
        <w:rPr>
          <w:rFonts w:ascii="Arial" w:cs="Arial" w:eastAsia="Arial" w:hAnsi="Arial"/>
          <w:sz w:val="17"/>
          <w:szCs w:val="17"/>
          <w:color w:val="auto"/>
        </w:rPr>
        <w:t>’</w:t>
      </w:r>
      <w:r>
        <w:rPr>
          <w:rFonts w:ascii="Arial" w:cs="Arial" w:eastAsia="Arial" w:hAnsi="Arial"/>
          <w:sz w:val="17"/>
          <w:szCs w:val="17"/>
          <w:b w:val="1"/>
          <w:bCs w:val="1"/>
          <w:i w:val="1"/>
          <w:iCs w:val="1"/>
          <w:color w:val="auto"/>
        </w:rPr>
        <w:t>s ability to execute its development plans within its budget and on a timely basis and consequently could materially and adversely affect our cash flows and results of operations.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demand for drilling rigs, pipe and other equipment and supplies, as well as for qualified and experienced field personnel to drill wells and conduct field operations, geologists, geophysicists, engineers and other professionals in the crude oil and natural gas industry, can fluctuate significantly, often in correlation with crude oil, NGL and natural gas prices, causing periodic shortages of equipment, supplies and needed personnel. Additionally, supply constraints due to the conflict in Ukraine, the COVID-19 pandemic, rising interest rates and associated policies of the Federal Reserve has increased the cost of oilfield services. HighPeak Energy’s operations are concentrated in areas in which oilfield activity levels have previously increased rapidly. If that were to happen again, demand for drilling rigs, equipment, supplies and personnel may increase the costs for these services. Access to transportation, processing and refining facilities in these areas may become constrained resulting in higher costs and reduced access for those items. Historically, crude oil, NGL and natural gas prices have been volatile. For example, during the period from January 1, 2018 through December 31, 2022, the calendar month average NYMEX WTI crude oil price per Bbl ranged from a low of $16.70 to a high of $114.34, and the last trading day NYMEX natural gas price per MMBtu ranged from a low of $1.50 to a high of $9.35. For the month of April 2020, the calendar month average NYMEX WTI crude oil price was $16.70 and last trading day NYMEX natural gas price was $1.63 per MMBtu. However, prices have since increased. To the extent commodity prices improve in the future, the demand for and prices of these goods and services are likely to increase and HighPeak Energy could encounter delays in or an inability to secure the personnel, equipment, power, services, resources and facilities access necessary for it to resume or increase HighPeak Energy’s development activities, which could result in production volumes being below its forecasted volumes. In addition, any such negative effect on production volumes, or significant increases in costs, could have a material adverse effect on cash flow and profitability. Furthermore, if it is unable to secure a sufficient number of drilling rigs at reasonable costs, HighPeak Energy may not be able to drill all its acreage before its leases expire.</w:t>
      </w:r>
    </w:p>
    <w:p>
      <w:pPr>
        <w:spacing w:after="0" w:line="17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HighPeak Energy could experience periods of higher costs if commodity prices rise and inflation may adversely affect our operating results. These increases in cost could reduce profitability, cash flow and ability to complete development activities as planned.</w:t>
      </w:r>
    </w:p>
    <w:p>
      <w:pPr>
        <w:spacing w:after="0" w:line="1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Historically, capital and operating costs have risen during periods of increasing crude oil, NGL and natural gas prices. Inflationary factors such as increases in the labor costs, material costs and overhead costs may adversely affect our operating results. These cost increases have resulted from a variety of factors that HighPeak Energy will be unable to control, such as increases in the cost of electricity, steel and other raw materials; increased demand for labor, services and materials as drilling activity increases; and increased taxes. Such costs may rise faster than increases in HighPeak Energy’s revenue if commodity prices rise, thereby negatively impacting its profitability, cash flow and ability to complete development activities as scheduled and on budget. A high rate of inflation, including a continuation of inflation at the current rate, may have an adverse effect on HighPeak Energy’s operating results. This impact may be magnified to the extent that HighPeak Energy’s ability to participate in the commodity price increases is limited by its derivative activities, if any.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The IRA 2022 could accelerate the transition to a low carbon economy and could impose new costs on our operations.</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August 2022, President Biden signed the IRA 2022 into law. The IRA 2022 contains hundreds of billions in incentives for the development of renewable energy, clean hydrogen, clean fuels, electric vehicles and supporting infrastructure and carbon capture and sequestration, amongst other provisions. In addition, the IRA 2022 imposes the first ever federal fee on the emission of greenhouse gases through a methane emissions charge. The IRA 2022 amends the federal Clean Air Act to impose a fee on the emission of methane from sources required to report their GHG emissions to the EPA, including those sources in the onshore petroleum and natural gas production categories. The methane emissions charge would start in calendar year 2024 at $900 per ton of methane, increase to $1,200 in 2025, and be set at $1,500 for 2026 and each year after. Calculation of the fee is based on certain thresholds established in the IRA 2022. In addition, the multiple incentives offered for various clean energy industries referenced above could further accelerate the transition of the economy away from the use of fossil fuels towards lower- or zero-carbon emissions alternatives. This could decrease demand for crude oil and natural gas, increase our compliance and operating costs and consequently adversely affect our business.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fuel conservation measures, alternative fuel requirements and increasing consumer demand for alternatives to crude oil, NGL and natural gas could reduce demand for crude oil, NGL and natural gas. The IRA 2022 incentives discussed above could further accelerate the transition of our economy to alternatives to crude oil, NGL and natural gas. The impact of the changing demand for crude oil, NGL and natural gas may have a material adverse effect on our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HighPeak Energy may be involved in legal proceedings that could result in substantial liabilities.</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Like many crude oil and natural gas companies, HighPeak Energy may be involved from time to time in various legal and other proceedings, such as title, royalty or contractual disputes, regulatory compliance matters and personal injury or property damage matters, in the ordinary course of its business. Such proceedings are inherently uncertain, and their results cannot be predicted. Regardless of the outcome, such proceedings could have an adverse impact on HighPeak Energy because of legal costs, diversion of management and other personnel and other factors. In addition, it is possible that a resolution of one or more such proceedings could result in liability, penalties or sanctions, as well as judgments, consent decrees or orders requiring a change in its business practices, which could materially and adversely affect its business, operating results and financial condition. Accruals for such liability, penalties or sanctions may be insufficient, and judgments and estimates to determine accruals or range of losses related to legal and other proceedings could change from one period to the next, and such changes could be material.</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Should our operators fail to comply with all applicable regulatory agency administered statutes, rules, regulations and orders, our operators could be subject to substantial penalties and fines.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Energy Policy Act of 2005, FERC has civil penalty authority under the Natural Gas Act of 1938 to impose penalties for current violations of up to $1,269,500 per day for each violation (annually adjusted for inflation) and disgorgement of profits associated with any violation. While our operators’ operations have not been regulated by the FERC as a natural gas company under this law, the FERC has adopted regulations that may subject certain of our operators’ otherwise non-FERC jurisdictional facilities to the FERC annual reporting requirements. Our operators also must comply with the anti-market manipulation rules enforced by the FERC. Additional rules and legislation pertaining to those and other matters may be considered or adopted by the FERC from time to time. Additionally, the FTC has regulations intended to prohibit market manipulation in the petroleum industry with authority to fine violators of the regulations civil penalties of up to $1,210,340 per day (annually adjusted for inflation) and the CFTC prohibits market manipulation in the markets regulated by the CFTC, including similar anti-manipulation authority with respect to crude oil swaps and futures contracts as that granted to the CFTC with respect to crude oil purchases and sales. The CFTC rules subject violators to a civil penalty of up to the greater of $1,191,842 per day (annually adjusted for inflation) or triple the monetary gain to the person for each violation. Failure to comply with those regulations in the future could subject our operators to civil penalty liability, as described in “Items 1 and 2: Business and Properties—Regulation of the Crude Oil and Natural Gas Industry.”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The operations of HighPeak Energy are subject to a variety of risks arising from climate change.</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threat of climate change continues to attract considerable attention in the United States and in foreign countries. Numerous proposals have been made and could continue to be made at the international, national, regional and state levels of government to monitor and limit existing emissions of GHGs as well as to restrict or eliminate such future emissions. As a result, crude oil and natural gas exploration and production operations are subject to a series of regulatory, political, litigation and financial risks associated with the production and processing of fossil fuels and emission of GHGs.</w:t>
      </w:r>
    </w:p>
    <w:p>
      <w:pPr>
        <w:spacing w:after="0" w:line="15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the United States, no comprehensive climate change legislation has been implemented at the federal level, though federal law such as the IRA 2022 advances numerous climate-related objectives. However, with the U.S. Supreme Court finding that GHG emissions constitute a pollutant under the CAA, the EPA has adopted rules that, among other things, establish construction and operating permit reviews for GHG emissions from certain large stationary sources, require the monitoring and annual reporting of GHG emissions from certain petroleum and natural gas system sources in the United States, and together with the DOT, implement GHG emissions limits on vehicles manufactured for operation in the United States. The regulation of methane from crude oil and natural gas facilities has been subject to uncertainty in recent years. Although, in September 2020, the Trump Administration revised prior promulgated regulations to rescind certain methane standards and remove the transmission and storage segments from the source category for certain regulations, the U.S. Congress approved, and President Biden signed into law, a resolution under the Congressional Review Act to repeal the September 2020 revisions, effectively reinstating the prior standards. Additionally, in November 2021, the EPA issued a proposed rule that, if finalized, would establish OOOOb as new source and OOOOc as first-time existing source standards of performance for methane and VOC emissions for the crude oil and natural gas source category. Owners or operators of affected emission units or processes would have to comply with specific standards of performance that may include leak detection using optical gas imaging and subsequent repair requirements, reduction of regulated emissions through capture and control systems, zero-emission requirements for certain equipment or processes, operations and maintenance requirements and requirements for “green well” completions. The EPA’s supplemental proposal on these requirements was issued in 2022, and the final rule is expected in 2023; however, it will likely be subject to legal challenge. Separately, various states and groups of states have adopted or are considering adopting legislation, regulations or other regulatory initiatives that are focused on such areas as GHG cap and trade programs, carbon taxes, reporting and tracking programs, and restriction of emissions. At the international level, the United Nations-sponsored “Paris Agreement” requires member states to submit non-binding, individually-determined reduction goals every five years after 2020. President Biden has recommitted the United States to the Paris Agreement and in April 2021, announced a goal of reducing the United States’ emissions by 50-52% below 2005 levels by 2030. In November 2021, the international community gathered again in Glasgow at COP26, during which multiple announcements were made, including a call for parties to eliminate certain fossil fuel subsidies and pursue further action on non-CO2 GHGs. Relatedly, the United States and European Union jointly announced the launch of the “Global Methane Pledge,” which aims to cut global methane pollution at least 30% by 2030 relative to 2020 levels, including “all feasible reductions” in the energy sector. These goals were reaffirmed at COP27, and countries were called upon to accelerate their efforts, though no firm commitments were made. The impacts of these actions cannot be predicted at this time. For more information, see the section entitled “Items 1 and 2. Business and Properties— Regulation of Environmental and Occupational Safety and Health Matters— Regulation of Greenhouse Gas Emissions.”</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Governmental, scientific and public concern over the threat of climate change arising from GHG emissions has resulted in increasing political risks in the United States, including climate change related pledges made by certain candidates in public office. On January 27, 2021, President Biden signed an executive order calling for substantial action on climate change, including, among other things, the increased use of zero-emissions vehicles by the federal government, the elimination of subsidies provided to the fossil fuel industry and increased emphasis on climate-related risks across agencies and economic sectors. Additional actions that could be pursued by the Biden Administration may include more restrictive requirements for the establishment of pipeline infrastructure or the permitting of LNG export facilities. Litigation risks are also increasing, as a number of entities have sought to bring suit against crude oil and natural gas companies in state or federal court, alleging, among other things, that such companies created public nuisances by producing fuels that contributed to climate change or that such companies have been aware of the adverse effects of climate change for some time but defrauded their investors or customers by failing to adequately disclose those impacts.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50" w:name="page51"/>
    <w:bookmarkEnd w:id="50"/>
    <w:p>
      <w:pPr>
        <w:ind w:right="20"/>
        <w:spacing w:after="0" w:line="285" w:lineRule="auto"/>
        <w:rPr>
          <w:sz w:val="20"/>
          <w:szCs w:val="20"/>
          <w:color w:val="auto"/>
        </w:rPr>
      </w:pPr>
      <w:r>
        <w:rPr>
          <w:rFonts w:ascii="Arial" w:cs="Arial" w:eastAsia="Arial" w:hAnsi="Arial"/>
          <w:sz w:val="16"/>
          <w:szCs w:val="16"/>
          <w:color w:val="auto"/>
        </w:rPr>
        <w:t>There are also increasing financial risks for fossil fuel producers as shareholders currently invested in fossil-fuel energy companies concerned about the potential effects of climate change may elect in the future to shift some or all their investments into other sectors. Institutional lenders who provide financing to fossil-fuel energy companies also have become more attentive to sustainable lending practices and some of them may elect not to provide funding for fossil fuel energy companies. For example, at COP26, the Glasgow Financial Alliance for Net Zero (“GFANZ”) announced that commitments from over 450 firms across 45 countries had resulted in over $130 trillion in capital committed to net zero goals. The various sub-alliances of GFANZ generally require participants to set short-term, sector-specific targets to transition their financing, investing and/or underwriting activities to net zero by 2050. There is also a risk that financial institutions will be required to adopt policies that have the effect of reducing the funding provided to the fossil fuel sector. In late 2020, the Federal Reserve announced it has joined the NGFS and, in November 2021, issued a statement in support of the efforts of the NGFS to identify key issues and potential solutions for the climate-related challenges most relevant to central banks and supervisory authorities. In September 2022, the Federal Reserve announced that six of the U.S.’ largest banks will participate in a pilot climate scenario analysis exercise, expected to be launched in early 2023, to enhance the ability of firms and supervisors to measure and manage climate-related financial risk. Limitation of investments in and financing for fossil fuel energy companies could result in the restriction, delay or cancellation of drilling programs or development or production activities. In addition, the SEC proposed a rule requiring registrants to make certain climate-related disclosures, including emissions data. The final rule is expected in 2023, and we cannot predict its final form or substance. To the extent the rules impose additional reporting obligations, we could face increased costs. Additionally, we cannot predict how financial institutions and investors might consider any information disclosed under a final rule when making investment decisions, and as a result it is possible that we could face increases with respect to the costs of, or restrictions imposed on, our access to capital. For more information, see the section entitled “Items 1 and 2. Business and Properties—Regulation of Environmental and Occupational Safety and Health Matters— Regulation of Greenhouse Gas Emissions.”</w:t>
      </w:r>
    </w:p>
    <w:p>
      <w:pPr>
        <w:spacing w:after="0" w:line="3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adoption and implementation of new or more stringent international, federal or state legislation, regulations or other regulatory initiatives that impose more stringent standards for GHG emissions from crude oil and natural gas producers such as HighPeak Energy or otherwise restrict the areas in which HighPeak Energy may produce crude oil and natural gas or generate GHG emissions could result in increased costs of compliance or costs of consuming, and thereby reduce demand for or erode value for, the crude oil and natural gas that HighPeak Energy produces. Additionally, political, litigation and financial risks may result in HighPeak Energy’s restricting or cancelling crude oil and natural gas production activities, incurring liability for infrastructure damages as a result of climatic changes, or having an impaired ability to continue to operate in an economic manner. One or more of these developments could have a material adverse effect on HighPeak Energy’s business, financial condition and results of operations.</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Finally, many scientists have concluded that increasing concentrations of GHG in the atmosphere may produce climate changes that have significant physical effects, such as increased frequency and severity of storms, droughts, floods and other climate events that could have an adverse effect on HighPeak Energy’s operations. If such effects were to occur, our development and production operations have the potential to be adversely affected. Potential adverse effects could include damages to our facilities from powerful winds or rising waters in low lying areas, disruption of our production activities either because of climate related damages to our facilities or in our costs of operation potentially arising from such climatic effects, less efficient or non-routine operating practices necessitated by climate effects or increased costs for insurance coverage in the aftermath of such effects. Significant physical effects of climate change could also have an indirect effect on our financing and operations by disrupting the transportation or process-related services provided by midstream companies, service companies or suppliers with whom we have a business relationship or by reducing demand for fossil fuels we provide, such as to the extent warmer winters reduce the demand for energy for heating purposes. We may not be able to recover through insurance some or any of the damages, losses or costs that may result from potential physical effects of climate change. At this time, we have not developed a comprehensive plan to address the legal, economic, social or physical impacts of climate change on our operations. If we are forced to shut-in production, we will likely incur greater costs to bring the associated production back online. Cost increases necessary to bring the associated wells back online may be significant enough that such wells would become uneconomic at low commodity price levels, which may lead to decreases in our proved reserve estimates and potential impairments and associated charges to our earnings.</w:t>
      </w:r>
    </w:p>
    <w:p>
      <w:pPr>
        <w:spacing w:after="0" w:line="18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Federal, state and local legislative and regulatory initiatives relating to hydraulic fracturing could result in increased costs and additional operating restrictions or delays in the completion of crude oil and natural gas wells and adversely affect HighPeak Energy</w:t>
      </w:r>
      <w:r>
        <w:rPr>
          <w:rFonts w:ascii="Arial" w:cs="Arial" w:eastAsia="Arial" w:hAnsi="Arial"/>
          <w:sz w:val="16"/>
          <w:szCs w:val="16"/>
          <w:color w:val="auto"/>
        </w:rPr>
        <w:t>’</w:t>
      </w:r>
      <w:r>
        <w:rPr>
          <w:rFonts w:ascii="Arial" w:cs="Arial" w:eastAsia="Arial" w:hAnsi="Arial"/>
          <w:sz w:val="16"/>
          <w:szCs w:val="16"/>
          <w:b w:val="1"/>
          <w:bCs w:val="1"/>
          <w:i w:val="1"/>
          <w:iCs w:val="1"/>
          <w:color w:val="auto"/>
        </w:rPr>
        <w:t>s production.</w:t>
      </w:r>
    </w:p>
    <w:p>
      <w:pPr>
        <w:spacing w:after="0" w:line="1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Hydraulic fracturing is an important and common practice that is used to stimulate production of crude oil and natural gas from dense subsurface rock formations. The hydraulic fracturing process involves the injection of water, proppants and chemicals under pressure into targeted subsurface formations to fracture the surrounding rock and stimulate production. HighPeak Energy expects to regularly use hydraulic fracturing as part of HighPeak Energy’s operations. Hydraulic fracturing is typically regulated by state crude oil and natural gas commissions, but certain federal agencies have asserted regulatory authority over certain aspects of the process. For example, the EPA finalized rules in June 2016 that prohibit the discharge of wastewater from hydraulic fracturing operations to publicly owned wastewater treatment plants. Congress has, from time to time, considered legislation to provide for federal regulation of hydraulic fracturing under the SDWA and to require disclosure of the chemicals used in the hydraulic fracturing process. It is unclear how any additional federal regulation of hydraulic fracturing activities may affect HighPeak Energy’s operations, but such additional federal regulation could have an adverse effect on its business, financial condition and results of operations.</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December 2016, the EPA released its final report on the potential impacts of hydraulic fracturing on drinking water resources. The EPA report concluded that “water cycle” activities associated with hydraulic fracturing may impact drinking water under certain limited circumstances.</w:t>
      </w:r>
    </w:p>
    <w:p>
      <w:pPr>
        <w:spacing w:after="0" w:line="14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Moreover, some states and local governments have adopted, and other governmental entities are considering adopting, regulations that could impose more stringent permitting, disclosure and well-construction requirements on hydraulic fracturing operations, including states in which our properties are located. For example, Texas, among others, has adopted regulations that impose new or more stringent permitting, disclosure, disposal and well construction requirements on hydraulic fracturing operations. States could also elect to prohibit high volume hydraulic fracturing altogether. In addition to state laws, local land use restrictions, such as city ordinances may restrict drilling in general and/or hydraulic fracturing in particular. If new or more stringent federal, state or local legal restrictions relating to the hydraulic fracturing process are adopted in areas where HighPeak Energy will operate, it could incur potentially significant added costs to comply with such requirements, experience delays or curtailment in the pursuit of development activities, and perhaps even be precluded from drilling wells. For more information, see the section entitled “Items 1 and 2. Business and Properties—Regulation of Environmental and Occupational Safety and Health Matters— Hydraulic Fracturing Activities.”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794" w:gutter="0" w:footer="0" w:header="0"/>
        </w:sectPr>
      </w:pPr>
    </w:p>
    <w:bookmarkStart w:id="51" w:name="page52"/>
    <w:bookmarkEnd w:id="51"/>
    <w:p>
      <w:pPr>
        <w:ind w:right="160"/>
        <w:spacing w:after="0" w:line="263" w:lineRule="auto"/>
        <w:rPr>
          <w:sz w:val="20"/>
          <w:szCs w:val="20"/>
          <w:color w:val="auto"/>
        </w:rPr>
      </w:pPr>
      <w:r>
        <w:rPr>
          <w:rFonts w:ascii="Arial" w:cs="Arial" w:eastAsia="Arial" w:hAnsi="Arial"/>
          <w:sz w:val="18"/>
          <w:szCs w:val="18"/>
          <w:b w:val="1"/>
          <w:bCs w:val="1"/>
          <w:i w:val="1"/>
          <w:iCs w:val="1"/>
          <w:color w:val="auto"/>
        </w:rPr>
        <w:t>Legislation or regulatory initiatives intended to address seismic activity could restrict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drilling and production activities, as well as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ability to dispose of produced water gathered from such activities, which could have a material adverse effect on its future business.</w:t>
      </w:r>
    </w:p>
    <w:p>
      <w:pPr>
        <w:spacing w:after="0" w:line="18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State and federal regulatory agencies have at times focused on a possible connection between the hydraulic fracturing related activities, particularly the underground injection of wastewater into disposal wells, and the increased occurrence of seismic activity, and regulatory agencies at all levels are continuing to study the possible linkage between crude oil and natural gas activity and induced seismicity. For example, in 2015, the United States Geological Study identified eight states, including Texas, with areas of increased rates of induced seismicity that could be attributed to fluid injection or crude oil and natural gas extraction.</w:t>
      </w:r>
    </w:p>
    <w:p>
      <w:pPr>
        <w:spacing w:after="0" w:line="18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a number of lawsuits have been filed in some states, including Texas, alleging that disposal well operations have caused damage to neighboring properties or otherwise violated state and federal rules regulating waste disposal. In response to these concerns, regulators in some states are seeking to impose additional requirements, including requirements in the permitting of produced water disposal wells or otherwise to assess the relationship between seismicity and the use of such wells. For example, Texas has imposed certain limits on the permitting or operation of disposal wells in areas with increased instances of induced seismic events. In some instances, regulators may also order that disposal wells be shut-in. In September 2021, the TRRC issued a notice to operators in the city of Midland area to reduce daily injection volumes following multiple earthquakes above a 3.5 magnitude over an 18-month period. The notice also required disposal well operators to provide injection data to TRRC staff to further analyze seismicity in the area. Subsequently, the TRRC ordered the indefinite suspension of all deep crude oil and natural gas produced water injection wells in the area, effective December 31, 2021. The response area was expanded to cover an additional 17 wells following another earthquake in December 2022.</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HighPeak Energy will likely dispose of large volumes of produced water gathered from its drilling and production operations by injecting it into wells pursuant to permits issued by governmental authorities overseeing such disposal activities. While these permits will be issued pursuant to existing laws and regulations, these legal requirements are subject to change, which could result in the imposition of more stringent operating constraints or new monitoring and reporting requirements, owing to, among other things, concerns of the public or governmental authorities regarding such gathering or disposal activities. The adoption and implementation of any new laws or regulations that restrict HighPeak Energy’s ability to use hydraulic fracturing or dispose of produced water gathered from its drilling and production activities by limiting volumes, disposal rates, disposal well locations or otherwise, or requiring HighPeak Energy to shut down disposal wells, could have a material adverse effect on its business, financial condition and results of operations.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Competition in the crude oil and natural gas industry is intense, which will make it more difficult for HighPeak Energy to acquire properties, market crude oil or natural gas and secure trained personnel.</w:t>
      </w:r>
    </w:p>
    <w:p>
      <w:pPr>
        <w:spacing w:after="0" w:line="170"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HighPeak Energy’s ability to acquire additional prospects and to find and develop reserves in the future will depend on its ability to evaluate and select suitable properties for acquisitions and to consummate transactions in a highly competitive environment for acquiring properties, marketing crude oil and natural gas and securing trained personnel. Also, there is substantial competition for capital available for investment in the crude oil and natural gas industry. Many other crude oil and natural gas companies possess and employ greater financial, technical and personnel resources than HighPeak Energy. Those companies may be able to pay more for productive properties and exploratory prospects and to evaluate, bid for and purchase a greater number of properties and prospects than HighPeak Energy’s financial or personnel resources permit. In addition, other companies may be able to offer better compensation packages to attract and retain qualified personnel than HighPeak Energy will be able to offer. The cost to attract and retain qualified personnel has historically continually increased due to competition and may increase substantially in the future. HighPeak Energy may not be able to compete successfully in the future in acquiring prospective reserves, developing reserves, marketing hydrocarbons, attracting and retaining quality personnel and raising additional capital, which could have a material adverse effect on its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senior management or technical personnel could adversely affect operations.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HighPeak Energy will depend on the services of its senior management and technical personnel. HighPeak Energy does not plan to obtain any insurance against the loss of any of these individuals. The loss of the services of its senior management could have a material adverse effect on its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adversely affect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HighPeak Energy will require continued access to capital and its business and operating results could be harmed by factors such as the availability, terms of and cost of capital, increases in interest rates or a reduction in credit rating. HighPeak Energy uses, and expects to continue to use debt financing, including borrowings under the Credit Agreement, to finance a portion of its future growth, and these changes could cause its cost of doing business to increase, limit its ability to pursue acquisition opportunities, reduce cash flow used for drilling and place HighPeak Energy at a competitive disadvantage. Recent and continuing disruptions and volatility in the global financial markets may lead to a contraction in credit availability impacting its ability to finance its operations. A significant reduction in cash flows from operations or the availability of credit could materially and adversely affect its ability to achieve its planned growth and operating results.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2" w:name="page53"/>
    <w:bookmarkEnd w:id="52"/>
    <w:p>
      <w:pPr>
        <w:ind w:right="340"/>
        <w:spacing w:after="0" w:line="277" w:lineRule="auto"/>
        <w:rPr>
          <w:sz w:val="20"/>
          <w:szCs w:val="20"/>
          <w:color w:val="auto"/>
        </w:rPr>
      </w:pPr>
      <w:r>
        <w:rPr>
          <w:rFonts w:ascii="Arial" w:cs="Arial" w:eastAsia="Arial" w:hAnsi="Arial"/>
          <w:sz w:val="18"/>
          <w:szCs w:val="18"/>
          <w:b w:val="1"/>
          <w:bCs w:val="1"/>
          <w:i w:val="1"/>
          <w:iCs w:val="1"/>
          <w:color w:val="auto"/>
        </w:rPr>
        <w:t>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use of seismic data is subject to interpretation and may not accurately identify the presence of crude oil and natural gas, which could adversely affect the results of its drilling operations.</w:t>
      </w:r>
    </w:p>
    <w:p>
      <w:pPr>
        <w:spacing w:after="0" w:line="170"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Even when properly used and interpreted, seismic data and visualization techniques are only tools used to assist geoscientists in identifying subsurface structures and hydrocarbon indicators and do not enable the interpreter to know whether hydrocarbons are, in fact, present in those structures. As a result, HighPeak Energy’s drilling activities may not be successful or economical. In addition, the use of advanced technologies, such as 3-D seismic data, requires greater pre-drilling expenditures than traditional drilling strategies, and it could incur losses as a result of such expenditures.</w:t>
      </w:r>
    </w:p>
    <w:p>
      <w:pPr>
        <w:spacing w:after="0" w:line="15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Restrictions on drilling activities intended to protect certain species of wildlife may adversely affect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ability to conduct drilling activities in areas where it operates.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Crude oil and natural gas operations in HighPeak Energy’s operating areas may be adversely affected by seasonal or permanent restrictions on drilling activities designed to protect various wildlife. Such restrictions may limit HighPeak Energy’s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HighPeak Energy’s operations or materially increase its operating and capital costs. Permanent restrictions imposed to protect threatened or endangered species, other protected species (such as migratory birds), or their habitat could prohibit drilling in certain areas or require the implementation of expensive mitigation measures. The designation of previously unprotected species in areas where HighPeak Energy operates as threatened or endangered could cause it to incur increased costs arising from species protection measures or could result in limitations on its activities that could have a material and adverse impact on its ability to develop and produce reserves. For example, a review is currently pending to determine whether the dunes sagebrush lizard should be listed and, in November 2022, the FWS listed two distinct population segments of the lesser prairie-chicken under the ESA. If these species or others are listed, the FWS and similar state agencies may designate critical or suitable habitat areas that they believe are necessary for the survival of threatened or endangered species. Such a designation could materially restrict use of or access to federal, state and private lands. To the extent species are listed under the ESA or similar state laws, or previously unprotected species are designated as threatened or endangered in areas where our properties are located, operations on those properties could incur increased costs arising from species protection measures and face delays or limitations with respect to production activities thereon. For more information, see the section entitled “Items 1 and 2. Business and Properties—Regulation of Environmental and Occupational Safety and Health Matters— Endangered Species Act and Migratory Birds.”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HighPeak Energy may not be able to keep pace with technological developments in its industry.</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crude oil and natural gas industry is characterized by rapid and significant technological advancement and the introduction of new products and services using new technologies. As others use or develop new technologies, HighPeak Energy may be placed at a competitive disadvantage or may be forced by competitive pressures to implement those new technologies at substantial costs. In addition, other crude oil and natural gas companies may have greater financial, technical and personnel resources that allow them to enjoy technological advantages and that may, in the future, allow them to implement new technologies before HighPeak Energy. HighPeak Energy may not be able to respond to these competitive pressures or implement new technologies on a timely basis or at an acceptable cost. If one or more of the technologies it expects to use were to become obsolete, HighPeak Energy’s business, financial condition or results of operations could be materially and adversely affected.</w:t>
      </w:r>
    </w:p>
    <w:p>
      <w:pPr>
        <w:spacing w:after="0" w:line="17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There are inherent limitations in all control systems, and misstatements due to error or fraud that could seriously harm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may occur and not be detected.</w:t>
      </w:r>
    </w:p>
    <w:p>
      <w:pPr>
        <w:spacing w:after="0" w:line="17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HighPeak Energy’s management does not expect that HighPeak Energy’s internal and disclosure controls will prevent all possible error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relative to their costs. Because of the inherent limitations in all control systems, an evaluation of controls can only provide reasonable assurance that all material control issues and instances of fraud, if any, at HighPeak Energy have been detected. These inherent limitations include the realities that judgments in decision-making can be faulty and that breakdowns can occur because of simple error or mistake. Further, controls can be circumvented by the individual acts of some persons or by collusion of two or more persons. The design of any system of controls is based in part upon certain assumptions about the likelihood of future events, and there can be no assurance that any design will succeed in achieving its stated goals under all potential future conditions. Because of inherent limitations in a cost-effective control system, misstatements due to error or fraud may occur and not be detected.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i w:val="1"/>
          <w:iCs w:val="1"/>
          <w:color w:val="auto"/>
        </w:rPr>
        <w:t>HighPeak Energy</w:t>
      </w:r>
      <w:r>
        <w:rPr>
          <w:rFonts w:ascii="Arial" w:cs="Arial" w:eastAsia="Arial" w:hAnsi="Arial"/>
          <w:sz w:val="17"/>
          <w:szCs w:val="17"/>
          <w:color w:val="auto"/>
        </w:rPr>
        <w:t>’</w:t>
      </w:r>
      <w:r>
        <w:rPr>
          <w:rFonts w:ascii="Arial" w:cs="Arial" w:eastAsia="Arial" w:hAnsi="Arial"/>
          <w:sz w:val="17"/>
          <w:szCs w:val="17"/>
          <w:b w:val="1"/>
          <w:bCs w:val="1"/>
          <w:i w:val="1"/>
          <w:iCs w:val="1"/>
          <w:color w:val="auto"/>
        </w:rPr>
        <w:t>s business could be adversely affected by security threats, including cyber-security threats, and related disruptions.</w:t>
      </w:r>
    </w:p>
    <w:p>
      <w:pPr>
        <w:spacing w:after="0" w:line="23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HighPeak Energy relies heavily on its information systems, and the availability and integrity of these systems is essential to conducting HighPeak Energy’s business and operations. As a producer of crude oil and natural gas, HighPeak Energy faces various security threats, including cyber-security threats, to gain unauthorized access to its sensitive information or to render its information or systems unusable, and threats to the security of its facilities and infrastructure or third-party facilities and infrastructure, such as gathering and processing and other facilities, refineries and pipelines. This risk may be heightened as a result of an increased remote working environment, similar to the one created by the COVID-19 outbreak in 2020. The potential for such security threats subjects its operations to increased risks that could have a material adverse effect on its business, financial condition, results of operations and cash flows.</w:t>
      </w:r>
    </w:p>
    <w:p>
      <w:pPr>
        <w:spacing w:after="0" w:line="19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HighPeak Energy’s implementation of various procedures and controls to monitor and mitigate such security threats and to increase security for its information, systems, facilities and infrastructure may result in increased costs. Moreover, there can be no assurance that such procedures and controls will be sufficient to prevent security breaches from occurring. If any of these security breaches were to occur, they could lead to losses of, or damage to, sensitive information or facilities, infrastructure and systems essential to its business and operations, as well as data corruption, communication interruptions or other disruptions to its operations, which, in turn, could have a material adverse effect on its business, financial position,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evaluating strategic alternatives, including a possible sale of the Company, and there can be no assurance that we will be successful in identifying or completing any strategic alternative transactions, that any such strategic alternative transactions will result in additional value for our shareholders or that the process will not have an adverse impact on our business and shareholders.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continues to evaluate a range of strategic alternative transactions to maximize shareholder value, including a potential sale of the Company. These transactions could include, but are not limited to, acquisitions, debt refinancing transactions, asset divestitures, monetization of intellectual property, and mergers, reverse mergers or other business combinations.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our announcement that the Board was considering strategic alternatives we issued a press release and an investor presentation which contains forward-looking guidance on forecasted operating results, costs and activities, including without limitation, our future expected production results, price realizations, operating expenses, capital expenditures and drilling activity. This forward-looking guidance represents our management’s estimates as of the date thereof, and is based upon a number of assumptions that are inherently uncertain and is subject to numerous business, economic, competitive, financial and regulatory risks, including the risks described in the “Risk Factors” section herein. Many of these risks are beyond our control, such as declines in commodity prices and the speculative nature of estimating crude oil, NGL and natural gas reserves and in projecting future rates of production. If any of these risks and uncertainties actually occur or the assumptions underlying our guidance are incorrect, our actual operating results, costs and activities may be materially and adversely different from our guidance. In addition, investors should also recognize that the reliability of any guidance diminishes the further in the future that the data is forecast. In light of the foregoing, investors are urged to put our guidance in context and not to place undue reliance upon it.</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can be no assurance that the review of strategic alternative transactions will result in the identification or consummation of any transaction. Our Board may also determine that our most effective strategy is to continue to effectuate our current business plan. The process of reviewing strategic alternative transactions may be time consuming and disruptive to our business operations and, if we are unable to effectively manage the process, our business, financial condition and results of operations could be adversely affected. We could incur substantial expenses associated with identifying and evaluating potential strategic alternative transactions. No decision has been made with respect to any transaction and we cannot assure you that we will be able to identify and undertake any transaction that allows our shareholders to realize an increase in the value of their common stock or provide any guidance on the timing of such action, if any.</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also cannot assure you that any potential transaction or other strategic alternatives, if identified, evaluated and consummated, will provide greater value to our shareholders than that reflected in the current price of our common stock. Any potential transaction would be dependent upon a number of factors that may be beyond our control, including, but not limited to, market conditions, industry trends, the interest of third parties in our business and the availability of financing to potential buyers on reasonable terms. We do not intend to comment regarding the evaluation of strategic alternative transactions until such time as our Board has determined the outcome of the process or otherwise has deemed that disclosure is appropriate or required by applicable law. As a consequence, perceived uncertainties related to our future may result in the loss of potential business opportunities and volatility in the market price of our common stock and may make it more difficult for us to attract and retain qualified personnel and business partners.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The HighPeak Group, including the Principal Stockholder Group, has significant influence over HighPeak Energy.</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HighPeak Group owns approximately 74% of HighPeak Energy’s common stock as of December 31, 2022. As long as the Principal Stockholder Group owns or controls a significant percentage of HighPeak Energy’s outstanding voting power, subject to the terms of the Stockholders’ Agreement (as defined below), they will have the ability to influence certain corporate actions requiring stockholder approval. Under the Stockholders’ Agreement, the Principal Stockholder Group will be entitled to nominate a specified number of directors for appointment to the Board so long as the Principal Stockholder Group meets certain ownership criteria outlined in the Stockholders’ Agreement. For more information about the Stockholders’ Agreement, see the section entitled “Certain Relationships and Related Transactions, and Director Independence.”</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operational and financial performance does not meet the expectations of investors, stockholders or financial analysts, the market price of our securities may decline.</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If HighPeak Energy’s operational and financial performance does not meet the expectations of investors or securities analysts, the market price of our securities may decline. The market values of our securities may vary significantly from time to time.</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addition, fluctuations in the price of our securities could contribute to the loss of all or part of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results or the financial results of companies perceived to be similar to us;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 volatility resulting from sustained uncertainty surrounding the COVID-19 outbreak;</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 of our competitors;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operating results failing to meet the expectation of securities analysts or investors in a particular period;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volume of shares of HighPeak Energy common stock available for public sale;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ind w:left="660" w:right="840" w:hanging="328"/>
        <w:spacing w:after="0" w:line="25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substantial amounts of HighPeak Energy common stock by the HighPeak Group, our directors, executive officers or significant stockholders, or the perception that such sales could occur; and</w:t>
      </w:r>
    </w:p>
    <w:p>
      <w:pPr>
        <w:spacing w:after="0" w:line="1" w:lineRule="exact"/>
        <w:rPr>
          <w:rFonts w:ascii="Arial" w:cs="Arial" w:eastAsia="Arial" w:hAnsi="Arial"/>
          <w:sz w:val="18"/>
          <w:szCs w:val="18"/>
          <w:color w:val="auto"/>
        </w:rPr>
      </w:pPr>
    </w:p>
    <w:p>
      <w:pPr>
        <w:ind w:left="660" w:right="340" w:hanging="328"/>
        <w:spacing w:after="0" w:line="26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OPEC+’s ability to continue to agree to limit production among its members and acts of war or terrorism.</w:t>
      </w:r>
    </w:p>
    <w:p>
      <w:pPr>
        <w:spacing w:after="0" w:line="18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b w:val="1"/>
          <w:bCs w:val="1"/>
          <w:i w:val="1"/>
          <w:iCs w:val="1"/>
          <w:color w:val="auto"/>
        </w:rPr>
        <w:t xml:space="preserve">HighPeak Energy is a </w:t>
      </w:r>
      <w:r>
        <w:rPr>
          <w:rFonts w:ascii="Arial" w:cs="Arial" w:eastAsia="Arial" w:hAnsi="Arial"/>
          <w:sz w:val="18"/>
          <w:szCs w:val="18"/>
          <w:color w:val="auto"/>
        </w:rPr>
        <w:t>“</w:t>
      </w:r>
      <w:r>
        <w:rPr>
          <w:rFonts w:ascii="Arial" w:cs="Arial" w:eastAsia="Arial" w:hAnsi="Arial"/>
          <w:sz w:val="18"/>
          <w:szCs w:val="18"/>
          <w:b w:val="1"/>
          <w:bCs w:val="1"/>
          <w:i w:val="1"/>
          <w:iCs w:val="1"/>
          <w:color w:val="auto"/>
        </w:rPr>
        <w:t>controlled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within the meaning of Nasdaq rules and qualifies for exemptions from certain corporate governance requirements. As a result, you do not have the same protections afforded to stockholders of companies that are not exempt from such corporate governance requirements.</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HighPeak Group collectively own a majority of HighPeak Energy’s outstanding voting stock. Therefore, HighPeak Energy is a controlled company within the meaning of Nasdaq corporate governance standards. Under Nasdaq rules, a company of which more than 50% of the voting power is held by an individual, company or group of persons acting together is a controlled company and may elect not to comply with certain Nasdaq corporate governance requirements, including the requirements that:</w:t>
      </w:r>
    </w:p>
    <w:p>
      <w:pPr>
        <w:spacing w:after="0" w:line="18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majority of the Board consist of independent directors under Nasdaq rules;</w:t>
      </w:r>
    </w:p>
    <w:p>
      <w:pPr>
        <w:spacing w:after="0" w:line="36" w:lineRule="exact"/>
        <w:rPr>
          <w:rFonts w:ascii="Arial" w:cs="Arial" w:eastAsia="Arial" w:hAnsi="Arial"/>
          <w:sz w:val="18"/>
          <w:szCs w:val="18"/>
          <w:color w:val="auto"/>
        </w:rPr>
      </w:pPr>
    </w:p>
    <w:p>
      <w:pPr>
        <w:ind w:left="660" w:right="540" w:hanging="328"/>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1" w:lineRule="exact"/>
        <w:rPr>
          <w:rFonts w:ascii="Arial" w:cs="Arial" w:eastAsia="Arial" w:hAnsi="Arial"/>
          <w:sz w:val="18"/>
          <w:szCs w:val="18"/>
          <w:color w:val="auto"/>
        </w:rPr>
      </w:pPr>
    </w:p>
    <w:p>
      <w:pPr>
        <w:ind w:left="660" w:right="620" w:hanging="328"/>
        <w:spacing w:after="0" w:line="26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HighPeak Energy has elected to rely on all of the exemptions for controlled companies provided for under the Nasdaq rules. These requirements will not apply to HighPeak Energy as long as it remains a controlled company.</w:t>
      </w:r>
    </w:p>
    <w:p>
      <w:pPr>
        <w:spacing w:after="0" w:line="170"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HighPeak Energy may be required to take write-downs or write-offs, restructuring and impairment or other charges that could have a significant negative effect on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financial condition, results of operations and stock price, which could cause you to lose some or all of your investment.</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Although HighPeak Energy conducted due diligence on the Company’s assets in connection with their acquisitions, HighPeak Energy cannot assure you that this diligence revealed all material issues that may be present in the businesses of the Company’s assets, that it would be possible to uncover all material issues through a customary amount of due diligence, or that factors outside of HighPeak Energy’s control will not later arise. As a result, HighPeak Energy may be forced to later write-down or write-off assets, restructure HighPeak Energy’s operations, or incur impairment or other charges that could result in losses. Even if HighPeak Energy’s due diligence successfully identifies certain risks, unexpected risks may arise, and previously known risks may materialize in a manner not consistent with HighPeak Energy’s preliminary risk analysis. Even though these charges may be non-cash items and may not have an immediate impact on HighPeak Energy’s liquidity, the fact that HighPeak Energy reports charges of this nature could contribute to negative market perceptions about HighPeak Energy’s securities. In addition, charges of this nature may cause HighPeak Energy to be unable to obtain future financing on favorable terms or at all.</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i w:val="1"/>
          <w:iCs w:val="1"/>
          <w:color w:val="auto"/>
        </w:rPr>
        <w:t>There is no guarantee that our warrants will be in the money at the time you choose to exercise them, and they may expire worthless.</w:t>
      </w:r>
    </w:p>
    <w:p>
      <w:pPr>
        <w:spacing w:after="0" w:line="23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exercise price for our warrants is $11.50 per share of HighPeak Energy common stock, subject to certain adjustments. There is no guarantee that our warrants will be in the money at the time you choose to exercise them, and as such, our warrants may expire worthless.</w:t>
      </w:r>
    </w:p>
    <w:p>
      <w:pPr>
        <w:spacing w:after="0" w:line="1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terms of our warrants may be amended in a manner that may be adverse to holders of our warrants with the approval by the holders of at least 50% of our then-outstanding warrants.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warrants were issued in registered form under the Warrant Agreement Amendment. The Warrant Agreement Amendment provides that the terms of the warrants may be amended without the consent of any holder to cure any ambiguity or correct or supplement any defective provision but requires the approval by the holders of at least 50% of the then-outstanding warrants to make any other change or modification, including any amendment that adversely affects the interests of the registered holders of our warrants. Accordingly, HighPeak Energy, may amend the terms of its warrants in a manner adverse to a holder if holders of at least 50% of the then-outstanding warrants approve of such amendment. Although HighPeak Energy’s ability to amend the terms of its warrants with the consent of at least 50% of the then-outstanding warrants is unlimited and such amendments could, among other things, increase the exercise price of the warrants, shorten the exercise period or decrease the number of shares of HighPeak Energy common stock purchasable upon exercise of a warrant.</w:t>
      </w:r>
    </w:p>
    <w:p>
      <w:pPr>
        <w:spacing w:after="0" w:line="19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Warrants are exercisable for HighPeak Energy common stock and HighPeak Energy</w:t>
      </w:r>
      <w:r>
        <w:rPr>
          <w:rFonts w:ascii="Arial" w:cs="Arial" w:eastAsia="Arial" w:hAnsi="Arial"/>
          <w:sz w:val="16"/>
          <w:szCs w:val="16"/>
          <w:color w:val="auto"/>
        </w:rPr>
        <w:t>’</w:t>
      </w:r>
      <w:r>
        <w:rPr>
          <w:rFonts w:ascii="Arial" w:cs="Arial" w:eastAsia="Arial" w:hAnsi="Arial"/>
          <w:sz w:val="16"/>
          <w:szCs w:val="16"/>
          <w:b w:val="1"/>
          <w:bCs w:val="1"/>
          <w:i w:val="1"/>
          <w:iCs w:val="1"/>
          <w:color w:val="auto"/>
        </w:rPr>
        <w:t>s LTIP provides for a significant number of stock options, each of which could increase the number of shares eligible for future resale in the public market and result in dilution to stockholders.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potential for the issuance of a substantial number of additional shares of HighPeak Energy common stock upon exercise of its warrants would increase the number of issued and outstanding shares of HighPeak Energy common stock and reduce the value of the shares issued and outstanding as of the date hereof. Additionally, the sale, or even the possibility of sale, of the shares underlying the warrants could have an adverse effect on the market price for HighPeak Energy’s common stock or on its ability to obtain future financing. If and to the extent these warrants are exercised, you may experience dilution to your holdings.</w:t>
      </w:r>
    </w:p>
    <w:p>
      <w:pPr>
        <w:spacing w:after="0" w:line="18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addition, to attract and retain key management personnel and non-employee directors, HighPeak Energy has implemented a Long-Term Incentive Plan (“LTIP”), pursuant to which the Share Pool (as defined in the LTIP) is reserved and available for delivery with respect to Stock Awards (as defined in the LTIP). From time to time and prior to the expiration of the LTIP, the Share Pool will automatically be increased by (i) the number of shares of HighPeak Energy common stock issued pursuant to the LTIP and (ii) 13% of the number of shares of HighPeak Energy common stock that are newly issued by HighPeak Energy (other than those issued pursuant to the LTIP), including any shares issued upon the exercise of the warrants. As a result, HighPeak Energy could issue a significant number of stock options under the LTIP, including additional shares added to the LTIP upon the exercise of the warrants, which could further dilute your holdings.</w:t>
      </w:r>
    </w:p>
    <w:p>
      <w:pPr>
        <w:spacing w:after="0" w:line="177"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HighPeak Energy,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or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market, or if they change their recommendations regarding HighPeak Energy common stock adversely, the price and trading volume of HighPeak Energy common stock could decline.</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trading market for HighPeak Energy common stock will be influenced by the research and reports that industry or securities analysts may publish about HighPeak Energy, HighPeak Energy’s business, HighPeak Energy’s market, or HighPeak Energy’s competitors. If any of the analysts who may cover HighPeak Energy change their recommendation regarding HighPeak Energy common stock adversely, or provide more favorable relative recommendations about its competitors, the price of HighPeak Energy common stock would likely decline. If any analyst who may cover HighPeak Energy were to cease their coverage or fail to regularly publish reports on HighPeak Energy, HighPeak Energy could lose visibility in the financial markets, which could cause HighPeak Energy’s stock price or trading volume to decline.</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The Amended and Restated Certificate of Incorporation designates the Court of Chancery of the State of Delaware as the sole and exclusive forum for certain types of actions and proceedings that may be initiated by our stockholders, which could limit our stockholders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ability to obtain a favorable judicial forum for disputes with us or our directors, officers or employees.</w:t>
      </w:r>
    </w:p>
    <w:p>
      <w:pPr>
        <w:spacing w:after="0" w:line="18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Amended and Restated Certificate of Incorporation (“A&amp;R Charter”) provides that, unless HighPeak Energy consents in writing to the selection of an alternative forum, the Court of Chancery of the State of Delaware (“Court of Chancery”) will, to the fullest extent permitted by applicable law and subject to applicable jurisdictional requirements, be the sole and exclusive forum for (i) any derivative action or proceeding as to which the Delaware General Corporation Law (“DGCL”) confers jurisdiction upon the Court of Chancery, (ii) any action asserting a claim of breach of a fiduciary duty owed by any director, officer or other employee of HighPeak Energy to HighPeak Energy or its stockholders, (iii) any action asserting a claim against HighPeak Energy, its directors, officers or employees arising pursuant to any provision of the DGCL, the A&amp;R Charter or HighPeak Energy’s bylaws or (iv) any action asserting a claim against HighPeak Energy, its directors, officers or employees that is governed by the internal affairs doctrine, in each case except for such claims as to which (a) the Court of Chancery determines that it does not have personal jurisdiction over an indispensable party, (b) exclusive jurisdiction is vested in a court or forum other than the Court of Chancery or (c) the Court of Chancery does not have subject matter jurisdiction. The forum selection provision is not intended to apply to claims arising under the Securities Act or the Exchange Act. To the extent the provision could be construed to apply to such claims, there is uncertainty as to whether a court would enforce such provision in connection with such claims. Stockholders will not be deemed, by operation of Article 8 of the A&amp;R Charter alone, to have waived claims arising under the federal securities laws and the rules and regulations promulgated thereunder.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7" w:name="page58"/>
    <w:bookmarkEnd w:id="57"/>
    <w:p>
      <w:pPr>
        <w:ind w:right="180"/>
        <w:spacing w:after="0" w:line="273" w:lineRule="auto"/>
        <w:rPr>
          <w:sz w:val="20"/>
          <w:szCs w:val="20"/>
          <w:color w:val="auto"/>
        </w:rPr>
      </w:pPr>
      <w:r>
        <w:rPr>
          <w:rFonts w:ascii="Arial" w:cs="Arial" w:eastAsia="Arial" w:hAnsi="Arial"/>
          <w:sz w:val="17"/>
          <w:szCs w:val="17"/>
          <w:color w:val="auto"/>
        </w:rPr>
        <w:t>If any action the subject matter of which is within the scope of the forum selection provision described in the preceding paragraph is filed in a court other than the Court of Chancery (or, if the Court of Chancery does not have jurisdiction, another state court or a federal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forum selection provision (a “Foreign Enforcement Action”) and (ii) having service of process made upon such stockholder in any such Foreign Enforcement Action by service upon such stockholder’s counsel in the Foreign Action as agent for such stockholder.</w:t>
      </w:r>
    </w:p>
    <w:p>
      <w:pPr>
        <w:spacing w:after="0" w:line="17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Any person or entity purchasing or otherwise acquiring any interest in shares of HighPeak Energy’s capital stock will be deemed to have notice of, and consented to, the provisions of our A&amp;R Charter described in the preceding paragraph. This exclusive forum provision may limit a stockholder’s ability to bring a claim in a judicial forum that it finds favorable for disputes with HighPeak Energy or its directors, officers or other employees, which may discourage such lawsuits against HighPeak Energy and such persons.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the A&amp;R Charter is inapplicable or unenforceable. If a court were to find these provisions of the A&amp;R Charter inapplicable to, or unenforceable in respect of, one or more of the specified types of actions or proceedings, HighPeak Energy may incur additional costs associated with resolving such matters in other jurisdictions, which could adversely affect its business, financial condition or results of operations.</w:t>
      </w:r>
    </w:p>
    <w:p>
      <w:pPr>
        <w:spacing w:after="0" w:line="1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or regulations, may adversely affect HighPeak Energy</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investments and results of operations.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HighPeak Energy is subject to laws, regulations and rules enacted by national, regional and local governments and the Nasdaq. In particular, HighPeak Energy is required to comply with certain SEC, Nasdaq and other legal or regulatory requirements.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HighPeak Energy’s business, investments and results of operations. In addition, a failure to comply with applicable laws, regulations and rules, as interpreted and applied, could have a material adverse effect on HighPeak Energy’s business and results of operations.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There can be no assurance that HighPeak Energy common stock issued, including issuable upon exercise of our warrants, will remain listed on the Nasdaq, or that HighPeak Energy will be able to comply with the continued listing standards of the Nasdaq.</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HighPeak Energy’s common stock and warrants are currently listed on the Nasdaq, which such listings includes its common stock or shares of its common stock issuable upon exercise of its warrants. If the Nasdaq delists HighPeak Energy’s common stock from trading on its exchange for failure to meet the listing standards, HighPeak Energy and its security holders could face significant material adverse consequences, such as:</w:t>
      </w:r>
    </w:p>
    <w:p>
      <w:pPr>
        <w:spacing w:after="0" w:line="16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limited availability of market quotations for HighPeak Energy’s securities;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liquidity for HighPeak Energy’s securities;</w:t>
      </w:r>
    </w:p>
    <w:p>
      <w:pPr>
        <w:spacing w:after="0" w:line="36" w:lineRule="exact"/>
        <w:rPr>
          <w:rFonts w:ascii="Arial" w:cs="Arial" w:eastAsia="Arial" w:hAnsi="Arial"/>
          <w:sz w:val="18"/>
          <w:szCs w:val="18"/>
          <w:color w:val="auto"/>
        </w:rPr>
      </w:pPr>
    </w:p>
    <w:p>
      <w:pPr>
        <w:ind w:left="660" w:right="20" w:hanging="328"/>
        <w:spacing w:after="0" w:line="25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determination that HighPeak Energy common stock is a “penny stock,” which will require brokers trading in HighPeak Energy common stock to adhere to more stringent rules and possibly result in a reduced level of trading activity in the secondary trading market for HighPeak Energy’s securities;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HighPeak Energy’s securities are listed on the Nasdaq, they are covered securities. Although the states are preempted from regulating the sale of HighPeak Energy’s securities, the federal statute does allow the states to investigate companies if there is a suspicion of fraud, and, if there is a finding of fraudulent activity, then the states can regulate or bar the sale of covered securities in a particular case. Further, if HighPeak Energy were no longer listed on the Nasdaq, its securities would not be covered securities and HighPeak Energy would be subject to regulation in each state in which HighPeak Energy offers its securities.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8" w:name="page59"/>
    <w:bookmarkEnd w:id="58"/>
    <w:p>
      <w:pPr>
        <w:ind w:right="540"/>
        <w:spacing w:after="0" w:line="308" w:lineRule="auto"/>
        <w:rPr>
          <w:sz w:val="20"/>
          <w:szCs w:val="20"/>
          <w:color w:val="auto"/>
        </w:rPr>
      </w:pPr>
      <w:r>
        <w:rPr>
          <w:rFonts w:ascii="Arial" w:cs="Arial" w:eastAsia="Arial" w:hAnsi="Arial"/>
          <w:sz w:val="17"/>
          <w:szCs w:val="17"/>
          <w:b w:val="1"/>
          <w:bCs w:val="1"/>
          <w:i w:val="1"/>
          <w:iCs w:val="1"/>
          <w:color w:val="auto"/>
        </w:rPr>
        <w:t>Unanticipated changes in effective tax rates or laws or adverse outcomes resulting from examination of HighPeak Energy</w:t>
      </w:r>
      <w:r>
        <w:rPr>
          <w:rFonts w:ascii="Arial" w:cs="Arial" w:eastAsia="Arial" w:hAnsi="Arial"/>
          <w:sz w:val="17"/>
          <w:szCs w:val="17"/>
          <w:color w:val="auto"/>
        </w:rPr>
        <w:t>’</w:t>
      </w:r>
      <w:r>
        <w:rPr>
          <w:rFonts w:ascii="Arial" w:cs="Arial" w:eastAsia="Arial" w:hAnsi="Arial"/>
          <w:sz w:val="17"/>
          <w:szCs w:val="17"/>
          <w:b w:val="1"/>
          <w:bCs w:val="1"/>
          <w:i w:val="1"/>
          <w:iCs w:val="1"/>
          <w:color w:val="auto"/>
        </w:rPr>
        <w:t>s income or other tax returns could adversely affect HighPeak Energy</w:t>
      </w:r>
      <w:r>
        <w:rPr>
          <w:rFonts w:ascii="Arial" w:cs="Arial" w:eastAsia="Arial" w:hAnsi="Arial"/>
          <w:sz w:val="17"/>
          <w:szCs w:val="17"/>
          <w:color w:val="auto"/>
        </w:rPr>
        <w:t>’</w:t>
      </w:r>
      <w:r>
        <w:rPr>
          <w:rFonts w:ascii="Arial" w:cs="Arial" w:eastAsia="Arial" w:hAnsi="Arial"/>
          <w:sz w:val="17"/>
          <w:szCs w:val="17"/>
          <w:b w:val="1"/>
          <w:bCs w:val="1"/>
          <w:i w:val="1"/>
          <w:iCs w:val="1"/>
          <w:color w:val="auto"/>
        </w:rPr>
        <w:t>s financial condition, results of operations and cash flow.</w:t>
      </w:r>
    </w:p>
    <w:p>
      <w:pPr>
        <w:spacing w:after="0" w:line="1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HighPeak Energy is subject to tax by U.S. federal, state and local tax authorities. HighPeak Energy’s future effective tax rates could be subject to volatility or adversely affected by a number of factors, including:</w:t>
      </w:r>
    </w:p>
    <w:p>
      <w:pPr>
        <w:spacing w:after="0" w:line="170"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valuation of HighPeak Energy’s deferred tax assets and liabilities;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related to intercompany restructurings; or</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w:t>
      </w:r>
    </w:p>
    <w:p>
      <w:pPr>
        <w:spacing w:after="0" w:line="25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For example, in previous years, legislation has been proposed to eliminate or defer certain key U.S. federal income tax deductions historically available to crude oil and natural gas exploration and production companies. Such proposed changes have included: (i) a repeal of the percentage depletion allowance for crude oil and natural gas properties; (ii) the elimination of deductions for intangible drilling and exploration and development costs; (iii) the elimination of the deduction for certain production activities; and (iv) an extension of the amortization period for certain geological and geophysical expenditures. The passage of any legislation as a result of these proposals or other similar changes in U.S. federal income tax laws that alter, eliminate or defer these or other tax deductions utilized within the industry could adversely affect HighPeak Energy’s business, financial condition, results of operations and cash flows.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 addition, HighPeak Energy may be subject to audits of its income, sales and other transaction taxes by U.S. federal, state and local taxing authorities.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Outcomes from these audits could have an adverse effect on HighPeak Energy’s financial condition and results of operations.</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HighPeak Energy is an emerging growth company within the meaning of the Securities Act, and if HighPeak Energy takes advantage of certain exemptions from disclosure requirements available to emerging growth companies, which could make HighPeak Energy</w:t>
      </w:r>
      <w:r>
        <w:rPr>
          <w:rFonts w:ascii="Arial" w:cs="Arial" w:eastAsia="Arial" w:hAnsi="Arial"/>
          <w:sz w:val="17"/>
          <w:szCs w:val="17"/>
          <w:color w:val="auto"/>
        </w:rPr>
        <w:t>’</w:t>
      </w:r>
      <w:r>
        <w:rPr>
          <w:rFonts w:ascii="Arial" w:cs="Arial" w:eastAsia="Arial" w:hAnsi="Arial"/>
          <w:sz w:val="17"/>
          <w:szCs w:val="17"/>
          <w:b w:val="1"/>
          <w:bCs w:val="1"/>
          <w:i w:val="1"/>
          <w:iCs w:val="1"/>
          <w:color w:val="auto"/>
        </w:rPr>
        <w:t>s common stock less attractive to investors and may make it more difficult to compare its performance with other public companies.</w:t>
      </w:r>
    </w:p>
    <w:p>
      <w:pPr>
        <w:spacing w:after="0" w:line="16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HighPeak Energy is an “emerging growth company” within the meaning of the Securities Act, as modified by the Jumpstart Our Business Startups Act of 2012 (the “JOBS Act”), and HighPeak Energy takes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HighPeak Energy’s periodic reports and proxy statements, and exemptions from the requirements of holding a nonbinding advisory vote on executive compensation and stockholder approval of any golden parachute payments not previously approved. As a result, HighPeak Energy’s stockholders may not have access to certain information they may deem important. HighPeak Energy could be an emerging growth company for up to five years, although circumstances could cause HighPeak Energy to lose that status earlier, including if the market value of HighPeak Energy’s equity held by non-affiliates exceeds $700 million as of any June 30 before that time, in which case HighPeak Energy would no longer be an emerging growth company as of the following December 31. HighPeak Energy cannot predict whether investors will find its securities less attractive because HighPeak Energy will rely on these exemptions. If some investors find HighPeak Energy’s common stock less attractive as a result of HighPeak Energy’s reliance on these exemptions, the trading prices of HighPeak Energy’s common stock may be lower than they otherwise would be, there may be a less active trading market for HighPeak Energy’s common stock and the trading prices of HighPeak Energy’s common stock may be more volatile.</w:t>
      </w:r>
    </w:p>
    <w:p>
      <w:pPr>
        <w:spacing w:after="0" w:line="17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HighPeak Energy has elected not to opt out of such extended transition period, which means that when a standard is issued or revised and it has different application dates for public or private companies, HighPeak Energy, as an emerging growth company, can adopt the new or revised standard at the time private companies adopt the new or revised standard. This may make comparison of HighPeak Energy’s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may be a party to various proceedings and claims incidental to its business from time to time. While many of these matters involve inherent uncertainty, the Company believes the amount of the liability, if any, ultimately incurred with respect to these proceedings and claims will not have a material adverse effect on the Company’s consolidated financial position as a whole or on its liquidity, capital resources or future annual results of operations. See “Item 8. Financial Statements and Supplementary Data – Note 10” for additional information.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u w:val="single" w:color="auto"/>
          <w:color w:val="auto"/>
        </w:rPr>
        <w:t>ITEM 5. MARKET FOR REGISTRANT</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HighPeak Energy’s common stock and warrants are listed and traded on the Nasdaq under the symbols “HPK” and “HPKEW,”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of March 2, 2023, there were 48 holders of record of HighPeak Energy common stock and 5 holders of record of HighPeak Energy’s warrants.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July 6, 2021, the Company announced the initiation of a quarterly cash dividend in the amount of $0.025 per share of our common stock payable quarterly which began with the third quarter of 2021 and continued quarterly through the fourth quarter of 2022 and first quarter of 2023. The Company also approved a special dividend of $0.075 per share of common stock that was paid in July 2021. The decision to pay any future dividends is solely within the discretion of, and subject to approval by, our Board. Our Board’s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 In addition, the Credit Agreement and the indentures governing the 10.000% Senior Notes and 10.625% Senior Notes place certain restrictions on our ability to pay cash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performance graph and related information shall not be deemed “soliciting material” or to be “filed” with the SEC, nor shall the information be incorporated by reference into any future filing under the Securities Act or Exchange Act except to the extent that the Company specifically incorporate it be reference to such filing.</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61" w:name="page62"/>
    <w:bookmarkEnd w:id="61"/>
    <w:p>
      <w:pPr>
        <w:spacing w:after="0" w:line="263" w:lineRule="auto"/>
        <w:rPr>
          <w:sz w:val="20"/>
          <w:szCs w:val="20"/>
          <w:color w:val="auto"/>
        </w:rPr>
      </w:pPr>
      <w:r>
        <w:rPr>
          <w:rFonts w:ascii="Arial" w:cs="Arial" w:eastAsia="Arial" w:hAnsi="Arial"/>
          <w:sz w:val="18"/>
          <w:szCs w:val="18"/>
          <w:color w:val="auto"/>
        </w:rPr>
        <w:t>The graph below compares the cumulative total stockholder return on the Company’s common stock during the period from August 24, 2020 through December 31, 2022, with cumulative total returns during the same period for the Standard &amp; Poor’s (“S&amp;P”) 500 Index and the S&amp;P Oil and Gas Exploration &amp; Production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125730</wp:posOffset>
            </wp:positionV>
            <wp:extent cx="5940425" cy="4860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940425" cy="486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584" w:right="7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auto"/>
        </w:rPr>
        <w:t>ITEM 7. MANAGEMENT</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The following discussion and analysis should be read in conjunction with the other sections of this Annual Report, including but not limited to </w:t>
      </w:r>
      <w:r>
        <w:rPr>
          <w:rFonts w:ascii="Arial" w:cs="Arial" w:eastAsia="Arial" w:hAnsi="Arial"/>
          <w:sz w:val="16"/>
          <w:szCs w:val="16"/>
          <w:color w:val="auto"/>
        </w:rPr>
        <w:t>“</w:t>
      </w:r>
      <w:r>
        <w:rPr>
          <w:rFonts w:ascii="Arial" w:cs="Arial" w:eastAsia="Arial" w:hAnsi="Arial"/>
          <w:sz w:val="16"/>
          <w:szCs w:val="16"/>
          <w:i w:val="1"/>
          <w:iCs w:val="1"/>
          <w:color w:val="auto"/>
        </w:rPr>
        <w:t>Items 1 and</w:t>
      </w:r>
    </w:p>
    <w:p>
      <w:pPr>
        <w:spacing w:after="0" w:line="46" w:lineRule="exact"/>
        <w:rPr>
          <w:sz w:val="20"/>
          <w:szCs w:val="20"/>
          <w:color w:val="auto"/>
        </w:rPr>
      </w:pPr>
    </w:p>
    <w:p>
      <w:pPr>
        <w:ind w:firstLine="8"/>
        <w:spacing w:after="0" w:line="268" w:lineRule="auto"/>
        <w:tabs>
          <w:tab w:leader="none" w:pos="180"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Business and Properties</w:t>
      </w:r>
      <w:r>
        <w:rPr>
          <w:rFonts w:ascii="Arial" w:cs="Arial" w:eastAsia="Arial" w:hAnsi="Arial"/>
          <w:sz w:val="17"/>
          <w:szCs w:val="17"/>
          <w:color w:val="auto"/>
        </w:rPr>
        <w:t>—</w:t>
      </w:r>
      <w:r>
        <w:rPr>
          <w:rFonts w:ascii="Arial" w:cs="Arial" w:eastAsia="Arial" w:hAnsi="Arial"/>
          <w:sz w:val="17"/>
          <w:szCs w:val="17"/>
          <w:i w:val="1"/>
          <w:iCs w:val="1"/>
          <w:color w:val="auto"/>
        </w:rPr>
        <w:t>Regulation of the Crude Oil and Natural Gas Industry.</w:t>
      </w:r>
      <w:r>
        <w:rPr>
          <w:rFonts w:ascii="Arial" w:cs="Arial" w:eastAsia="Arial" w:hAnsi="Arial"/>
          <w:sz w:val="17"/>
          <w:szCs w:val="17"/>
          <w:color w:val="auto"/>
        </w:rPr>
        <w:t>”</w:t>
      </w:r>
      <w:r>
        <w:rPr>
          <w:rFonts w:ascii="Arial" w:cs="Arial" w:eastAsia="Arial" w:hAnsi="Arial"/>
          <w:sz w:val="17"/>
          <w:szCs w:val="17"/>
          <w:i w:val="1"/>
          <w:iCs w:val="1"/>
          <w:color w:val="auto"/>
        </w:rPr>
        <w:t xml:space="preserve"> Historical financial statements and related notes included elsewhere in this Annual Report. This discussion contains </w:t>
      </w:r>
      <w:r>
        <w:rPr>
          <w:rFonts w:ascii="Arial" w:cs="Arial" w:eastAsia="Arial" w:hAnsi="Arial"/>
          <w:sz w:val="17"/>
          <w:szCs w:val="17"/>
          <w:color w:val="auto"/>
        </w:rPr>
        <w:t>“</w:t>
      </w:r>
      <w:r>
        <w:rPr>
          <w:rFonts w:ascii="Arial" w:cs="Arial" w:eastAsia="Arial" w:hAnsi="Arial"/>
          <w:sz w:val="17"/>
          <w:szCs w:val="17"/>
          <w:i w:val="1"/>
          <w:iCs w:val="1"/>
          <w:color w:val="auto"/>
        </w:rPr>
        <w:t>forward</w:t>
      </w:r>
      <w:r>
        <w:rPr>
          <w:rFonts w:ascii="Arial" w:cs="Arial" w:eastAsia="Arial" w:hAnsi="Arial"/>
          <w:sz w:val="17"/>
          <w:szCs w:val="17"/>
          <w:color w:val="auto"/>
        </w:rPr>
        <w:t>-</w:t>
      </w:r>
      <w:r>
        <w:rPr>
          <w:rFonts w:ascii="Arial" w:cs="Arial" w:eastAsia="Arial" w:hAnsi="Arial"/>
          <w:sz w:val="17"/>
          <w:szCs w:val="17"/>
          <w:i w:val="1"/>
          <w:iCs w:val="1"/>
          <w:color w:val="auto"/>
        </w:rPr>
        <w:t>looking statements</w:t>
      </w:r>
      <w:r>
        <w:rPr>
          <w:rFonts w:ascii="Arial" w:cs="Arial" w:eastAsia="Arial" w:hAnsi="Arial"/>
          <w:sz w:val="17"/>
          <w:szCs w:val="17"/>
          <w:color w:val="auto"/>
        </w:rPr>
        <w:t>”</w:t>
      </w:r>
      <w:r>
        <w:rPr>
          <w:rFonts w:ascii="Arial" w:cs="Arial" w:eastAsia="Arial" w:hAnsi="Arial"/>
          <w:sz w:val="17"/>
          <w:szCs w:val="17"/>
          <w:i w:val="1"/>
          <w:iCs w:val="1"/>
          <w:color w:val="auto"/>
        </w:rPr>
        <w:t xml:space="preserve"> reflecting our current expectations, estimates and assumptions concerning events and financial trends that may affect our future operating results or financial position. Actual results and the timing of events may differ materially from those contained in these forward</w:t>
      </w:r>
      <w:r>
        <w:rPr>
          <w:rFonts w:ascii="Arial" w:cs="Arial" w:eastAsia="Arial" w:hAnsi="Arial"/>
          <w:sz w:val="17"/>
          <w:szCs w:val="17"/>
          <w:color w:val="auto"/>
        </w:rPr>
        <w:t>-</w:t>
      </w:r>
      <w:r>
        <w:rPr>
          <w:rFonts w:ascii="Arial" w:cs="Arial" w:eastAsia="Arial" w:hAnsi="Arial"/>
          <w:sz w:val="17"/>
          <w:szCs w:val="17"/>
          <w:i w:val="1"/>
          <w:iCs w:val="1"/>
          <w:color w:val="auto"/>
        </w:rPr>
        <w:t>looking statements due to a number of factors. Factors that could cause or contribute to such differences include, but are not limited to, market prices for crude oil and natural gas, capital expenditures, economic and competitive conditions, regulatory changes and other uncertainties, as well as those factors discussed below and elsewhere in this Annual Report. Please read Cautionary Statement Concerning Forward</w:t>
      </w:r>
      <w:r>
        <w:rPr>
          <w:rFonts w:ascii="Arial" w:cs="Arial" w:eastAsia="Arial" w:hAnsi="Arial"/>
          <w:sz w:val="17"/>
          <w:szCs w:val="17"/>
          <w:color w:val="auto"/>
        </w:rPr>
        <w:t>-</w:t>
      </w:r>
      <w:r>
        <w:rPr>
          <w:rFonts w:ascii="Arial" w:cs="Arial" w:eastAsia="Arial" w:hAnsi="Arial"/>
          <w:sz w:val="17"/>
          <w:szCs w:val="17"/>
          <w:i w:val="1"/>
          <w:iCs w:val="1"/>
          <w:color w:val="auto"/>
        </w:rPr>
        <w:t xml:space="preserve">Looking Statements. Also, please read the risk factors and other cautionary statements described under </w:t>
      </w:r>
      <w:r>
        <w:rPr>
          <w:rFonts w:ascii="Arial" w:cs="Arial" w:eastAsia="Arial" w:hAnsi="Arial"/>
          <w:sz w:val="17"/>
          <w:szCs w:val="17"/>
          <w:color w:val="auto"/>
        </w:rPr>
        <w:t>“</w:t>
      </w:r>
      <w:r>
        <w:rPr>
          <w:rFonts w:ascii="Arial" w:cs="Arial" w:eastAsia="Arial" w:hAnsi="Arial"/>
          <w:sz w:val="17"/>
          <w:szCs w:val="17"/>
          <w:i w:val="1"/>
          <w:iCs w:val="1"/>
          <w:color w:val="auto"/>
        </w:rPr>
        <w:t>Part I, Item 1A. 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We assume no obligation to update any of these forward</w:t>
      </w:r>
      <w:r>
        <w:rPr>
          <w:rFonts w:ascii="Arial" w:cs="Arial" w:eastAsia="Arial" w:hAnsi="Arial"/>
          <w:sz w:val="17"/>
          <w:szCs w:val="17"/>
          <w:color w:val="auto"/>
        </w:rPr>
        <w:t>-</w:t>
      </w:r>
      <w:r>
        <w:rPr>
          <w:rFonts w:ascii="Arial" w:cs="Arial" w:eastAsia="Arial" w:hAnsi="Arial"/>
          <w:sz w:val="17"/>
          <w:szCs w:val="17"/>
          <w:i w:val="1"/>
          <w:iCs w:val="1"/>
          <w:color w:val="auto"/>
        </w:rPr>
        <w:t>looking statements, except as required by applicable law. See the Company</w:t>
      </w:r>
      <w:r>
        <w:rPr>
          <w:rFonts w:ascii="Arial" w:cs="Arial" w:eastAsia="Arial" w:hAnsi="Arial"/>
          <w:sz w:val="17"/>
          <w:szCs w:val="17"/>
          <w:color w:val="auto"/>
        </w:rPr>
        <w:t>’</w:t>
      </w:r>
      <w:r>
        <w:rPr>
          <w:rFonts w:ascii="Arial" w:cs="Arial" w:eastAsia="Arial" w:hAnsi="Arial"/>
          <w:sz w:val="17"/>
          <w:szCs w:val="17"/>
          <w:i w:val="1"/>
          <w:iCs w:val="1"/>
          <w:color w:val="auto"/>
        </w:rPr>
        <w:t xml:space="preserve">s </w:t>
      </w:r>
      <w:hyperlink r:id="rId82">
        <w:r>
          <w:rPr>
            <w:rFonts w:ascii="Arial" w:cs="Arial" w:eastAsia="Arial" w:hAnsi="Arial"/>
            <w:sz w:val="17"/>
            <w:szCs w:val="17"/>
            <w:i w:val="1"/>
            <w:iCs w:val="1"/>
            <w:u w:val="single" w:color="auto"/>
            <w:color w:val="0000EE"/>
          </w:rPr>
          <w:t>Annual Report on Form 10-K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for the year ended December 31, 2021 filed with the SEC on March 7, 2022 for a discussion of the Company's 2021 results of operations compared with the Company's 2020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522"/>
        <w:spacing w:after="0" w:line="253" w:lineRule="auto"/>
        <w:rPr>
          <w:sz w:val="20"/>
          <w:szCs w:val="20"/>
          <w:color w:val="auto"/>
        </w:rPr>
      </w:pPr>
      <w:r>
        <w:rPr>
          <w:rFonts w:ascii="Arial" w:cs="Arial" w:eastAsia="Arial" w:hAnsi="Arial"/>
          <w:sz w:val="18"/>
          <w:szCs w:val="18"/>
          <w:color w:val="auto"/>
        </w:rPr>
        <w:t>HighPeak Energy, Inc., a Delaware corporation, was formed in October 2019. The Company’s assets are located primarily in Howard and Borden Counties, Texas, and to a lesser extent Scurry and Mitchell Counties, which lie within the northeastern part of the crude oil-rich Midland Basin. As of December 31, 2022, the assets consisted of two highly contiguous leasehold positions of approximately 125,730 gross (107,704 net) acres, approximately 56% of which were held by production, with an average working interest of 86%. Our acreage is composed of two core areas, Flat Top to the north and Signal Peak to the south. We operate approximately 98% of the net acreage across the Company’s assets and more than 90% of the net operated acreage provides for horizontal wells with lateral lengths of 10,000 feet or greater. For the year ended December 31, 2022, approximately 94% and 6% of sales volumes from the assets were attributable to liquids (both crude oil and NGL) and natural gas, respectively. As of December 31, 2022, HighPeak Energy was developing its properties using six (6) drilling rigs and three (3) frac fleets and expects to average four to five (4-5) drilling rigs and two to three (2-3) frac crews during 2023.</w:t>
      </w:r>
    </w:p>
    <w:p>
      <w:pPr>
        <w:spacing w:after="0" w:line="196" w:lineRule="exact"/>
        <w:rPr>
          <w:sz w:val="20"/>
          <w:szCs w:val="20"/>
          <w:color w:val="auto"/>
        </w:rPr>
      </w:pPr>
    </w:p>
    <w:p>
      <w:pPr>
        <w:ind w:right="40" w:firstLine="522"/>
        <w:spacing w:after="0" w:line="289" w:lineRule="auto"/>
        <w:rPr>
          <w:sz w:val="20"/>
          <w:szCs w:val="20"/>
          <w:color w:val="auto"/>
        </w:rPr>
      </w:pPr>
      <w:r>
        <w:rPr>
          <w:rFonts w:ascii="Arial" w:cs="Arial" w:eastAsia="Arial" w:hAnsi="Arial"/>
          <w:sz w:val="16"/>
          <w:szCs w:val="16"/>
          <w:color w:val="auto"/>
        </w:rPr>
        <w:t>The markets for the commodities produced by our industry strengthened in 2021 and remained strong in 2022 as a result of increased demand outpacing increased supply for each of the commodities we produce. Prices for the commodities produced by our industry improved from historic lows in 2020, with crude oil and natural gas prices reaching their highest average annual price since 2014. However, commodity markets, unavailability or high cost of drilling rigs, equipment, supplies, personnel, frac crews and oilfield services or supply constraints remain subject to heightened levels of uncertainty as a result of the conflict in Ukraine, the COVID-19 pandemic, rising interest rates and associated policies of the Federal Reserve, which could adversely affect HighPeak Energy’s ability to execute. Additionally, the COVID-19 pandemic remains a global health crisis and continues to evolve. Despite continuing impacts of these and other factors and future uncertainty, we expect to maintain our ability to sustain strong operational performance and financial stability while maximizing returns, improving leverage metrics, and increasing the value of our Midland Basin assets. Additionally, the impact of inflation as well as rising interest rates continue to have a negative impact on our cash flows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160" w:firstLine="522"/>
        <w:spacing w:after="0" w:line="257" w:lineRule="auto"/>
        <w:rPr>
          <w:sz w:val="20"/>
          <w:szCs w:val="20"/>
          <w:color w:val="auto"/>
        </w:rPr>
      </w:pPr>
      <w:r>
        <w:rPr>
          <w:rFonts w:ascii="Arial" w:cs="Arial" w:eastAsia="Arial" w:hAnsi="Arial"/>
          <w:sz w:val="18"/>
          <w:szCs w:val="18"/>
          <w:color w:val="auto"/>
        </w:rPr>
        <w:t>HighPeak Energy’s financial position and future prospects, including its revenues, operating results, profitability, liquidity, future growth and the value of its assets, depend heavily on prevailing commodity prices. The crude oil and natural gas industry is cyclical and commodity prices are highly volatile and subject to a high degree of uncertainty. For example, during the period from January 1, 2018 through December 31, 2022, the calendar month average NYMEX WTI crude oil price per Bbl ranged from a low of $16.70 to a high of $114.34, and the last trading day NYMEX natural gas price per MMBtu ranged from a low of $1.50 to a high of $9.35.</w:t>
      </w:r>
    </w:p>
    <w:p>
      <w:pPr>
        <w:spacing w:after="0" w:line="188" w:lineRule="exact"/>
        <w:rPr>
          <w:sz w:val="20"/>
          <w:szCs w:val="20"/>
          <w:color w:val="auto"/>
        </w:rPr>
      </w:pPr>
    </w:p>
    <w:p>
      <w:pPr>
        <w:ind w:right="20" w:firstLine="522"/>
        <w:spacing w:after="0" w:line="254" w:lineRule="auto"/>
        <w:rPr>
          <w:sz w:val="20"/>
          <w:szCs w:val="20"/>
          <w:color w:val="auto"/>
        </w:rPr>
      </w:pPr>
      <w:r>
        <w:rPr>
          <w:rFonts w:ascii="Arial" w:cs="Arial" w:eastAsia="Arial" w:hAnsi="Arial"/>
          <w:sz w:val="18"/>
          <w:szCs w:val="18"/>
          <w:color w:val="auto"/>
        </w:rPr>
        <w:t>Based on first quarter 2023 commodity prices and other factors, the Company currently plans to average four to five (4-5) drilling rigs and two to three (2-3) frac fleets on its properties in the Permian Basin during 2023. However, there are many factors and consequences beyond the Company's control, such as policies of the Biden Administration, economic downturn or potential recession, geo-political risks and additional actions by businesses, OPEC and other cooperating countries, and governments in response to the COVID-19 pandemic, that may have an impact on the Company’s future results and drilling plans. For additional information on the risks, see “Part I, Item 1A. Risk Factors.” Given the dynamic nature of this situation, the Company is maintaining flexibility in its capital plan and will continue to evaluate drilling and completion activity on an economic basis, with future activity levels assessed monthly. Additionally, the Board is evaluating a range of strategic alternative transactions to maximize shareholder value, including the potential sale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Alternatives.</w:t>
      </w:r>
    </w:p>
    <w:p>
      <w:pPr>
        <w:spacing w:after="0" w:line="229" w:lineRule="exact"/>
        <w:rPr>
          <w:sz w:val="20"/>
          <w:szCs w:val="20"/>
          <w:color w:val="auto"/>
        </w:rPr>
      </w:pPr>
    </w:p>
    <w:p>
      <w:pPr>
        <w:ind w:right="20" w:firstLine="522"/>
        <w:spacing w:after="0" w:line="257" w:lineRule="auto"/>
        <w:rPr>
          <w:sz w:val="20"/>
          <w:szCs w:val="20"/>
          <w:color w:val="auto"/>
        </w:rPr>
      </w:pPr>
      <w:r>
        <w:rPr>
          <w:rFonts w:ascii="Arial" w:cs="Arial" w:eastAsia="Arial" w:hAnsi="Arial"/>
          <w:sz w:val="18"/>
          <w:szCs w:val="18"/>
          <w:color w:val="auto"/>
        </w:rPr>
        <w:t>On January 23, 2023, the Company announced the intention of its Board to initiate a process to evaluate certain strategic alternatives to maximize shareholder value, including a potential sale of the Company. The Company has not set a timetable for the conclusion of this review, nor has it made any decisions related to any further actions or potential strategic alternatives at this time. There can be no assurance that the review will result in any transaction or other strategic change or outcome. The Company does not intend to comment further until it determines that further disclosure is appropriate or necessary.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the year ended December 31, 2022, the Company incurred a total of $527.3 million in acquisition costs to acquire various crude oil and natural gas properties largely contiguous to its Signal Peak and Flat Top operating areas primarily in Howard and Borden counties, consisting of approximately 45,101 net acres and associated producing properties, water system infrastructure and in-field fluid gathering pipelines. Included in the acquisition costs is the issuance of 10,853,634 shares of HighPeak Energy common stock valued at $265.0 million on the respective closing dates. The acquisitions were accounted for as asset acquisitions and included approximately 31 gross (26.3 net) producing horizontal wells, 109 gross (87.8 net) producing vertical wells and six vertical salt-water disposal wells and related water system infrastructure as well as over 200 gross horizontal drilling locations targeting the Wolfcamp A, Wolfcamp D and Lower Spraberry formations.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Offerings</w:t>
      </w:r>
    </w:p>
    <w:p>
      <w:pPr>
        <w:spacing w:after="0" w:line="229" w:lineRule="exact"/>
        <w:rPr>
          <w:sz w:val="20"/>
          <w:szCs w:val="20"/>
          <w:color w:val="auto"/>
        </w:rPr>
      </w:pPr>
    </w:p>
    <w:p>
      <w:pPr>
        <w:ind w:right="120" w:firstLine="522"/>
        <w:spacing w:after="0" w:line="263" w:lineRule="auto"/>
        <w:rPr>
          <w:sz w:val="20"/>
          <w:szCs w:val="20"/>
          <w:color w:val="auto"/>
        </w:rPr>
      </w:pPr>
      <w:r>
        <w:rPr>
          <w:rFonts w:ascii="Arial" w:cs="Arial" w:eastAsia="Arial" w:hAnsi="Arial"/>
          <w:sz w:val="18"/>
          <w:szCs w:val="18"/>
          <w:color w:val="auto"/>
        </w:rPr>
        <w:t>In February 2022, the Company completed the private placement of $225.0 million aggregate principal amount of its 10.000% Senior Notes due February 2024, netting proceeds of approximately $202.9 million after giving effect to the original issue discount, placement agent compensation and fees and expenses. The proceeds of the offering were used for general corporate purposes.</w:t>
      </w:r>
    </w:p>
    <w:p>
      <w:pPr>
        <w:spacing w:after="0" w:line="184" w:lineRule="exact"/>
        <w:rPr>
          <w:sz w:val="20"/>
          <w:szCs w:val="20"/>
          <w:color w:val="auto"/>
        </w:rPr>
      </w:pPr>
    </w:p>
    <w:p>
      <w:pPr>
        <w:ind w:right="20" w:firstLine="522"/>
        <w:spacing w:after="0" w:line="263" w:lineRule="auto"/>
        <w:rPr>
          <w:sz w:val="20"/>
          <w:szCs w:val="20"/>
          <w:color w:val="auto"/>
        </w:rPr>
      </w:pPr>
      <w:r>
        <w:rPr>
          <w:rFonts w:ascii="Arial" w:cs="Arial" w:eastAsia="Arial" w:hAnsi="Arial"/>
          <w:sz w:val="18"/>
          <w:szCs w:val="18"/>
          <w:color w:val="auto"/>
        </w:rPr>
        <w:t>In November 2022, the Company completed the private placement of $225.0 million aggregate principal amount of its 10.625% Senior Notes due November 2024, netting proceeds of approximately $200.7 million after giving effect to the original issue discount, placement agent compensation and fees and expenses. The proceeds of the offering were used for general corporate purposes.</w:t>
      </w:r>
    </w:p>
    <w:p>
      <w:pPr>
        <w:spacing w:after="0" w:line="184" w:lineRule="exact"/>
        <w:rPr>
          <w:sz w:val="20"/>
          <w:szCs w:val="20"/>
          <w:color w:val="auto"/>
        </w:rPr>
      </w:pPr>
    </w:p>
    <w:p>
      <w:pPr>
        <w:ind w:right="140" w:firstLine="522"/>
        <w:spacing w:after="0" w:line="263" w:lineRule="auto"/>
        <w:rPr>
          <w:sz w:val="20"/>
          <w:szCs w:val="20"/>
          <w:color w:val="auto"/>
        </w:rPr>
      </w:pPr>
      <w:r>
        <w:rPr>
          <w:rFonts w:ascii="Arial" w:cs="Arial" w:eastAsia="Arial" w:hAnsi="Arial"/>
          <w:sz w:val="18"/>
          <w:szCs w:val="18"/>
          <w:color w:val="auto"/>
        </w:rPr>
        <w:t>On December 12, 2022, the Company completed the private placement of $25.0 million aggregate principal amount of its 10.625% Senior Notes due November 2024, netting proceeds of approximately $23.0 million after giving effect to the original issue discount, placement agent compensation and fees and expenses. The proceeds of the offering were used for general corporate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Hedging</w:t>
      </w:r>
    </w:p>
    <w:p>
      <w:pPr>
        <w:spacing w:after="0" w:line="229" w:lineRule="exact"/>
        <w:rPr>
          <w:sz w:val="20"/>
          <w:szCs w:val="20"/>
          <w:color w:val="auto"/>
        </w:rPr>
      </w:pPr>
    </w:p>
    <w:p>
      <w:pPr>
        <w:jc w:val="both"/>
        <w:ind w:firstLine="522"/>
        <w:spacing w:after="0" w:line="263" w:lineRule="auto"/>
        <w:rPr>
          <w:sz w:val="20"/>
          <w:szCs w:val="20"/>
          <w:color w:val="auto"/>
        </w:rPr>
      </w:pPr>
      <w:r>
        <w:rPr>
          <w:rFonts w:ascii="Arial" w:cs="Arial" w:eastAsia="Arial" w:hAnsi="Arial"/>
          <w:sz w:val="18"/>
          <w:szCs w:val="18"/>
          <w:color w:val="auto"/>
        </w:rPr>
        <w:t>In accordance with the Credit Agreement and the indentures governing the 10.000% Senior Notes and 10.625% Senior Notes, HighPeak Energy was required to and has entered into hedging arrangements. The Company’s outstanding crude oil derivative contracts and the weighted average crude oil prices per barrel for those contracts as of December 31, 2022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97"/>
              </w:rPr>
              <w:t>First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82"/>
              </w:rPr>
              <w:t>Second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 xml:space="preserve">Crude Oil Price Swaps </w:t>
            </w:r>
            <w:r>
              <w:rPr>
                <w:rFonts w:ascii="Arial" w:cs="Arial" w:eastAsia="Arial" w:hAnsi="Arial"/>
                <w:sz w:val="18"/>
                <w:szCs w:val="18"/>
                <w:color w:val="auto"/>
              </w:rPr>
              <w:t>–</w:t>
            </w:r>
            <w:r>
              <w:rPr>
                <w:rFonts w:ascii="Arial" w:cs="Arial" w:eastAsia="Arial" w:hAnsi="Arial"/>
                <w:sz w:val="18"/>
                <w:szCs w:val="18"/>
                <w:b w:val="1"/>
                <w:bCs w:val="1"/>
                <w:color w:val="auto"/>
              </w:rPr>
              <w:t xml:space="preserve"> WTI:</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09"/>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Volume (MBbls)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1,722.0</w:t>
            </w: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Price per Bbl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73.67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67.81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72.30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71.59</w:t>
            </w:r>
          </w:p>
        </w:tc>
      </w:tr>
      <w:tr>
        <w:trPr>
          <w:trHeight w:val="418"/>
        </w:trPr>
        <w:tc>
          <w:tcPr>
            <w:tcW w:w="4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97"/>
              </w:rPr>
              <w:t>First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82"/>
              </w:rPr>
              <w:t>Second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 xml:space="preserve">Deferred Premium Put Options </w:t>
            </w:r>
            <w:r>
              <w:rPr>
                <w:rFonts w:ascii="Arial" w:cs="Arial" w:eastAsia="Arial" w:hAnsi="Arial"/>
                <w:sz w:val="18"/>
                <w:szCs w:val="18"/>
                <w:color w:val="auto"/>
              </w:rPr>
              <w:t>–</w:t>
            </w:r>
            <w:r>
              <w:rPr>
                <w:rFonts w:ascii="Arial" w:cs="Arial" w:eastAsia="Arial" w:hAnsi="Arial"/>
                <w:sz w:val="18"/>
                <w:szCs w:val="18"/>
                <w:b w:val="1"/>
                <w:bCs w:val="1"/>
                <w:color w:val="auto"/>
              </w:rPr>
              <w:t xml:space="preserve"> WTI:</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09"/>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Volume (MBbls)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1,928.0</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Price per Bbl (Put Price)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61.05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60.46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55.97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58.43</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 (Net of Premium)</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56.05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50.97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53.43</w:t>
            </w:r>
          </w:p>
        </w:tc>
      </w:tr>
      <w:tr>
        <w:trPr>
          <w:trHeight w:val="432"/>
        </w:trPr>
        <w:tc>
          <w:tcPr>
            <w:tcW w:w="4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97"/>
              </w:rPr>
              <w:t>First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82"/>
              </w:rPr>
              <w:t>Second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 xml:space="preserve">Deferred Premium Put Options </w:t>
            </w:r>
            <w:r>
              <w:rPr>
                <w:rFonts w:ascii="Arial" w:cs="Arial" w:eastAsia="Arial" w:hAnsi="Arial"/>
                <w:sz w:val="18"/>
                <w:szCs w:val="18"/>
                <w:color w:val="auto"/>
              </w:rPr>
              <w:t>–</w:t>
            </w:r>
            <w:r>
              <w:rPr>
                <w:rFonts w:ascii="Arial" w:cs="Arial" w:eastAsia="Arial" w:hAnsi="Arial"/>
                <w:sz w:val="18"/>
                <w:szCs w:val="18"/>
                <w:b w:val="1"/>
                <w:bCs w:val="1"/>
                <w:color w:val="auto"/>
              </w:rPr>
              <w:t xml:space="preserve"> WTI:</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Volume (MBbls)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1,370.0</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Price per Bbl (Put Price)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51.50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51.50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51.50</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 (Net of Premium)</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and operating performance for the year ended December 31, 2022 included the following highlights:</w:t>
      </w:r>
    </w:p>
    <w:p>
      <w:pPr>
        <w:spacing w:after="0" w:line="225" w:lineRule="exact"/>
        <w:rPr>
          <w:sz w:val="20"/>
          <w:szCs w:val="20"/>
          <w:color w:val="auto"/>
        </w:rPr>
      </w:pPr>
    </w:p>
    <w:p>
      <w:pPr>
        <w:ind w:left="660" w:right="2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income for the year ended December 31, 2022 was $236.9 million ($1.93 per diluted share) compared with $55.6 million for the year ended December 31, 2021. The primary components of the $181.3 million increase in net income include:</w:t>
      </w:r>
    </w:p>
    <w:p>
      <w:pPr>
        <w:spacing w:after="0" w:line="170" w:lineRule="exact"/>
        <w:rPr>
          <w:sz w:val="20"/>
          <w:szCs w:val="20"/>
          <w:color w:val="auto"/>
        </w:rPr>
      </w:pPr>
    </w:p>
    <w:p>
      <w:pPr>
        <w:ind w:left="980" w:right="80" w:hanging="324"/>
        <w:spacing w:after="0" w:line="263"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$535.6 million increase in crude oil and natural gas revenues due to a 163% increase in daily sales volumes primarily due to the Company’s successful horizontal drilling program and to a lesser extent, bolt-on acquisitions, plus a 30% increase in average realized commodity prices per Boe, excluding the effect of derivatives;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225" w:lineRule="exact"/>
        <w:rPr>
          <w:sz w:val="20"/>
          <w:szCs w:val="20"/>
          <w:color w:val="auto"/>
        </w:rPr>
      </w:pPr>
    </w:p>
    <w:p>
      <w:pPr>
        <w:ind w:left="980" w:right="80" w:hanging="324"/>
        <w:spacing w:after="0" w:line="263"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$112.5 million increase in DD&amp;A expense due to a 163% increase in daily sales volumes and a 4% increase in the DD&amp;A rate from $19.20 to $19.89 per Boe, both as a result of increased proved reserves due to the Company’s successful horizontal drilling program and to a lesser extent, bolt-on acquisitions;</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$58.5 million increase in the Company's income tax expense due to the net income experienced in 2022 compared with 2021;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443" w:gutter="0" w:footer="0" w:header="0"/>
        </w:sectPr>
      </w:pPr>
    </w:p>
    <w:bookmarkStart w:id="64" w:name="page65"/>
    <w:bookmarkEnd w:id="64"/>
    <w:p>
      <w:pPr>
        <w:ind w:left="980" w:right="480" w:hanging="324"/>
        <w:spacing w:after="0" w:line="308" w:lineRule="auto"/>
        <w:tabs>
          <w:tab w:leader="none" w:pos="98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 $48.1 million increase in the Company's interest expense due to the issuance of the 10.000% Senior Notes and 10.625% Senior Notes, increased borrowings under the Credit Agreement and increased amortization of debt issuance costs and discounts;</w:t>
      </w:r>
    </w:p>
    <w:p>
      <w:pPr>
        <w:spacing w:after="0" w:line="173" w:lineRule="exact"/>
        <w:rPr>
          <w:rFonts w:ascii="Arial" w:cs="Arial" w:eastAsia="Arial" w:hAnsi="Arial"/>
          <w:sz w:val="17"/>
          <w:szCs w:val="17"/>
          <w:color w:val="auto"/>
        </w:rPr>
      </w:pPr>
    </w:p>
    <w:p>
      <w:pPr>
        <w:ind w:left="980" w:right="640" w:hanging="324"/>
        <w:spacing w:after="0" w:line="277"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$44.5 million increase in lease operating expenses related primarily to the increased well count and production from the Company’s successful horizontal drilling program and to a lesser extent, bolt-on acquisitions;</w:t>
      </w:r>
    </w:p>
    <w:p>
      <w:pPr>
        <w:spacing w:after="0" w:line="197"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$33.3 million increase in net derivative losses in 2022 compared with 2021 as a result of increased hedging activity required under our debt agreements and the continued increase of crude oil prices in 2022 compared with 2021;</w:t>
      </w:r>
    </w:p>
    <w:p>
      <w:pPr>
        <w:spacing w:after="0" w:line="197" w:lineRule="exact"/>
        <w:rPr>
          <w:rFonts w:ascii="Arial" w:cs="Arial" w:eastAsia="Arial" w:hAnsi="Arial"/>
          <w:sz w:val="18"/>
          <w:szCs w:val="18"/>
          <w:color w:val="auto"/>
        </w:rPr>
      </w:pPr>
    </w:p>
    <w:p>
      <w:pPr>
        <w:jc w:val="both"/>
        <w:ind w:left="980" w:right="180" w:hanging="324"/>
        <w:spacing w:after="0" w:line="311" w:lineRule="auto"/>
        <w:tabs>
          <w:tab w:leader="none" w:pos="9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 $27.7 million increase in production and ad valorem taxes, primarily attributable to the 163% increase in daily sales volumes as a result of the Company’s successful horizontal drilling program and to a lesser extent, bolt-on acquisitions combined with 36% higher production and ad valorem taxes on a dollar per Boe basis due to higher overall realized prices of 30%, excluding the effects of derivatives;</w:t>
      </w:r>
    </w:p>
    <w:p>
      <w:pPr>
        <w:spacing w:after="0" w:line="175" w:lineRule="exact"/>
        <w:rPr>
          <w:rFonts w:ascii="Arial" w:cs="Arial" w:eastAsia="Arial" w:hAnsi="Arial"/>
          <w:sz w:val="16"/>
          <w:szCs w:val="16"/>
          <w:color w:val="auto"/>
        </w:rPr>
      </w:pPr>
    </w:p>
    <w:p>
      <w:pPr>
        <w:jc w:val="both"/>
        <w:ind w:left="980" w:right="380" w:hanging="324"/>
        <w:spacing w:after="0" w:line="311" w:lineRule="auto"/>
        <w:tabs>
          <w:tab w:leader="none" w:pos="9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 $26.7 million increase in stock-based compensation expense primarily attributable to restricted stock issued in late 2021 resulting in an entire year of amortization in 2022 compared with a partial year in 2021, additional restricted stock issued in 2022 and other stock option awards that were granted in 2022 which the majority of the stock options vested immediately causing a charge to earnings; and</w:t>
      </w:r>
    </w:p>
    <w:p>
      <w:pPr>
        <w:spacing w:after="0" w:line="175" w:lineRule="exact"/>
        <w:rPr>
          <w:rFonts w:ascii="Arial" w:cs="Arial" w:eastAsia="Arial" w:hAnsi="Arial"/>
          <w:sz w:val="16"/>
          <w:szCs w:val="16"/>
          <w:color w:val="auto"/>
        </w:rPr>
      </w:pPr>
    </w:p>
    <w:p>
      <w:pPr>
        <w:ind w:left="980" w:right="620" w:hanging="324"/>
        <w:spacing w:after="0" w:line="277"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$3.6 million increase in general and administrative costs due primarily to increased salary and bonus expenditures related to a larger workforce and the continued success of the Company.</w:t>
      </w:r>
    </w:p>
    <w:p>
      <w:pPr>
        <w:spacing w:after="0" w:line="170" w:lineRule="exact"/>
        <w:rPr>
          <w:rFonts w:ascii="Arial" w:cs="Arial" w:eastAsia="Arial" w:hAnsi="Arial"/>
          <w:sz w:val="18"/>
          <w:szCs w:val="18"/>
          <w:color w:val="auto"/>
        </w:rPr>
      </w:pPr>
    </w:p>
    <w:p>
      <w:pPr>
        <w:ind w:left="660" w:right="70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During the year ended December 31, 2022, average daily sales volumes totaled 24,485 Boepd, an increase of 163% over 2021, due to the Company's successful horizontal drilling program in the Permian Basin and to a lesser extent, bolt-on acquisitions.</w:t>
      </w:r>
    </w:p>
    <w:p>
      <w:pPr>
        <w:spacing w:after="0" w:line="173" w:lineRule="exact"/>
        <w:rPr>
          <w:rFonts w:ascii="Arial" w:cs="Arial" w:eastAsia="Arial" w:hAnsi="Arial"/>
          <w:sz w:val="17"/>
          <w:szCs w:val="17"/>
          <w:color w:val="auto"/>
        </w:rPr>
      </w:pPr>
    </w:p>
    <w:p>
      <w:pPr>
        <w:ind w:left="660" w:right="180" w:hanging="328"/>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Weighted average realized crude oil prices per Bbl increased during the year ended December 31, 2022 to $94.61, excluding the effects of derivatives, compared with $70.10 for 2021. Weighted average realized NGL prices per Bbl increased during the year ended December 31, 2022 to $35.67, compared with $35.11 for 2021. Weighted average realized natural gas prices per Mcf increased to $5.36 during the year ended December 31, 2022, compared with $3.88 during 2021.</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Cash provided by operating activities totaled $504.0 million for the year ended December 31, 2022.</w:t>
      </w:r>
    </w:p>
    <w:p>
      <w:pPr>
        <w:spacing w:after="0" w:line="279" w:lineRule="exact"/>
        <w:rPr>
          <w:rFonts w:ascii="Arial" w:cs="Arial" w:eastAsia="Arial" w:hAnsi="Arial"/>
          <w:sz w:val="18"/>
          <w:szCs w:val="18"/>
          <w:color w:val="auto"/>
        </w:rPr>
      </w:pPr>
    </w:p>
    <w:p>
      <w:pPr>
        <w:ind w:left="660" w:right="120" w:hanging="328"/>
        <w:spacing w:after="0" w:line="289"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 increased its borrowing capacity under the Credit Agreement to $525.0 million with $270.0 million drawn as of December 31, 2022. In addition, the Company raised $202.9 million, net of discounts and issuance costs, in February 2022 when it issued the 10.000% Senior Notes and another $223.7 million, net of discounts and issuance costs, in November and December 2022 when it issued the 10.625% Senior Notes. The Company also raised $85.0 million of capital in September 2022 with the issuance of 3,933,376 shares of common stock in a private placement. This capital gave the Company flexibility to increase its development drilling program to six rigs in mid-2022. During the year, the Company placed 92 gross (78.2 net) horizontal wells on production, drilled and completed 4 gross (4.0 net) salt-water disposal wells and completed $527.3 million in acquisitions of both producing properties and a significant amount of bolt-on undeveloped acreage increasing its drilling inventory. As of December 31, 2022, the Company was also in the process of drilling 11 gross (10.7 net) horizontal producers and had 54 gross (46.8 net) horizontal producers either waiting on completion or in various stages of completion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Arial" w:cs="Arial" w:eastAsia="Arial" w:hAnsi="Arial"/>
                <w:sz w:val="18"/>
                <w:szCs w:val="18"/>
                <w:b w:val="1"/>
                <w:bCs w:val="1"/>
                <w:color w:val="auto"/>
              </w:rPr>
              <w:t>Operations and Drilling Highlights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80" w:type="dxa"/>
            <w:vAlign w:val="bottom"/>
          </w:tcPr>
          <w:p>
            <w:pPr>
              <w:spacing w:after="0"/>
              <w:rPr>
                <w:sz w:val="20"/>
                <w:szCs w:val="20"/>
                <w:color w:val="auto"/>
              </w:rPr>
            </w:pPr>
            <w:r>
              <w:rPr>
                <w:rFonts w:ascii="Arial" w:cs="Arial" w:eastAsia="Arial" w:hAnsi="Arial"/>
                <w:sz w:val="18"/>
                <w:szCs w:val="18"/>
                <w:color w:val="auto"/>
              </w:rPr>
              <w:t>Average daily crude oil, NGL and natural gas sales volumes are as follows: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68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96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96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Crude Oil (Bbls)</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20,718</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NGL (Bbls)</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2,249</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9,105</w:t>
            </w: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Total (Boe)</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24,485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liquids production was 94% of total production on a Boe basis for the year ended December 31, 2022.</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Costs incurred are as follows (in thousands):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Unproved property acquisition costs</w:t>
            </w:r>
          </w:p>
        </w:tc>
        <w:tc>
          <w:tcPr>
            <w:tcW w:w="15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174,554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Proved acquisition costs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352,791</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acquisitions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527,345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Development costs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391,298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costs</w:t>
            </w: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655,433</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finding and development costs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1,574,076</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costs incurred</w:t>
            </w:r>
          </w:p>
        </w:tc>
        <w:tc>
          <w:tcPr>
            <w:tcW w:w="15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1,576,955</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Development/service and exploration/extension drilling activity is as follows:</w:t>
            </w: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32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Year Ended December 31, 2022</w:t>
            </w:r>
          </w:p>
        </w:tc>
        <w:tc>
          <w:tcPr>
            <w:tcW w:w="0" w:type="dxa"/>
            <w:vAlign w:val="bottom"/>
          </w:tcPr>
          <w:p>
            <w:pPr>
              <w:spacing w:after="0"/>
              <w:rPr>
                <w:sz w:val="1"/>
                <w:szCs w:val="1"/>
                <w:color w:val="auto"/>
              </w:rPr>
            </w:pPr>
          </w:p>
        </w:tc>
      </w:tr>
      <w:tr>
        <w:trPr>
          <w:trHeight w:val="191"/>
        </w:trPr>
        <w:tc>
          <w:tcPr>
            <w:tcW w:w="8000" w:type="dxa"/>
            <w:vAlign w:val="bottom"/>
          </w:tcPr>
          <w:p>
            <w:pPr>
              <w:spacing w:after="0"/>
              <w:rPr>
                <w:sz w:val="16"/>
                <w:szCs w:val="16"/>
                <w:color w:val="auto"/>
              </w:rPr>
            </w:pPr>
          </w:p>
        </w:tc>
        <w:tc>
          <w:tcPr>
            <w:tcW w:w="158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Development/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4"/>
              </w:rPr>
              <w:t>Exploration/</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5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Service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8"/>
              </w:rPr>
              <w:t>Extension</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Beginning wells in progress</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Well spud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Successful wells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Ending wells in progress</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During the year ended December 31, 2022, the Company successfully drilled ninety-six (96) wells, of which seventy-nine (79) horizontal producers plus three (3) salt-water disposal wells were located in Flat Top and thirteen (13) horizontal producers plus one (1) salt-water disposal well were located in Signal Peak. Also, we had an additional sixty-five (65) wells in progress as of December 31, 2022. At Flat Top, we had six (6) horizontal producers being drilled and forty-one (41) horizontal producers either waiting on completion or in various stages of completion. At Signal Peak, we had five (5) horizontal producers being drilled and thirteen (13) horizontal producers either waiting on completion or in various stages of completion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0"/>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Results of operations should be read together with the Company’s consolidated financial statements and related notes included in “Item 8. Financial Statements and Supplementary Data” of this Annual Report. See the Company’s </w:t>
      </w:r>
      <w:hyperlink r:id="rId82">
        <w:r>
          <w:rPr>
            <w:rFonts w:ascii="Arial" w:cs="Arial" w:eastAsia="Arial" w:hAnsi="Arial"/>
            <w:sz w:val="16"/>
            <w:szCs w:val="16"/>
            <w:u w:val="single" w:color="auto"/>
            <w:color w:val="0000EE"/>
          </w:rPr>
          <w:t>Annual Report on 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2021 filed with the SEC on March 7, 2022 for a discussion of the Company’s 2021 results of operations compared with the Company’s 2020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Company’s revenues, which are entirely originated in the continental United States, are derived from the sale of crude oil and natural gas production and the sale of NGL that are extracted from natural gas during processing. For the years ended December 31, 2022, 2021 and 2020, revenues from our assets were derived approximately 95%, 96% and 98%, respectively, from crude oil sales and 5%, 4% and 2%, respectively, from NGL and natural gas sales.</w:t>
      </w:r>
    </w:p>
    <w:p>
      <w:pPr>
        <w:spacing w:after="0" w:line="18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Company is subject to credit risk resulting from the concentration of its crude oil and natural gas receivables with significant purchasers. For the year ended December 31, 2022, sales to the Company’s largest purchaser accounted for approximately 88% of the Company’s total crude oil, NGL and natural gas sales revenues. The Company generally does not require collateral and does not believe the loss of this particular purchaser would materially impact its operating results, as crude oil and natural gas are fungible products with well-established markets and numerous purchasers in various regions.</w:t>
      </w:r>
    </w:p>
    <w:p>
      <w:pPr>
        <w:spacing w:after="0" w:line="1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revenues are presented net of certain gathering, transportation and processing expenses incurred to deliver production of its assets’ crude oil, NGL and natural gas to the market. Cost levels of these expenses can vary based on the volume of crude oil, NGL and natural gas produced as well as the cost of commodity processing. Crude oil, NGL and natural gas prices are inherently volatile and are influenced by many factors outside the Company’s control. To reduce the impact of fluctuations in crude oil, NGL and natural gas prices on revenues, the Company may periodically enter into derivative contracts with respect to a portion of its estimated crude oil, NGL and natural gas production through various transactions that fix or set a floor price for future prices received.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Principal Components of Cost Structure</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Costs associated with producing crude oil, NGL and natural gas are substantial. Some of these costs vary with commodity prices, some trend with the type and volume of production, and others are a function of the number of wells owned. The sections below summarize the primary operating costs typically incurred:</w:t>
      </w:r>
    </w:p>
    <w:p>
      <w:pPr>
        <w:spacing w:after="0" w:line="184" w:lineRule="exact"/>
        <w:rPr>
          <w:sz w:val="20"/>
          <w:szCs w:val="20"/>
          <w:color w:val="auto"/>
        </w:rPr>
      </w:pPr>
    </w:p>
    <w:p>
      <w:pPr>
        <w:ind w:left="660" w:hanging="328"/>
        <w:spacing w:after="0" w:line="271"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Lease Operating Expenses. </w:t>
      </w:r>
      <w:r>
        <w:rPr>
          <w:rFonts w:ascii="Arial" w:cs="Arial" w:eastAsia="Arial" w:hAnsi="Arial"/>
          <w:sz w:val="17"/>
          <w:szCs w:val="17"/>
          <w:color w:val="auto"/>
        </w:rPr>
        <w:t>Lease operating expenses (“LOE”) are the costs incurred in the operation of producing properties and workover costs.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Expenses for utilities, direct labor, water injection and disposal, workover rigs and workover expenses, materials and supplies comprise the most significant portion of LOE. Certain items, such as direct labor and materials and supplies, generally remain relatively fixed across broad production volume ranges, but can fluctuate depending on activities performed during a specific period. For instance, repairs to pumping equipment or surface facilities result in increased LOE in periods during which they are performed. Certain operating cost components are variable and increase or decrease as the level of produced hydrocarbons and water increases or decreases. For example, power costs are incurred in connection with various production-related activities, such as pumping to recover crude oil and natural gas and separation and treatment of water produced in connection with crude oil and natural gas production.</w:t>
      </w:r>
    </w:p>
    <w:p>
      <w:pPr>
        <w:spacing w:after="0" w:line="178" w:lineRule="exact"/>
        <w:rPr>
          <w:rFonts w:ascii="Arial" w:cs="Arial" w:eastAsia="Arial" w:hAnsi="Arial"/>
          <w:sz w:val="17"/>
          <w:szCs w:val="17"/>
          <w:color w:val="auto"/>
        </w:rPr>
      </w:pPr>
    </w:p>
    <w:p>
      <w:pPr>
        <w:ind w:left="660" w:right="60"/>
        <w:spacing w:after="0" w:line="272" w:lineRule="auto"/>
        <w:rPr>
          <w:rFonts w:ascii="Arial" w:cs="Arial" w:eastAsia="Arial" w:hAnsi="Arial"/>
          <w:sz w:val="17"/>
          <w:szCs w:val="17"/>
          <w:color w:val="auto"/>
        </w:rPr>
      </w:pPr>
      <w:r>
        <w:rPr>
          <w:rFonts w:ascii="Arial" w:cs="Arial" w:eastAsia="Arial" w:hAnsi="Arial"/>
          <w:sz w:val="17"/>
          <w:szCs w:val="17"/>
          <w:color w:val="auto"/>
        </w:rPr>
        <w:t>The Company monitors the operation of its assets to ensure that it is incurring LOE at an acceptable level. For example, it monitors LOE per Boe to determine if any wells or properties should be shut-in, recompleted or sold. This unit rate also allows the Company to monitor these costs to identify trends and to benchmark against other producers. Although the Company strives to reduce its LOE, these expenses can increase or decrease on a per-unit basis as a result of various factors as it operates its assets or makes acquisitions and dispositions of properties. For example, the Company may increase field-level expenditures to optimize their operations, incurring higher expenses in one quarter relative to another, or they may acquire or dispose of properties that have different LOE per Boe. These initiatives would influence overall operating cost and could cause fluctuations when comparing LOE on a period-to-period basis.</w:t>
      </w:r>
    </w:p>
    <w:p>
      <w:pPr>
        <w:spacing w:after="0" w:line="177" w:lineRule="exact"/>
        <w:rPr>
          <w:rFonts w:ascii="Arial" w:cs="Arial" w:eastAsia="Arial" w:hAnsi="Arial"/>
          <w:sz w:val="17"/>
          <w:szCs w:val="17"/>
          <w:color w:val="auto"/>
        </w:rPr>
      </w:pPr>
    </w:p>
    <w:p>
      <w:pPr>
        <w:ind w:left="660" w:right="60" w:hanging="328"/>
        <w:spacing w:after="0" w:line="301"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Production and other taxes. </w:t>
      </w:r>
      <w:r>
        <w:rPr>
          <w:rFonts w:ascii="Arial" w:cs="Arial" w:eastAsia="Arial" w:hAnsi="Arial"/>
          <w:sz w:val="16"/>
          <w:szCs w:val="16"/>
          <w:color w:val="auto"/>
        </w:rPr>
        <w:t>Production and other taxes are paid on produced crude oil and natural gas based on rates established by federal, 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local taxing authorities. In general, production and other taxes paid correlate to changes in crude oil, NGL and natural gas revenues. Production taxes are based on the market value of production at the wellhead. The Company is also subject to ad valorem taxes in the counties where production is located. Ad valorem taxes are based on the fair market value of the mineral interests for producing wells.</w:t>
      </w:r>
    </w:p>
    <w:p>
      <w:pPr>
        <w:spacing w:after="0" w:line="184" w:lineRule="exact"/>
        <w:rPr>
          <w:rFonts w:ascii="Arial" w:cs="Arial" w:eastAsia="Arial" w:hAnsi="Arial"/>
          <w:sz w:val="16"/>
          <w:szCs w:val="16"/>
          <w:color w:val="auto"/>
        </w:rPr>
      </w:pPr>
    </w:p>
    <w:p>
      <w:pPr>
        <w:ind w:left="660" w:right="40" w:hanging="328"/>
        <w:spacing w:after="0" w:line="291"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Depletion </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Crude Oil and Natural Gas Properties. </w:t>
      </w:r>
      <w:r>
        <w:rPr>
          <w:rFonts w:ascii="Arial" w:cs="Arial" w:eastAsia="Arial" w:hAnsi="Arial"/>
          <w:sz w:val="16"/>
          <w:szCs w:val="16"/>
          <w:color w:val="auto"/>
        </w:rPr>
        <w:t>Depletion is the systematic expensing of the capitalized costs incurred to acquire and develop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crude oil and natural gas properties. The Company uses the successful efforts method of accounting for crude oil and natural gas properties. Accordingly, all costs associated with acquisition, successful exploration/extension wells and development of crude oil and natural gas reserves, including directly related overhead costs and asset retirement costs are capitalized. However, the costs of abandoned properties, exploratory dry holes, geophysical costs and annual lease rentals are charged to expense as incurred. All capitalized costs of crude oil and natural gas properties are amortized on the unit-of-production method using estimates of proved reserves. Any remaining investments in unproved properties are not amortized until proved reserves associated with the projects can be determined or until impairment occurs.</w:t>
      </w:r>
    </w:p>
    <w:p>
      <w:pPr>
        <w:spacing w:after="0" w:line="193" w:lineRule="exact"/>
        <w:rPr>
          <w:rFonts w:ascii="Arial" w:cs="Arial" w:eastAsia="Arial" w:hAnsi="Arial"/>
          <w:sz w:val="16"/>
          <w:szCs w:val="16"/>
          <w:color w:val="auto"/>
        </w:rPr>
      </w:pPr>
    </w:p>
    <w:p>
      <w:pPr>
        <w:ind w:left="660" w:right="220" w:hanging="328"/>
        <w:spacing w:after="0" w:line="286"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(“G&amp;A”) are costs incurred for overhead, including payroll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benefits for corporate staff and costs of maintaining a headquarters, costs of managing production and development operations, IT expenses and audit and other fees for professional services, including legal compliance and acquisition-related expenses.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Results of operations should be read together with the Company’s consolidated financial statements and related notes included in “Item 8. Financial Statements and Supplementary Data” of this Annual Report.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NGL and natural gas revenues.</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Company’s revenues are derived from the sales of crude oil, NGL and natural gas production. Increases or decreases in the Company’s revenues, profitability and future production are highly dependent on commodity prices. Prices are market driven and future prices will fluctuate due to supply and demand factors, availability of transportation, seasonality, geopolitical developments and economic factors, among other items.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Crude oil, NGL and natural gas revenues are as follows (in thousands):</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Crude oil, NGL and natural gas revenues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755,686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220,124</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535,562</w:t>
            </w:r>
          </w:p>
        </w:tc>
        <w:tc>
          <w:tcPr>
            <w:tcW w:w="0" w:type="dxa"/>
            <w:vAlign w:val="bottom"/>
          </w:tcPr>
          <w:p>
            <w:pPr>
              <w:spacing w:after="0"/>
              <w:rPr>
                <w:sz w:val="1"/>
                <w:szCs w:val="1"/>
                <w:color w:val="auto"/>
              </w:rPr>
            </w:pP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Average daily sales volumes are as follows: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5"/>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Crude Oil (Bbls)</w:t>
            </w:r>
          </w:p>
        </w:tc>
        <w:tc>
          <w:tcPr>
            <w:tcW w:w="1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20,718</w:t>
            </w:r>
          </w:p>
        </w:tc>
        <w:tc>
          <w:tcPr>
            <w:tcW w:w="12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8,225</w:t>
            </w:r>
          </w:p>
        </w:tc>
        <w:tc>
          <w:tcPr>
            <w:tcW w:w="12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NGL (Bbls)</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2,249</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613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267%</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9,105</w:t>
            </w:r>
          </w:p>
        </w:tc>
        <w:tc>
          <w:tcPr>
            <w:tcW w:w="1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2,795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Total (Boe)</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24,485</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9,304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163%</w:t>
            </w:r>
          </w:p>
        </w:tc>
      </w:tr>
    </w:tbl>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increase in average daily Boe sales volumes for the year ended December 31, 2022, compared with 2021 was due to the Company’s successful horizontal drilling program and to a lesser extent, bolt-on acquisitions. It is impracticable to determine the significance from bolt-on acquisitions as the Company previously owned various non-operated interests in the majority of the properties acquired as well as the fact that drilling and completion operations were ongoing on the assets at the time of closing. However, the majority of the increase shown above is from the Company’s successful drilling program including on the undeveloped assets acquired.</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crude oil, NGL and natural gas prices that the Company reports are based on the market prices received for each commodity. The weighted average prices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Pr>
          <w:p>
            <w:pPr>
              <w:spacing w:after="0"/>
              <w:rPr>
                <w:sz w:val="20"/>
                <w:szCs w:val="20"/>
                <w:color w:val="auto"/>
              </w:rPr>
            </w:pPr>
          </w:p>
        </w:tc>
        <w:tc>
          <w:tcPr>
            <w:tcW w:w="16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Crude oil per Bbl</w:t>
            </w:r>
          </w:p>
        </w:tc>
        <w:tc>
          <w:tcPr>
            <w:tcW w:w="2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94.61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70.10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NGL per Bbl</w:t>
            </w:r>
          </w:p>
        </w:tc>
        <w:tc>
          <w:tcPr>
            <w:tcW w:w="2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35.67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35.11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Natural gas per Mcf</w:t>
            </w:r>
          </w:p>
        </w:tc>
        <w:tc>
          <w:tcPr>
            <w:tcW w:w="2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Total per Boe</w:t>
            </w:r>
          </w:p>
        </w:tc>
        <w:tc>
          <w:tcPr>
            <w:tcW w:w="2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84.56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64.82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increase in prices for crude oil, NGL and natural gas for the year ended December 31, 2022, compared with 2021 was due to a higher commodity price environment.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b w:val="1"/>
                <w:bCs w:val="1"/>
                <w:i w:val="1"/>
                <w:iCs w:val="1"/>
                <w:color w:val="auto"/>
              </w:rPr>
              <w:t>Crude oil and natural gas production costs.</w:t>
            </w: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w w:val="93"/>
              </w:rPr>
              <w:t>Crude oil and natural gas production costs are as follows (in thousands):</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Crude oil and natural gas production costs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69,599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25,053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44,546</w:t>
            </w:r>
          </w:p>
        </w:tc>
        <w:tc>
          <w:tcPr>
            <w:tcW w:w="0" w:type="dxa"/>
            <w:vAlign w:val="bottom"/>
          </w:tcPr>
          <w:p>
            <w:pPr>
              <w:spacing w:after="0"/>
              <w:rPr>
                <w:sz w:val="1"/>
                <w:szCs w:val="1"/>
                <w:color w:val="auto"/>
              </w:rPr>
            </w:pPr>
          </w:p>
        </w:tc>
      </w:tr>
      <w:tr>
        <w:trPr>
          <w:trHeight w:val="432"/>
        </w:trPr>
        <w:tc>
          <w:tcPr>
            <w:tcW w:w="5380" w:type="dxa"/>
            <w:vAlign w:val="bottom"/>
          </w:tcPr>
          <w:p>
            <w:pPr>
              <w:spacing w:after="0"/>
              <w:rPr>
                <w:sz w:val="24"/>
                <w:szCs w:val="24"/>
                <w:color w:val="auto"/>
              </w:rPr>
            </w:pPr>
          </w:p>
        </w:tc>
        <w:tc>
          <w:tcPr>
            <w:tcW w:w="940" w:type="dxa"/>
            <w:vAlign w:val="bottom"/>
          </w:tcPr>
          <w:p>
            <w:pPr>
              <w:jc w:val="right"/>
              <w:ind w:right="51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Crude oil and natural gas production costs per Boe are as follows:</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Lease operating expense</w:t>
            </w:r>
          </w:p>
        </w:tc>
        <w:tc>
          <w:tcPr>
            <w:tcW w:w="17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c>
          <w:tcPr>
            <w:tcW w:w="11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Workover costs</w:t>
            </w:r>
          </w:p>
        </w:tc>
        <w:tc>
          <w:tcPr>
            <w:tcW w:w="7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c>
          <w:tcPr>
            <w:tcW w:w="11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Lease operating expense per Boe for 2022 increased slightly compared with 2021. This is largely due to increased lease operating expense per Boe of $8.62 during the first quarter of 2022 due in part to the significant number of rental generators required to power our field operations. When our power distribution infrastructure and substation were energized beginning in May 2022, we reduced the number of rental generators in the field throughout the remainder of the year. By the fourth quarter of 2022, our lease operating expense per Boe was $6.86 and we anticipate this number to continue to decline as we extend the power infrastructure field wide and energize our solar farm project. The increase in workover costs year over year can be attributed to the wells getting older and beginning to need more repair and maintenance from time to time.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Production and ad valorem taxes.</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20" w:type="dxa"/>
            <w:vAlign w:val="bottom"/>
          </w:tcPr>
          <w:p>
            <w:pPr>
              <w:spacing w:after="0"/>
              <w:rPr>
                <w:sz w:val="20"/>
                <w:szCs w:val="20"/>
                <w:color w:val="auto"/>
              </w:rPr>
            </w:pPr>
            <w:r>
              <w:rPr>
                <w:rFonts w:ascii="Arial" w:cs="Arial" w:eastAsia="Arial" w:hAnsi="Arial"/>
                <w:sz w:val="18"/>
                <w:szCs w:val="18"/>
                <w:color w:val="auto"/>
              </w:rPr>
              <w:t>Production and ad valorem taxes are as follows (in thousands):</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ad valorem taxes</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38,440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10,746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27,694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general, production taxes and ad valorem taxes are directly related to commodity price changes; however, Texas ad valorem taxes are based upon prior year commodity prices and valuations as of the first of the year, whereas production taxes are based upon current year commodity prices and sales volumes.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Production and ad valorem taxes per Boe are as follows: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Pr>
          <w:p>
            <w:pPr>
              <w:spacing w:after="0"/>
              <w:rPr>
                <w:sz w:val="24"/>
                <w:szCs w:val="24"/>
                <w:color w:val="auto"/>
              </w:rPr>
            </w:pPr>
          </w:p>
        </w:tc>
        <w:tc>
          <w:tcPr>
            <w:tcW w:w="16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Production taxes per Boe</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Ad valorem taxes per Boe</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Production taxes per Boe for the year ended December 31, 2022, compared with 2021, increased primarily due to the 30% overall increase in commodity prices. The increase in ad valorem taxes per Boe for the year ended December 31, 2022, compared with 2021, was primarily due to the increase in commodity prices in 2021 and a significant number of wells that came on production during 2021 that had no ad valorem tax in 2021. 2022 was the first year these wells were assessed ad valorem taxes. In Texas, ad valorem taxes are based on a valuation of the wells on January 1 of a given year.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Exploration and abandonments expense.</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00" w:type="dxa"/>
            <w:vAlign w:val="bottom"/>
          </w:tcPr>
          <w:p>
            <w:pPr>
              <w:spacing w:after="0"/>
              <w:rPr>
                <w:sz w:val="20"/>
                <w:szCs w:val="20"/>
                <w:color w:val="auto"/>
              </w:rPr>
            </w:pPr>
            <w:r>
              <w:rPr>
                <w:rFonts w:ascii="Arial" w:cs="Arial" w:eastAsia="Arial" w:hAnsi="Arial"/>
                <w:sz w:val="18"/>
                <w:szCs w:val="18"/>
                <w:color w:val="auto"/>
                <w:w w:val="96"/>
              </w:rPr>
              <w:t>Exploration and abandonment expense details are as follows (in thousands):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Geologic and geophysical personnel costs</w:t>
            </w:r>
          </w:p>
        </w:tc>
        <w:tc>
          <w:tcPr>
            <w:tcW w:w="14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1,003</w:t>
            </w:r>
          </w:p>
        </w:tc>
        <w:tc>
          <w:tcPr>
            <w:tcW w:w="11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Geologic and geophysical data costs</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Abandoned leasehold costs</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Plugging and abandonment expense</w:t>
            </w:r>
          </w:p>
        </w:tc>
        <w:tc>
          <w:tcPr>
            <w:tcW w:w="4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Exploration and abandonments expense</w:t>
            </w:r>
          </w:p>
        </w:tc>
        <w:tc>
          <w:tcPr>
            <w:tcW w:w="14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1,149</w:t>
            </w:r>
          </w:p>
        </w:tc>
        <w:tc>
          <w:tcPr>
            <w:tcW w:w="11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decrease in exploration and abandonment expenses is primarily the result of a reduction in the purchase of geologic and geophysical data and no abandoned leasehold costs in 2022 compared with $235,000 in 2021 partially offset by increased geologic and geophysical personnel costs.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b w:val="1"/>
                <w:bCs w:val="1"/>
                <w:i w:val="1"/>
                <w:iCs w:val="1"/>
                <w:color w:val="auto"/>
              </w:rPr>
              <w:t>Depletion, depreciation and amortization expense.</w:t>
            </w: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DD&amp;A expense is as follows (in thousands):</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ind w:left="280"/>
              <w:spacing w:after="0"/>
              <w:rPr>
                <w:sz w:val="20"/>
                <w:szCs w:val="20"/>
                <w:color w:val="auto"/>
              </w:rPr>
            </w:pPr>
            <w:r>
              <w:rPr>
                <w:rFonts w:ascii="Arial" w:cs="Arial" w:eastAsia="Arial" w:hAnsi="Arial"/>
                <w:sz w:val="18"/>
                <w:szCs w:val="18"/>
                <w:b w:val="1"/>
                <w:bCs w:val="1"/>
                <w:color w:val="auto"/>
              </w:rPr>
              <w:t>Year Ended December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DD&amp;A expense</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8"/>
              </w:rPr>
              <w:t>177,742</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65,201</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112,541</w:t>
            </w:r>
          </w:p>
        </w:tc>
        <w:tc>
          <w:tcPr>
            <w:tcW w:w="0" w:type="dxa"/>
            <w:vAlign w:val="bottom"/>
          </w:tcPr>
          <w:p>
            <w:pPr>
              <w:spacing w:after="0"/>
              <w:rPr>
                <w:sz w:val="1"/>
                <w:szCs w:val="1"/>
                <w:color w:val="auto"/>
              </w:rPr>
            </w:pP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DD&amp;A expense per Boe is as follows:</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7"/>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DD&amp;A expense per Boe</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19.89</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increase in DD&amp;A expense is primarily due to the increased production associated with our successful horizontal drilling program and bolt-on acquisitions. The increase in DD&amp;A expense per Boe can be primarily attributed to inflationary pressures and acquisitions, including new leasehold.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 expense.</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00" w:type="dxa"/>
            <w:vAlign w:val="bottom"/>
            <w:gridSpan w:val="6"/>
          </w:tcPr>
          <w:p>
            <w:pPr>
              <w:spacing w:after="0"/>
              <w:rPr>
                <w:sz w:val="20"/>
                <w:szCs w:val="20"/>
                <w:color w:val="auto"/>
              </w:rPr>
            </w:pPr>
            <w:r>
              <w:rPr>
                <w:rFonts w:ascii="Arial" w:cs="Arial" w:eastAsia="Arial" w:hAnsi="Arial"/>
                <w:sz w:val="18"/>
                <w:szCs w:val="18"/>
                <w:color w:val="auto"/>
                <w:w w:val="92"/>
              </w:rPr>
              <w:t>General and administrative expense and stock-based compensation expense are as follows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ind w:left="30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0"/>
              </w:rPr>
              <w:t>12,470</w:t>
            </w: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8,885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550"/>
              <w:spacing w:after="0"/>
              <w:rPr>
                <w:sz w:val="20"/>
                <w:szCs w:val="20"/>
                <w:color w:val="auto"/>
              </w:rPr>
            </w:pPr>
            <w:r>
              <w:rPr>
                <w:rFonts w:ascii="Arial" w:cs="Arial" w:eastAsia="Arial" w:hAnsi="Arial"/>
                <w:sz w:val="18"/>
                <w:szCs w:val="18"/>
                <w:color w:val="auto"/>
                <w:w w:val="90"/>
              </w:rPr>
              <w:t>33,352</w:t>
            </w:r>
          </w:p>
        </w:tc>
        <w:tc>
          <w:tcPr>
            <w:tcW w:w="80" w:type="dxa"/>
            <w:vAlign w:val="bottom"/>
          </w:tcPr>
          <w:p>
            <w:pPr>
              <w:spacing w:after="0"/>
              <w:rPr>
                <w:sz w:val="20"/>
                <w:szCs w:val="20"/>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rPr>
              <w:t>6,676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26,676</w:t>
            </w:r>
          </w:p>
        </w:tc>
        <w:tc>
          <w:tcPr>
            <w:tcW w:w="0" w:type="dxa"/>
            <w:vAlign w:val="bottom"/>
          </w:tcPr>
          <w:p>
            <w:pPr>
              <w:spacing w:after="0"/>
              <w:rPr>
                <w:sz w:val="1"/>
                <w:szCs w:val="1"/>
                <w:color w:val="auto"/>
              </w:rPr>
            </w:pPr>
          </w:p>
        </w:tc>
      </w:tr>
      <w:tr>
        <w:trPr>
          <w:trHeight w:val="418"/>
        </w:trPr>
        <w:tc>
          <w:tcPr>
            <w:tcW w:w="5220" w:type="dxa"/>
            <w:vAlign w:val="bottom"/>
          </w:tcPr>
          <w:p>
            <w:pPr>
              <w:spacing w:after="0"/>
              <w:rPr>
                <w:sz w:val="20"/>
                <w:szCs w:val="20"/>
                <w:color w:val="auto"/>
              </w:rPr>
            </w:pPr>
            <w:r>
              <w:rPr>
                <w:rFonts w:ascii="Arial" w:cs="Arial" w:eastAsia="Arial" w:hAnsi="Arial"/>
                <w:sz w:val="18"/>
                <w:szCs w:val="18"/>
                <w:color w:val="auto"/>
              </w:rPr>
              <w:t>General and administrative expense per Boe is as follows:</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7"/>
          </w:tcPr>
          <w:p>
            <w:pPr>
              <w:ind w:left="22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w w:val="96"/>
              </w:rPr>
              <w:t>% Change</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 per Boe</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1"/>
              </w:rPr>
              <w:t>1.40</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increase in general and administrative expense for the year ended December 31, 2022 is primarily as a result of increased employee count, salary increases and annual bonuses.</w:t>
      </w:r>
    </w:p>
    <w:p>
      <w:pPr>
        <w:spacing w:after="0" w:line="17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increase in noncash stock-based compensation expense is due to restricted stock issued in late 2021 resulting in an entire year of amortization in 2022 compared with a partial year in 2021, additional restricted stock issued in 2022 and other stock option awards that were granted in 2022 which the majority of the stock options vested immediately causing a charge to earnings.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b w:val="1"/>
                <w:bCs w:val="1"/>
                <w:i w:val="1"/>
                <w:iCs w:val="1"/>
                <w:color w:val="auto"/>
              </w:rPr>
              <w:t>Interest expense.</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20" w:type="dxa"/>
            <w:vAlign w:val="bottom"/>
          </w:tcPr>
          <w:p>
            <w:pPr>
              <w:spacing w:after="0"/>
              <w:rPr>
                <w:sz w:val="20"/>
                <w:szCs w:val="20"/>
                <w:color w:val="auto"/>
              </w:rPr>
            </w:pPr>
            <w:r>
              <w:rPr>
                <w:rFonts w:ascii="Arial" w:cs="Arial" w:eastAsia="Arial" w:hAnsi="Arial"/>
                <w:sz w:val="18"/>
                <w:szCs w:val="18"/>
                <w:color w:val="auto"/>
              </w:rPr>
              <w:t>Interest expense is as follows (in thousands):</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10.000% Senior Notes</w:t>
            </w:r>
          </w:p>
        </w:tc>
        <w:tc>
          <w:tcPr>
            <w:tcW w:w="940" w:type="dxa"/>
            <w:vAlign w:val="bottom"/>
            <w:gridSpan w:val="2"/>
            <w:shd w:val="clear" w:color="auto" w:fill="CCEEFF"/>
          </w:tcPr>
          <w:p>
            <w:pPr>
              <w:jc w:val="right"/>
              <w:ind w:right="77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19,625</w:t>
            </w:r>
          </w:p>
        </w:tc>
        <w:tc>
          <w:tcPr>
            <w:tcW w:w="11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19,625</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Interest expense on Credit Agreement</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14,022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12,036</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10.625% Senior Notes</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3,593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Amortization of discounts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7,735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5,635</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5,635</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940" w:type="dxa"/>
            <w:vAlign w:val="bottom"/>
            <w:gridSpan w:val="2"/>
          </w:tcPr>
          <w:p>
            <w:pPr>
              <w:jc w:val="right"/>
              <w:ind w:right="77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50,610</w:t>
            </w:r>
          </w:p>
        </w:tc>
        <w:tc>
          <w:tcPr>
            <w:tcW w:w="11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2,484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48,126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increase in interest expense can be attributed to increased borrowings under the Credit Agreement and the issuance of $225.0 million of the Company’s 10.000% Senior Notes in February 2022 and $250.0 million of the Company’s 10.625% Senior Notes in November and December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b w:val="1"/>
                <w:bCs w:val="1"/>
                <w:i w:val="1"/>
                <w:iCs w:val="1"/>
                <w:color w:val="auto"/>
              </w:rPr>
              <w:t>Derivative loss, net.</w:t>
            </w:r>
          </w:p>
        </w:tc>
        <w:tc>
          <w:tcPr>
            <w:tcW w:w="1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Derivative loss, net is as follows (in thousands):</w:t>
            </w:r>
          </w:p>
        </w:tc>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6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Noncash derivative loss, net</w:t>
            </w:r>
          </w:p>
        </w:tc>
        <w:tc>
          <w:tcPr>
            <w:tcW w:w="25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13,558</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Cash payments on settled derivative instruments, net</w:t>
            </w:r>
          </w:p>
        </w:tc>
        <w:tc>
          <w:tcPr>
            <w:tcW w:w="16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(58,096)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(46,829)</w:t>
            </w:r>
          </w:p>
        </w:tc>
        <w:tc>
          <w:tcPr>
            <w:tcW w:w="0" w:type="dxa"/>
            <w:vAlign w:val="bottom"/>
          </w:tcPr>
          <w:p>
            <w:pPr>
              <w:spacing w:after="0"/>
              <w:rPr>
                <w:sz w:val="1"/>
                <w:szCs w:val="1"/>
                <w:color w:val="auto"/>
              </w:rPr>
            </w:pPr>
          </w:p>
        </w:tc>
      </w:tr>
      <w:tr>
        <w:trPr>
          <w:trHeight w:val="24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Derivative loss, net</w:t>
            </w:r>
          </w:p>
        </w:tc>
        <w:tc>
          <w:tcPr>
            <w:tcW w:w="25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(60,005)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(33,271)</w:t>
            </w:r>
          </w:p>
        </w:tc>
        <w:tc>
          <w:tcPr>
            <w:tcW w:w="0" w:type="dxa"/>
            <w:vAlign w:val="bottom"/>
          </w:tcPr>
          <w:p>
            <w:pPr>
              <w:spacing w:after="0"/>
              <w:rPr>
                <w:sz w:val="1"/>
                <w:szCs w:val="1"/>
                <w:color w:val="auto"/>
              </w:rPr>
            </w:pPr>
          </w:p>
        </w:tc>
      </w:tr>
      <w:tr>
        <w:trPr>
          <w:trHeight w:val="412"/>
        </w:trPr>
        <w:tc>
          <w:tcPr>
            <w:tcW w:w="466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tcPr>
          <w:p>
            <w:pPr>
              <w:jc w:val="right"/>
              <w:ind w:right="510"/>
              <w:spacing w:after="0"/>
              <w:rPr>
                <w:sz w:val="20"/>
                <w:szCs w:val="20"/>
                <w:color w:val="auto"/>
              </w:rPr>
            </w:pPr>
            <w:r>
              <w:rPr>
                <w:rFonts w:ascii="Arial" w:cs="Arial" w:eastAsia="Arial" w:hAnsi="Arial"/>
                <w:sz w:val="18"/>
                <w:szCs w:val="18"/>
                <w:color w:val="auto"/>
              </w:rPr>
              <w:t>65</w:t>
            </w:r>
          </w:p>
        </w:tc>
        <w:tc>
          <w:tcPr>
            <w:tcW w:w="9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757" w:gutter="0" w:footer="0" w:header="0"/>
        </w:sectPr>
      </w:pPr>
    </w:p>
    <w:bookmarkStart w:id="70" w:name="page71"/>
    <w:bookmarkEnd w:id="70"/>
    <w:p>
      <w:pPr>
        <w:jc w:val="both"/>
        <w:ind w:right="260"/>
        <w:spacing w:after="0" w:line="287" w:lineRule="auto"/>
        <w:rPr>
          <w:sz w:val="20"/>
          <w:szCs w:val="20"/>
          <w:color w:val="auto"/>
        </w:rPr>
      </w:pPr>
      <w:r>
        <w:rPr>
          <w:rFonts w:ascii="Arial" w:cs="Arial" w:eastAsia="Arial" w:hAnsi="Arial"/>
          <w:sz w:val="16"/>
          <w:szCs w:val="16"/>
          <w:color w:val="auto"/>
        </w:rPr>
        <w:t>The Company primarily utilizes commodity swap contracts and deferred premium puts to (i) reduce the effect of price volatility on the commodities the Company produces and sells or consumes, (ii) support the Company’s annual capital budget and expenditure plans and (iii) reduce commodity price risk associated with certain capital projects. The Company’s Credit Agreement and the indentures governing the Company’s 10.000% Senior Notes and</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10.625% Senior Notes require the Company to hedge certain quantities of its projected crude oil production which in the case of the Credit Agreement, if its ratio of debt to EBITDAX is greater than a certain ratio. The Company may also, from time to time, utilize interest rate contracts to reduce the effect of interest rate volatility on the Company’s indebtedness. The above mark-to-market loss and cash settlements relate to crude oil and natural gas derivative swap contracts.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b w:val="1"/>
                <w:bCs w:val="1"/>
                <w:i w:val="1"/>
                <w:iCs w:val="1"/>
                <w:color w:val="auto"/>
              </w:rPr>
              <w:t>Income tax expense.</w:t>
            </w:r>
          </w:p>
        </w:tc>
        <w:tc>
          <w:tcPr>
            <w:tcW w:w="1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(in thousands)</w:t>
            </w:r>
          </w:p>
        </w:tc>
        <w:tc>
          <w:tcPr>
            <w:tcW w:w="248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75,361</w:t>
            </w: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16,904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58,457</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change in income tax expense during the year ended December 31, 2022, compared with 2021, was due to increased net income during the year ended December 31, 2022 compared with 2021. The effective income tax rate differs from the statutory rate primarily due to a revision on the deferred tax asset related to certain stock-based compensation and permanent differences between GAAP income and taxable income. See Note 13 of Notes to Consolidated Financial Statements included in “Item 8. Financial Statements and Supplementary Data” in this Annual Report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Liquidity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primary sources of short-term liquidity are (i) cash and cash equivalents, including cash proceeds from our recent $225.0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$25.0 million offerings of 10.625% Senior Notes in November 2022 and December 2022, respectively, (ii) net cash provided by operating activities,</w:t>
      </w:r>
    </w:p>
    <w:p>
      <w:pPr>
        <w:ind w:right="600" w:firstLine="8"/>
        <w:spacing w:after="0" w:line="260" w:lineRule="auto"/>
        <w:tabs>
          <w:tab w:leader="none" w:pos="3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unused borrowing capacity under the Credit Agreement, (iv) on an opportunistic basis, other issuances of debt or equity securities and (v) other sources, such as sales of nonstrategic assets.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short-term and long-term liquidity requirements consist primarily of (i) capital expenditures, (ii) acquisitions of crude oil and natural gas properties, (iii) payments of contractual obligations and (iv) working capital obligations. Funding for these cash needs may be provided by any combination of the Company’s sources of liquidity. Although the Company expects its sources of funding will be adequate to fund its 2023 planned capital expenditures and provide adequate liquidity to fund other needs, no assurance can be given that such funding sources will be adequate to meet the Company’s future needs.</w:t>
      </w:r>
    </w:p>
    <w:p>
      <w:pPr>
        <w:spacing w:after="0" w:line="18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b w:val="1"/>
          <w:bCs w:val="1"/>
          <w:i w:val="1"/>
          <w:iCs w:val="1"/>
          <w:color w:val="auto"/>
        </w:rPr>
        <w:t>2023 capital budget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capital budget for 2023 is expected to be in the range of approximately $1.1 to $1.2 billion for drilling, completion,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and equipping crude oil wells plus $50 to $60 million for field infrastructure buildout and other costs. The 2023 capital budget excludes acquisitions, asset retirement obligations, geological and geophysical general and administrative expenses and corporate facilities. HighPeak Energy expects to fund its forecasted capital expenditures with cash on its balance sheet, cash generated by operations, through borrowings under the Credit Agreement, and, depending on market circumstances, potential future debt or equity offerings. The Company’s capital expenditures for the year ended December 31, 2022 were $1.0 billion, excluding acquisitions.</w:t>
      </w:r>
    </w:p>
    <w:p>
      <w:pPr>
        <w:spacing w:after="0" w:line="19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budget above assumes that the Company will operate an average of four to five (4-5) drilling rigs and an average of two to three (2-3) frac fleets in the Permian Basin during 2023. However, there are many factors and consequences beyond the Company’s control, such as policies of the Biden Administration, economic downturn or potential recession, geo-political risks and additional actions by businesses, OPEC and other cooperating countries, and governments in response to the COVID-19 pandemic, that may have an impact on the Company’s future results and drilling plans. For additional information on the risks, see “Part I, Item 1A. Risk Factors.” Given the dynamic nature of this situation, the Company is maintaining flexibility in its capital plan and will continue to evaluate drilling and completion activity on an economic basis, with future activity levels assessed monthly.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r>
        <w:rPr>
          <w:rFonts w:ascii="Arial" w:cs="Arial" w:eastAsia="Arial" w:hAnsi="Arial"/>
          <w:sz w:val="18"/>
          <w:szCs w:val="18"/>
          <w:i w:val="1"/>
          <w:iCs w:val="1"/>
          <w:color w:val="auto"/>
        </w:rPr>
        <w: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December 31, 2022, the Company had $745.0 million in outstanding borrowings and approximately $252.6 million available to borrow under the Credit Agreement. The Company also had unrestricted cash on hand of $30.5 million as of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investing and financing activities are summarized below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504,014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147,015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356,999</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(1,182,408)</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(250,371)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(932,037)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674,029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118,673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555,356</w:t>
            </w: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4"/>
                <w:szCs w:val="24"/>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71" w:name="page72"/>
    <w:bookmarkEnd w:id="71"/>
    <w:p>
      <w:pPr>
        <w:ind w:right="20"/>
        <w:spacing w:after="0" w:line="272"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The increase in net cash flow provided by operating activities for the year ended December 31, 2022, compared with 2021,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an increase in cash flow from the statement of operations related mostly to increased revenues associated with increased production volumes as a result of our successful horizontal drilling program and to a lesser extent, bolt-on acquisitions, coupled with an increase in accounts payable and accrued liabilities primarily as a result of increased drilling and completion activities, increased operating and general and administrative expenses and increased revenues payable to partners and royalty owners. Partially offsetting this increase was an increase in accounts receivable from the increased crude oil, NGL and natural gas revenues related to increased production volumes in December 2022 versus December 2021 and an increase in the amount of prepaid expenses, inventory and other noncurrent assets related to the Company’s increased drilling program.</w:t>
      </w:r>
    </w:p>
    <w:p>
      <w:pPr>
        <w:spacing w:after="0" w:line="17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increase in net cash used in investing activities for the year ended December 31, 2022, compared with 2021,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additions to crude oil and natural gas properties as the Company significantly increased its drilling and completion program in 2022 compared to 2021. In addition, the Company spent $262.4 million in acquisitions of proved and unproved crude oil and natural gas properties in 2022 compared with $54.0 million in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Company’s significant financing activities are as follows:</w:t>
      </w:r>
    </w:p>
    <w:p>
      <w:pPr>
        <w:spacing w:after="0" w:line="225" w:lineRule="exact"/>
        <w:rPr>
          <w:sz w:val="20"/>
          <w:szCs w:val="20"/>
          <w:color w:val="auto"/>
        </w:rPr>
      </w:pPr>
    </w:p>
    <w:p>
      <w:pPr>
        <w:ind w:left="980" w:right="140" w:hanging="324"/>
        <w:spacing w:after="0" w:line="254"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2022: The Company (i) borrowed $925.0 million and repaid $755.0 million for a net increase in long-term debt related to the Credit Agreement of $170.0 million, (ii) issued an aggregate principal amount of $225.0 million ($210.2 million net of discounts) of its 10.000% Senior Notes and an aggregate principal amount of $250.0 million ($230.0 million net of discounts) of its 10.625% Senior Notes, (iii) received $85.0 million from the issuance of 3,933,376 shares of common stock in a private placement, (iv) received $7.9 million in proceeds from the exercises of warrants and stock options of the Company, (v) paid dividends to its common stockholders of $10.4 million and dividend equivalents to certain holders of vested stock options of $1.2 million and (vi) spent $17.1 million on debt issuance costs related to amendments to increase its borrowing capacity under the Credit Agreement and the issuance of the 10.000% Senior Notes and 10.625% Senior Notes.</w:t>
      </w:r>
    </w:p>
    <w:p>
      <w:pPr>
        <w:spacing w:after="0" w:line="218" w:lineRule="exact"/>
        <w:rPr>
          <w:rFonts w:ascii="Arial" w:cs="Arial" w:eastAsia="Arial" w:hAnsi="Arial"/>
          <w:sz w:val="18"/>
          <w:szCs w:val="18"/>
          <w:color w:val="auto"/>
        </w:rPr>
      </w:pPr>
    </w:p>
    <w:p>
      <w:pPr>
        <w:ind w:left="980" w:right="20" w:hanging="324"/>
        <w:spacing w:after="0" w:line="275"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2021: The Company (i) borrowed $120.0 million and repaid $20.0 million for a net increase in long-term debt of $100.0 million under the Credit Agreement, (ii) received $22.8 million from the issuance of 2,530,000 shares of common stock, net of issuance costs, (iii) received $10.6 million in proceeds from the exercises of warrants and stock options of the Company, (iv) paid dividends to its common stockholders of $11.6 million and dividend equivalents to certain holders of vested stock options of $1.0 million and (v) spent $2.2 million on debt issuance costs related to amendments to increase its borrowing capacity under the Credit Agreement.</w:t>
      </w:r>
    </w:p>
    <w:p>
      <w:pPr>
        <w:spacing w:after="0" w:line="17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exposed to market risk due to the floating interest rate associated with any outstanding balance on the Credit Agreement.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2022, we had a $270.0 million outstanding balance on the Credit Agreement. Our Credit Agreement allows us to fix the interest rate for all or a portion of the principal balance of the Credit Agreement for a period up to three months. To the extent that the interest rate is fixed, interest rate changes will affect the Credit Agreement’s fair value but will not impact results of operations or cash flows. Conversely, for the portion of the Credit Agreement that has a floating interest rate, interest rate changes will not affect the fair value but will impact future results of operations and cash flows. Changes in interest rates do not impact the amount of interest we pay on our fixed-rate 10.000% Senior Notes and 10.625% Senior Notes but can impact their fair values.</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Commodity Price Risk. </w:t>
      </w:r>
      <w:r>
        <w:rPr>
          <w:rFonts w:ascii="Arial" w:cs="Arial" w:eastAsia="Arial" w:hAnsi="Arial"/>
          <w:sz w:val="16"/>
          <w:szCs w:val="16"/>
          <w:color w:val="auto"/>
        </w:rPr>
        <w:t>The prices we receive for our crude oil, NGL and natural gas production directly impact our revenue, profitability, access to</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and future rate of growth. Crude oil, NGL and natural gas prices are subject to unpredictable fluctuations resulting from a variety of factors, including changes in supply and demand and the macroeconomic environment, and seasonal anomalies, all of which are typically beyond our control. The markets for crude oil, NGL and natural gas have been volatile, especially over the last several years. Commodity prices have improved from historic lows in 2020 resulting from the impacts of the COVID-19 pandemic. However, future case surges, outbreaks, COVID-19 virus variants, the potential that current vaccines may be less effective or ineffective against future COVID-19 virus variants, and the risk that large groups of the population may not receive vaccinations against COVID-19, could have further negative impacts on prices. Additionally, commodity prices are subject to heightened levels of uncertainty related to geopolitical issues such as the ongoing armed conflict between Russia and Ukraine. The realized prices we receive for our production also depend on numerous factors that are typically beyond our control. Based on our 2022 sales volumes and excluding the effects on derivatives, a $1.00 per barrel increase (decrease) in the weighted average crude oil price for the year ended December 31, 2022 would have increased (decreased) the Company’s revenues by approximately $7.9 million and a $0.10 per Mcf increase (decrease) in the weighted average natural gas price for the year ended December 31, 2022 would have increased (decreased) the Company’s revenues by approximately $332,000.</w:t>
      </w:r>
    </w:p>
    <w:p>
      <w:pPr>
        <w:spacing w:after="0" w:line="16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enter into commodity derivative contracts to reduce the risk of fluctuations in commodity prices. The fair value of our commodity derivative contracts is largely determined by estimates of the forward curves of the relevant price indices. As of December 31, 2022, a $1.00 increase (decrease) in the forward curves associated with our crude oil commodity derivative instruments would have changed our net derivative positions for these products by approximately $5.0 million.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2" w:name="page73"/>
    <w:bookmarkEnd w:id="72"/>
    <w:p>
      <w:pPr>
        <w:ind w:right="180"/>
        <w:spacing w:after="0" w:line="263"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 Company’s contractual obligations include leases (primarily related to contracted drilling rigs, equipment and office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capital funding obligations and other liabilities. Other joint owners in the properties operated by the Company could incur portions of the costs represented by these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EBITDAX represents net income (loss) before interest expense, interest and other income, income taxes, depletion, depreciation, and amortization, accretion of discount on asset retirement obligations, exploration and abandonment expense, non-cash stock-based compensation expense, derivative gains and losses net of settlements, gains and losses on divestitures and certain other items. EBITDAX excludes certain items we believe affect the comparability of operating results and can exclude items that are generally non-recurring in nature or whose timing and/or amount cannot be reasonably estimated. EBITDAX is a non-GAAP measure that we believe provides useful additional information to investors and analysts, as a performance measure, for analysis of our ability to internally generate funds for exploration, development, acquisitions, and to service debt. We are also subject to financial covenants under our Credit Agreement based on EBITDAX ratios and debt covenants under the indentures governing the 10.000% Senior Notes and 10.625% Senior Notes based on consolidated leverage indebtedness to forward EBITDAX ratios as further described in Note 7 of Notes to Consolidated Financial Statements included in “Item 8. Financial Statements and Supplementary Data.” In addition, EBITDAX is widely used by professional research analysts and others in the valuation, comparison, and investment recommendations of companies in the crude oil and natural gas exploration and production industry, and many investors use the published research of industry research analysts in making investment decisions. EBITDAX should not be considered in isolation or as a substitute for net income (loss), income (loss) from operations, net cash provided by operating activities, or other profitability or liquidity measures prepared under GAAP. Because EBITDAX excludes some, but not all items that affect net income (loss) and may vary among companies, the EBITDAX amounts presented may not be comparable to similar metrics of other companies. The Credit Agreement provides a material source of liquidity for us. Under the terms of our Credit Agreement, the 10.000% Senior Notes and the 10.625% Senior Notes, if we fail to comply with the covenants that establish a maximum permitted ratio of total debt, as defined in the Credit Agreement, to EBITDAX, we would be in default, an event that would prevent us from borrowing under the Credit Agreement and would therefore materially limit a significant source of our liquidity. In addition, if we are in default under the Credit Agreement and are unable to obtain a waiver of that default from our lenders, lenders under that facility and under the indentures governing each series of our outstanding 10.000% Senior Notes and 10.625% Senior Notes, would be entitled to exercise all of their remedies for default.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of our net income (GAAP) to EBITDAX (non-GAAP) for the periods presented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r>
      <w:tr>
        <w:trPr>
          <w:trHeight w:val="210"/>
        </w:trPr>
        <w:tc>
          <w:tcPr>
            <w:tcW w:w="5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8"/>
                <w:szCs w:val="18"/>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236,854</w:t>
            </w:r>
          </w:p>
        </w:tc>
        <w:tc>
          <w:tcPr>
            <w:tcW w:w="10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55,559</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Interest expense</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50,610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2,484</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Income tax expense</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75,361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16,904</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Depletion, depreciation and amortization</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177,742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65,201</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Accretion of discount</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167</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Exploration and abandonment expense</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1,549</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33,352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6,676</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Derivative related noncash activity</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15,467</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 expense</w:t>
            </w:r>
          </w:p>
        </w:tc>
        <w:tc>
          <w:tcPr>
            <w:tcW w:w="24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w:t>
            </w:r>
          </w:p>
        </w:tc>
      </w:tr>
      <w:tr>
        <w:trPr>
          <w:trHeight w:val="22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EBITDAX</w:t>
            </w:r>
          </w:p>
        </w:tc>
        <w:tc>
          <w:tcPr>
            <w:tcW w:w="34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577,081</w:t>
            </w:r>
          </w:p>
        </w:tc>
        <w:tc>
          <w:tcPr>
            <w:tcW w:w="10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164,173</w:t>
            </w:r>
          </w:p>
        </w:tc>
      </w:tr>
      <w:tr>
        <w:trPr>
          <w:trHeight w:val="20"/>
        </w:trPr>
        <w:tc>
          <w:tcPr>
            <w:tcW w:w="536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prepares its consolidated financial statements for inclusion in this Annual Report in accordance with GAAP. See Note 2 of Notes to Consolidated Financial Statements included in “Item 8. Financial Statements and Supplementary Data” in this Annual Report for additional information. The following is a discussion of the Company’s most critical accounting estimates, judgments and uncertainties that are inherent in the Company’s application of GAAP.</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i w:val="1"/>
          <w:iCs w:val="1"/>
          <w:color w:val="auto"/>
        </w:rPr>
        <w:t xml:space="preserve">Successful efforts method of accounting. </w:t>
      </w:r>
      <w:r>
        <w:rPr>
          <w:rFonts w:ascii="Arial" w:cs="Arial" w:eastAsia="Arial" w:hAnsi="Arial"/>
          <w:sz w:val="17"/>
          <w:szCs w:val="17"/>
          <w:color w:val="auto"/>
        </w:rPr>
        <w:t>The Company utilizes the successful efforts method of accounting for crude oil and natural gas producing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activities as opposed to the alternate acceptable full cost method. In general, the Company believes that net assets and net income are more conservatively measured under the successful efforts method of accounting for crude oil and natural gas producing activities than under the full cost method, particularly during periods of active exploration. The critical difference between the successful efforts method of accounting and the full cost method is that under the successful efforts method, exploratory dry holes and geological and geophysical exploration costs are charged against earnings during the periods in which they occur; whereas, under the full cost method of accounting, such costs and expenses are capitalized as assets, pooled with the costs of successful wells and charged against the earnings of future periods as a component of DD&amp;A expense.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3" w:name="page74"/>
    <w:bookmarkEnd w:id="73"/>
    <w:p>
      <w:pPr>
        <w:ind w:right="240"/>
        <w:spacing w:after="0" w:line="277" w:lineRule="auto"/>
        <w:rPr>
          <w:sz w:val="20"/>
          <w:szCs w:val="20"/>
          <w:color w:val="auto"/>
        </w:rPr>
      </w:pPr>
      <w:r>
        <w:rPr>
          <w:rFonts w:ascii="Arial" w:cs="Arial" w:eastAsia="Arial" w:hAnsi="Arial"/>
          <w:sz w:val="18"/>
          <w:szCs w:val="18"/>
          <w:b w:val="1"/>
          <w:bCs w:val="1"/>
          <w:i w:val="1"/>
          <w:iCs w:val="1"/>
          <w:color w:val="auto"/>
        </w:rPr>
        <w:t xml:space="preserve">Proved reserve estimates. </w:t>
      </w:r>
      <w:r>
        <w:rPr>
          <w:rFonts w:ascii="Arial" w:cs="Arial" w:eastAsia="Arial" w:hAnsi="Arial"/>
          <w:sz w:val="18"/>
          <w:szCs w:val="18"/>
          <w:color w:val="auto"/>
        </w:rPr>
        <w:t>Estimates of the Company’s proved reserves included in this Annual Report are prepared in accordance with GAAP and SEC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guidelines. The accuracy of a reserve estimate is a function of:</w:t>
      </w:r>
    </w:p>
    <w:p>
      <w:pPr>
        <w:spacing w:after="0" w:line="17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quality and quantity of available data;</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interpretation of that data;</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accuracy of various mandated economic assumptions;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judgment of the persons preparing the estimate.</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proved reserve information included in this Annual Report as of December 31, 2022, 2021 and 2020 was prepared by independent petroleum engineers. Because these estimates depend on many assumptions, all of which may substantially differ from future actual results, proved reserve estimates will be different from the quantities of crude oil and natural gas that are ultimately recovered. In addition, results of drilling, testing and production after the date of an estimate may justify material revisions, positively or negatively, to the estimate of proved reserves. For the year ended December 31, 2022 and 2021 and periods from August 22, 2020 through December 31, 2020 and January 1, 2020 through August 21, 2020, net downward revisions of our proved reserves totaled approximately 9,211 MBoe, 1,658 MBoe, 1,603 MBoe and 2,120 MBoe, respectively. We cannot predict the amounts or timing of future reserve revisions or removals.</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It should not be assumed that the standardized measure included in this Annual Report as of December 31, 2022 is the current market value of the Company’s estimated proved reserves. In accordance with SEC requirements, the Company based the 2022 standardized measure on a twelve-month average of commodity prices on the first day of each month in 2022 and prevailing costs on the date of the estimate. Actual future prices and costs may be materially higher or lower than the prices and costs utilized in the estimate. See “Items 1 and 2. Business and Properties” and Unaudited Supplementary Data included in “Item 8. Financial Statements and Supplementary Data” for additional information.</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estimates of proved reserves materially impact DD&amp;A expense. If the estimates of proved reserves decline, the rate at which the Company records DD&amp;A expense will increase, reducing future net income. Such a decline may result from lower commodity prices, which may make it uneconomical to drill for and produce higher cost fields. In addition, a decline in proved reserve estimates may impact the outcome of the Company’s assessment of its proved properties for impairment.</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i w:val="1"/>
          <w:iCs w:val="1"/>
          <w:color w:val="auto"/>
        </w:rPr>
        <w:t xml:space="preserve">Impairment of proved crude oil and natural gas properties. </w:t>
      </w:r>
      <w:r>
        <w:rPr>
          <w:rFonts w:ascii="Arial" w:cs="Arial" w:eastAsia="Arial" w:hAnsi="Arial"/>
          <w:sz w:val="17"/>
          <w:szCs w:val="17"/>
          <w:color w:val="auto"/>
        </w:rPr>
        <w:t>The Company reviews its proved properties to be held and used whenever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determines that events or circumstances indicate that the recorded carrying value of the properties may not be recoverable. Management assesses whether or not an impairment provision is necessary based upon estimated future recoverable proved and risk-adjusted probable and possible reserves, management's price outlooks, production and capital costs expected to be incurred to recover the reserves, discount rates commensurate with the nature of the properties and net cash flows that may be generated by the properties. Proved crude oil and natural gas properties are reviewed for impairment at the level at which depletion of proved properties is calculated. See Note 2 of Notes to Consolidated Financial Statements included in “Item 8. Financial Statements and Supplementary Data” for additional information.</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Impairment of unproved crude oil and natural gas properties. </w:t>
      </w:r>
      <w:r>
        <w:rPr>
          <w:rFonts w:ascii="Arial" w:cs="Arial" w:eastAsia="Arial" w:hAnsi="Arial"/>
          <w:sz w:val="18"/>
          <w:szCs w:val="18"/>
          <w:color w:val="auto"/>
        </w:rPr>
        <w:t>At December 31, 2022, the Company carried unproved property costs of $114.7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assesses unproved crude oil and natural gas properties for impairment on a project-by-project basis. Management's impairment assessments include evaluating the results of exploration activities, management's price outlooks and planned future sales or expiration of all or a portion of such projects.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Suspended wells. </w:t>
      </w:r>
      <w:r>
        <w:rPr>
          <w:rFonts w:ascii="Arial" w:cs="Arial" w:eastAsia="Arial" w:hAnsi="Arial"/>
          <w:sz w:val="18"/>
          <w:szCs w:val="18"/>
          <w:color w:val="auto"/>
        </w:rPr>
        <w:t>The Company suspends the costs of exploratory wells that discover hydrocarbons pending a final determination of the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 of the discovery. The ultimate disposition of these well costs is dependent on the results of future drilling activity and development decisions. If the Company decides not to pursue additional appraisal activities or development of these fields, the costs of these wells will be charged to exploration and abandonment expense.</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does not carry the costs of drilling an exploratory well as an asset in its consolidated balance sheets following the completion of drilling unless both of the following conditions are met:</w:t>
      </w:r>
    </w:p>
    <w:p>
      <w:pPr>
        <w:spacing w:after="0" w:line="170"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well has found a sufficient quantity of reserves to justify its completion as a producing well;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is making sufficient progress assessing the reserves and the economic and operating viability of the project.</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74" w:name="page75"/>
    <w:bookmarkEnd w:id="74"/>
    <w:p>
      <w:pPr>
        <w:ind w:right="20"/>
        <w:spacing w:after="0" w:line="271" w:lineRule="auto"/>
        <w:rPr>
          <w:sz w:val="20"/>
          <w:szCs w:val="20"/>
          <w:color w:val="auto"/>
        </w:rPr>
      </w:pPr>
      <w:r>
        <w:rPr>
          <w:rFonts w:ascii="Arial" w:cs="Arial" w:eastAsia="Arial" w:hAnsi="Arial"/>
          <w:sz w:val="17"/>
          <w:szCs w:val="17"/>
          <w:color w:val="auto"/>
        </w:rPr>
        <w:t>Due to the capital-intensive nature and the geographical location of certain projects, it may take an extended period of time to evaluate the future potential of an exploration project and economics associated with making a determination of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transportation or processing facilities and/or getting partner approval to drill additional appraisal wells. These activities are ongoing and being pursued constantly. Consequently, the Company's assessment of suspended exploratory well costs is continuous until a decision can be made that the well has found sufficient quantities of proved reserves to sanction the project or is determined to be noncommercial and is impaired. See Note 6 of Notes to Consolidated Financial Statements included in "Item 8. Financial Statements and Supplementary Data" for additional information.</w:t>
      </w:r>
    </w:p>
    <w:p>
      <w:pPr>
        <w:spacing w:after="0" w:line="17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i w:val="1"/>
          <w:iCs w:val="1"/>
          <w:color w:val="auto"/>
        </w:rPr>
        <w:t xml:space="preserve">Asset retirement obligations. </w:t>
      </w:r>
      <w:r>
        <w:rPr>
          <w:rFonts w:ascii="Arial" w:cs="Arial" w:eastAsia="Arial" w:hAnsi="Arial"/>
          <w:sz w:val="16"/>
          <w:szCs w:val="16"/>
          <w:color w:val="auto"/>
        </w:rPr>
        <w:t>The Company has significant obligations to remove tangible equipment and facilities and to restore the land at the end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crude oil and natural gas production operations. The Company's removal and restoration obligations are primarily associated with plugging and abandoning wells. Estimating the future restoration and removal costs is difficult and requires management to make estimates and judgments because most of the removal obligations are many years in the future and contracts and regulations often have vague descriptions of what constitutes removal. Asset removal technologies and costs are constantly changing, as are regulatory, political, environmental, safety and public relations considerations.</w:t>
      </w:r>
    </w:p>
    <w:p>
      <w:pPr>
        <w:spacing w:after="0" w:line="1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Inherent in the present value calculation are numerous assumptions and judgments including the ultimate settlement amounts, credit-adjusted discount rates, timing of settlement and changes in the legal, regulatory, environmental and political environments. To the extent future revisions to these assumptions impact the present value of the existing asset retirement obligations, a corresponding adjustment is generally made to the crude oil and natural gas property or other property and equipment balance. See Note 8 of Notes to Consolidated Financial Statements included in "Item 8. Financial Statements and Supplementary Data" for additional information.</w:t>
      </w:r>
    </w:p>
    <w:p>
      <w:pPr>
        <w:spacing w:after="0" w:line="18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 xml:space="preserve">Deferred tax asset valuation allowances. </w:t>
      </w:r>
      <w:r>
        <w:rPr>
          <w:rFonts w:ascii="Arial" w:cs="Arial" w:eastAsia="Arial" w:hAnsi="Arial"/>
          <w:sz w:val="18"/>
          <w:szCs w:val="18"/>
          <w:color w:val="auto"/>
        </w:rPr>
        <w:t>The Company continually assesses both positive and negative evidence to determine whether it is more likely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not that its deferred tax assets will be realized prior to their expiration. HighPeak Energy monitors Company-specific, crude oil and natural gas industry and worldwide economic factors and based on that information, along with other data, reassesses the likelihood that the Company's net operating loss carryforwards and other deferred tax attributes in each jurisdiction will be utilized prior to their expiration. There can be no assurance that facts and circumstances will not materially change and require the Company to establish deferred tax asset valuation allowances in certain jurisdictions in a future period.</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i w:val="1"/>
          <w:iCs w:val="1"/>
          <w:color w:val="auto"/>
        </w:rPr>
        <w:t xml:space="preserve">Uncertain tax positions. </w:t>
      </w:r>
      <w:r>
        <w:rPr>
          <w:rFonts w:ascii="Arial" w:cs="Arial" w:eastAsia="Arial" w:hAnsi="Arial"/>
          <w:sz w:val="16"/>
          <w:szCs w:val="16"/>
          <w:color w:val="auto"/>
        </w:rPr>
        <w:t>The Company recognizes the tax benefit from an uncertain tax position only if it is more likely than not that the tax position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sustained upon examination by the taxing authorities, based upon the technical merits of the position. If all or a portion of the unrecognized tax benefits is sustained upon examination by the taxing authorities, the tax benefit will be recorded as a reduction to the Company's deferred tax liability and will affect the Company's effective tax rate in the period it is recorded. As of December 2022, the Company did not have any unrecognized tax benefits. See Note 13 of Notes to Consolidated Financial Statements included in "Item 8. Financial Statements and Supplementary Data" for additional information.</w:t>
      </w:r>
    </w:p>
    <w:p>
      <w:pPr>
        <w:spacing w:after="0" w:line="16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Litigation and environmental contingencies. </w:t>
      </w:r>
      <w:r>
        <w:rPr>
          <w:rFonts w:ascii="Arial" w:cs="Arial" w:eastAsia="Arial" w:hAnsi="Arial"/>
          <w:sz w:val="16"/>
          <w:szCs w:val="16"/>
          <w:color w:val="auto"/>
        </w:rPr>
        <w:t>The Company makes judgments and estimates in recording liabilities for ongoing litigation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environmental remediation. Actual costs can vary from such estimates for a variety of reasons. The costs to settle litigation can vary from estimates based on differing interpretations of laws and opinions and assessments of the amount of damages. Similarly, environmental remediation liabilities are subject to change because of changes in laws and regulations, developing information relating to the extent and nature of site contamination and improvements in technology. A liability is recorded for these types of contingencies if the Company determines the loss to be both probable and reasonably estimable. See Note 10 of Notes to Consolidated Financial Statements included in "Item 8. Financial Statements and Supplementary Data" for additional information.</w:t>
      </w:r>
    </w:p>
    <w:p>
      <w:pPr>
        <w:spacing w:after="0" w:line="1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Valuation of stock-based compensation. </w:t>
      </w:r>
      <w:r>
        <w:rPr>
          <w:rFonts w:ascii="Arial" w:cs="Arial" w:eastAsia="Arial" w:hAnsi="Arial"/>
          <w:sz w:val="18"/>
          <w:szCs w:val="18"/>
          <w:color w:val="auto"/>
        </w:rPr>
        <w:t>The Company calculates the fair value of stock-based compensation using various valuation methods.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valuation methods require the use of estimates to derive the inputs necessary to determine fair value. The Company utilizes (i) the Black-Scholes option pricing model to measure the fair value of stock options, and (ii) the closing stock price on the date of grant for the fair value of unrestricted and restricted stock awards. See Note 9 of Notes to Consolidated Financial Statements included in "Item 8. Financial Statements and Supplementary Data" for additional information.</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Valuation of other assets and liabilities at fair value. </w:t>
      </w:r>
      <w:r>
        <w:rPr>
          <w:rFonts w:ascii="Arial" w:cs="Arial" w:eastAsia="Arial" w:hAnsi="Arial"/>
          <w:sz w:val="17"/>
          <w:szCs w:val="17"/>
          <w:color w:val="auto"/>
        </w:rPr>
        <w:t>The Company periodically measures and records certain assets and liabilities at fair value. The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liabilities the Company measures and records at fair value on a recurring basis include commodity derivative contracts and interest rate contracts. Other assets are not measured at fair value on an ongoing basis but are subject to fair value adjustments in certain circumstances. The assets and liabilities the Company measures and records at fair value on a nonrecurring basis include inventories, proved and unproved crude oil and natural gas properties and other long-lived assets that are written down to fair value when they are determined to be impaired or held for sale. The Company also measures and discloses certain financial assets and liabilities at fair value, such as long-term debt. The valuation methods used by the Company to measure the fair values of these assets and liabilities may require considerable management judgment and estimates to derive the inputs necessary to determine fair value estimates, such as future prices, credit-adjusted risk-free rates and current volatility factors. See Note 4 of Notes to Consolidated Financial Statements included in "Item 8. Financial Statements and Supplementary Data"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effects of new accounting pronouncements are discussed in Note 2 of Notes to Consolidated Financial Statements included in “Item 8. Financial Statements and Supplementary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Commitments and Contingencies are discussed in Note 10 of Notes to Consolidated Financial Statements included in “Item 8. Financial Statements and Supplementary Data.”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01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spacing w:after="0" w:line="1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period from January 1, 2018 through December 31, 2022, the calendar month average NYMEX WTI crude oil price per Bbl ranged from a low of $16.70 to a high of $114.34, and the last trading day NYMEX natural gas price per MMBtu ranged from a low of $1.50 to a high of $9.35. For the month of April 2020, the calendar month average NYMEX WTI crude oil price was $16.70 per Bbl and the last trading day NYMEX natural gas price was $1.63 per MMBtu. A $1.00 per barrel increase (decrease) in the weighted average crude oil price for the year ended December 31, 2022 would have increased (decreased) the Company’s revenues by approximately $7.9 million, excluding the effects of derivatives, and a $0.10 per Mcf increase (decrease) in the weighted average natural gas price for the year ended December 31, 2022 would have increased (decreased) the Company’s revenues by approximately $332,000, excluding the effects of derivatives.</w:t>
      </w:r>
    </w:p>
    <w:p>
      <w:pPr>
        <w:spacing w:after="0" w:line="19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Due to this volatility, the Company uses commodity derivative instruments, such as collars, puts and swaps, to hedge price risk associated with a portion of anticipated production. These hedging instruments allow the Company to reduce, but not eliminate, the potential effects of the variability in cash flow from operations due to fluctuations in crude oil and natural gas prices, provide increased certainty of cash flows for its drilling program and protect the Credit Agreement borrowing base. These instruments provide only partial price protection against declines in crude oil and natural gas prices and may partially limit the Company’s potential gains from future increases in prices. The Company enters into hedging arrangements to protect its capital expenditure budget and to protect its Credit Agreement borrowing base. The Company’s Credit Agreement and the indentures governing the Company’s 10.000% Senior Notes and 10.625% Senior Notes require the Company to hedge certain quantities of its projected crude oil production, in the case of the Credit Agreement, if its ratio of debt to EBITDAX is greater than a certain ratio. The Company does not enter into any commodity derivative instruments, including derivatives, for speculative or trading purposes.</w:t>
      </w:r>
    </w:p>
    <w:p>
      <w:pPr>
        <w:spacing w:after="0" w:line="181"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b w:val="1"/>
          <w:bCs w:val="1"/>
          <w:i w:val="1"/>
          <w:iCs w:val="1"/>
          <w:color w:val="auto"/>
        </w:rPr>
        <w:t xml:space="preserve">Counterparty and Customer Credit Risk. </w:t>
      </w:r>
      <w:r>
        <w:rPr>
          <w:rFonts w:ascii="Arial" w:cs="Arial" w:eastAsia="Arial" w:hAnsi="Arial"/>
          <w:sz w:val="16"/>
          <w:szCs w:val="16"/>
          <w:color w:val="auto"/>
        </w:rPr>
        <w:t>The Company’s derivative contracts, if any, expose it to credit risk in the event of nonperformance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counterparties. It is anticipated that if the Company enters into any commodity contracts, the collateral for the outstanding borrowings under the Credit Agreement may be used as collateral for the Company’s commodity derivatives. The Company evaluates the credit standing of its counterparties as it deems appropriate. It is anticipated that any counterparties to HighPeak Energy’s derivative contracts would have investment grade ratings.</w:t>
      </w:r>
    </w:p>
    <w:p>
      <w:pPr>
        <w:spacing w:after="0" w:line="15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Company’s principal exposures to credit risk are through receivables from the sale of crude oil and natural gas production due to the concentration of its crude oil and natural gas receivables with a few significant customers. The inability or failure of the Company’s significant customers to meet their obligations to the Company or their insolvency or liquidation may adversely affect the Company’s financial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average forward prices based on December 31, 2022 market quotes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Year Ending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Year Ending</w:t>
            </w:r>
          </w:p>
        </w:tc>
      </w:tr>
      <w:tr>
        <w:trPr>
          <w:trHeight w:val="216"/>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2024</w:t>
            </w: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Average forward NYMEX crude oil price per Bbl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78.96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73.90</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Average forward NYMEX natural gas price per MMBtu</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4.27</w:t>
            </w:r>
          </w:p>
        </w:tc>
      </w:tr>
      <w:tr>
        <w:trPr>
          <w:trHeight w:val="418"/>
        </w:trPr>
        <w:tc>
          <w:tcPr>
            <w:tcW w:w="7840" w:type="dxa"/>
            <w:vAlign w:val="bottom"/>
            <w:gridSpan w:val="3"/>
          </w:tcPr>
          <w:p>
            <w:pPr>
              <w:spacing w:after="0"/>
              <w:rPr>
                <w:sz w:val="20"/>
                <w:szCs w:val="20"/>
                <w:color w:val="auto"/>
              </w:rPr>
            </w:pPr>
            <w:r>
              <w:rPr>
                <w:rFonts w:ascii="Arial" w:cs="Arial" w:eastAsia="Arial" w:hAnsi="Arial"/>
                <w:sz w:val="18"/>
                <w:szCs w:val="18"/>
                <w:color w:val="auto"/>
              </w:rPr>
              <w:t>The average forward purchase prices based on March 2, 2022 market quotes were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4"/>
        </w:trPr>
        <w:tc>
          <w:tcPr>
            <w:tcW w:w="6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Year Ending</w:t>
            </w:r>
          </w:p>
        </w:tc>
      </w:tr>
      <w:tr>
        <w:trPr>
          <w:trHeight w:val="216"/>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Remainder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2023</w:t>
            </w: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Average forward NYMEX crude oil price per Bbl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72.62</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Average forward NYMEX natural gas price per MMBtu</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3.81</w:t>
            </w:r>
          </w:p>
        </w:tc>
      </w:tr>
    </w:tbl>
    <w:p>
      <w:pPr>
        <w:spacing w:after="0" w:line="1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 xml:space="preserve">Credit risk. </w:t>
      </w:r>
      <w:r>
        <w:rPr>
          <w:rFonts w:ascii="Arial" w:cs="Arial" w:eastAsia="Arial" w:hAnsi="Arial"/>
          <w:sz w:val="17"/>
          <w:szCs w:val="17"/>
          <w:color w:val="auto"/>
        </w:rPr>
        <w:t>The Company's primary concentration of credit risk is associated with (i) the collection of receivables resulting from the sale of crude oil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natural gas production and (ii) the risk of a counterparty's failure to meet its obligations under derivative contracts with the Company.</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monitors exposure to counterparties primarily by reviewing credit ratings, financial criteria and payment history. Where appropriate, the Company obtains assurances of payment, such as a guarantee by the parent company of the counterparty or other credit support. The Company's crude oil and natural gas is sold to various purchasers who must be prequalified under the Company's credit risk policies and procedures. Historically, the Company's credit losses on crude oil and natural gas receivables have not been material.</w:t>
      </w:r>
    </w:p>
    <w:p>
      <w:pPr>
        <w:spacing w:after="0" w:line="18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spacing w:after="0" w:line="18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i w:val="1"/>
          <w:iCs w:val="1"/>
          <w:color w:val="auto"/>
        </w:rPr>
        <w:t xml:space="preserve">Interest Rate Risk. </w:t>
      </w:r>
      <w:r>
        <w:rPr>
          <w:rFonts w:ascii="Arial" w:cs="Arial" w:eastAsia="Arial" w:hAnsi="Arial"/>
          <w:sz w:val="16"/>
          <w:szCs w:val="16"/>
          <w:color w:val="auto"/>
        </w:rPr>
        <w:t>At December 31, 2022, we had $270 million outstanding under the Credit Agreement and $252.6 million of available borrowing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capacity. The Company is subject to interest rate risk on its variable rate debt from our Credit Agreement. The Company also has fixed rate debt but does not currently utilize derivative instruments to manage the economic effect of changes in interest rates. The impact of a 1% increase in interest rates on our outstanding debt as of December 31, 2022 would have resulted in an annual increase in interest expense of approximately $2.0 million.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335"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080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5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Balance Sheets as of December 31, 2022 and 2021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Consolidated Statements of Operations for the Years Ended December 31, 2022 and 2021, the Period from August 22, 2020 through December 31,</w:t>
            </w:r>
          </w:p>
        </w:tc>
        <w:tc>
          <w:tcPr>
            <w:tcW w:w="4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and the Period from January 1, 2020 through August 21, 2020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Consolidated Statements of Changes in Stockholders’ Equity for the Years Ended December 31, 2022 and 2021 and the Period from August 22,</w:t>
            </w:r>
          </w:p>
        </w:tc>
        <w:tc>
          <w:tcPr>
            <w:tcW w:w="4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through December 31, 2020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Changes in Partners’ Capital for the Period from January 1, 2020 through August 21, 2020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Consolidated Statements of Cash Flows for the Years Ended December 31, 2022 and 2021, the Period from August 22, 2020 through December 31,</w:t>
            </w:r>
          </w:p>
        </w:tc>
        <w:tc>
          <w:tcPr>
            <w:tcW w:w="4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and the Period from January 1, 2020 through August 21, 2020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Unaudited Supplementary Data</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800" w:type="dxa"/>
            <w:vAlign w:val="bottom"/>
            <w:gridSpan w:val="2"/>
          </w:tcPr>
          <w:p>
            <w:pPr>
              <w:ind w:left="5540"/>
              <w:spacing w:after="0"/>
              <w:rPr>
                <w:sz w:val="20"/>
                <w:szCs w:val="20"/>
                <w:color w:val="auto"/>
              </w:rPr>
            </w:pPr>
            <w:r>
              <w:rPr>
                <w:rFonts w:ascii="Arial" w:cs="Arial" w:eastAsia="Arial" w:hAnsi="Arial"/>
                <w:sz w:val="18"/>
                <w:szCs w:val="18"/>
                <w:color w:val="auto"/>
              </w:rPr>
              <w:t>72</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8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77" w:name="page78"/>
    <w:bookmarkEnd w:id="77"/>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HighPeak Energy,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audited the accompanying consolidated balance sheets of HighPeak Energy, Inc. and its subsidiaries (the Company) as of December 31, 2022 and 2021 (Successor Company), and the related consolidated statements of operations, changes in stockholders’ equity, and cash flows for the years ended December 31, 2022 and 2021 and the period from August 22, 2020 through December 31, 2020 (Successor Company), and the consolidated statements of operations, changes in partners’ capital, and cash flows for the period from January 1, 2020 through August 21, 2020 (Predecessor Company),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the years ended December 31, 2022 and 2021 and the period from August 22, 2020 through December 31, 2020 (Successor Company) and the period from January 1, 2020 through August 21, 2020 (Predecessor Company), in conformity with accounting principles generally accepted in the United States of America.</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6, 2023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2021</w:t>
            </w:r>
          </w:p>
        </w:tc>
      </w:tr>
      <w:tr>
        <w:trPr>
          <w:trHeight w:val="209"/>
        </w:trPr>
        <w:tc>
          <w:tcPr>
            <w:tcW w:w="800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30,504</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34,869</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96,596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39,378</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13,275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3,304</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7,154</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Derivatives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2,199</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Deposits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r>
      <w:tr>
        <w:trPr>
          <w:trHeight w:val="209"/>
        </w:trPr>
        <w:tc>
          <w:tcPr>
            <w:tcW w:w="8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144,525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86,954</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Crude oil and natural gas properties, using the successful efforts method of accounting:</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Proved properties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2,270,236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699,701</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Unproved properties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114,665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108,392</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Accumulated depletion, depreciation and amortization</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(259,962)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(82,478)</w:t>
            </w:r>
          </w:p>
        </w:tc>
      </w:tr>
      <w:tr>
        <w:trPr>
          <w:trHeight w:val="209"/>
        </w:trPr>
        <w:tc>
          <w:tcPr>
            <w:tcW w:w="8000" w:type="dxa"/>
            <w:vAlign w:val="bottom"/>
          </w:tcPr>
          <w:p>
            <w:pPr>
              <w:ind w:left="820"/>
              <w:spacing w:after="0"/>
              <w:rPr>
                <w:sz w:val="20"/>
                <w:szCs w:val="20"/>
                <w:color w:val="auto"/>
              </w:rPr>
            </w:pPr>
            <w:r>
              <w:rPr>
                <w:rFonts w:ascii="Arial" w:cs="Arial" w:eastAsia="Arial" w:hAnsi="Arial"/>
                <w:sz w:val="18"/>
                <w:szCs w:val="18"/>
                <w:color w:val="auto"/>
              </w:rPr>
              <w:t>Total crude oil and natural gas properties, net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2,124,939</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725,615</w:t>
            </w: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property and equipment, net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6,431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4,791</w:t>
            </w:r>
          </w:p>
        </w:tc>
      </w:tr>
      <w:tr>
        <w:trPr>
          <w:trHeight w:val="24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2,279,482</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818,960</w:t>
            </w:r>
          </w:p>
        </w:tc>
      </w:tr>
      <w:tr>
        <w:trPr>
          <w:trHeight w:val="197"/>
        </w:trPr>
        <w:tc>
          <w:tcPr>
            <w:tcW w:w="8000" w:type="dxa"/>
            <w:vAlign w:val="bottom"/>
            <w:tcBorders>
              <w:top w:val="single" w:sz="8" w:color="CCEEFF"/>
            </w:tcBorders>
          </w:tcPr>
          <w:p>
            <w:pPr>
              <w:ind w:left="1980"/>
              <w:spacing w:after="0" w:line="196" w:lineRule="exact"/>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Accounts payable – trade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105,565</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38,144</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capital expenditures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91,842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26,106</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Derivatives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16,702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13,591</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Revenues and royalties payable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7,502</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Other accrued liabilities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15,600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6,124</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interest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Advances from joint interest owners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7,302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10,841</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r>
      <w:tr>
        <w:trPr>
          <w:trHeight w:val="210"/>
        </w:trPr>
        <w:tc>
          <w:tcPr>
            <w:tcW w:w="8000" w:type="dxa"/>
            <w:vAlign w:val="bottom"/>
          </w:tcPr>
          <w:p>
            <w:pPr>
              <w:ind w:left="82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266,129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103,000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Long-term debt, net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704,349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97,929</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131,164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55,802</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Asset retirement obligations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4,260</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Derivatives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4,075</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2"/>
        </w:trPr>
        <w:tc>
          <w:tcPr>
            <w:tcW w:w="800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w w:val="95"/>
              </w:rPr>
              <w:t>Preferred stock, $0.0001 par value, 10,000,000 shares authorized, none issued and outstanding at</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December 31, 2022 and 2021</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ind w:left="500"/>
              <w:spacing w:after="0" w:line="201" w:lineRule="exact"/>
              <w:rPr>
                <w:sz w:val="20"/>
                <w:szCs w:val="20"/>
                <w:color w:val="auto"/>
              </w:rPr>
            </w:pPr>
            <w:r>
              <w:rPr>
                <w:rFonts w:ascii="Arial" w:cs="Arial" w:eastAsia="Arial" w:hAnsi="Arial"/>
                <w:sz w:val="18"/>
                <w:szCs w:val="18"/>
                <w:color w:val="auto"/>
                <w:w w:val="96"/>
              </w:rPr>
              <w:t>Common stock, $0.0001 par value, 600,000,000 shares authorized, 113,165,027 and 96,774,185</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rPr>
              <w:t>shares issued and outstanding at December 31, 2022 and 2021, respectively</w:t>
            </w:r>
          </w:p>
        </w:tc>
        <w:tc>
          <w:tcPr>
            <w:tcW w:w="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1,008,896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617,489</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Retained earnings (accumulated deficit)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160,740</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(64,436)</w:t>
            </w:r>
          </w:p>
        </w:tc>
      </w:tr>
      <w:tr>
        <w:trPr>
          <w:trHeight w:val="210"/>
        </w:trPr>
        <w:tc>
          <w:tcPr>
            <w:tcW w:w="8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1,169,647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553,063</w:t>
            </w: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2,279,482</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818,960</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August 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January 1,</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4"/>
            <w:vMerge w:val="restart"/>
          </w:tcPr>
          <w:p>
            <w:pPr>
              <w:jc w:val="right"/>
              <w:ind w:right="270"/>
              <w:spacing w:after="0"/>
              <w:rPr>
                <w:sz w:val="20"/>
                <w:szCs w:val="20"/>
                <w:color w:val="auto"/>
              </w:rPr>
            </w:pPr>
            <w:r>
              <w:rPr>
                <w:rFonts w:ascii="Arial" w:cs="Arial" w:eastAsia="Arial" w:hAnsi="Arial"/>
                <w:sz w:val="18"/>
                <w:szCs w:val="18"/>
                <w:b w:val="1"/>
                <w:bCs w:val="1"/>
                <w:color w:val="auto"/>
                <w:w w:val="93"/>
              </w:rPr>
              <w:t>Year Ended December 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through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21"/>
        </w:trPr>
        <w:tc>
          <w:tcPr>
            <w:tcW w:w="4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August 21,</w:t>
            </w: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7"/>
              </w:rPr>
              <w:t>Successor</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Crude oil sales</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715,469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210,453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15,988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8,069</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NGL and natural gas sales</w:t>
            </w:r>
          </w:p>
        </w:tc>
        <w:tc>
          <w:tcPr>
            <w:tcW w:w="15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40,217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9,671</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9"/>
        </w:trPr>
        <w:tc>
          <w:tcPr>
            <w:tcW w:w="424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1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755,686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220,124</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16,400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8,223</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Crude oil and natural gas production</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69,599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25,053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ad valorem taxes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Exploration and abandonments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Depletion, depreciation and amortization</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177,742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65,201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Accretion of discount</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33,352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15,776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costs and expenses</w:t>
            </w:r>
          </w:p>
        </w:tc>
        <w:tc>
          <w:tcPr>
            <w:tcW w:w="15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333,122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118,277</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37,050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16,754</w:t>
            </w:r>
          </w:p>
        </w:tc>
        <w:tc>
          <w:tcPr>
            <w:tcW w:w="0" w:type="dxa"/>
            <w:vAlign w:val="bottom"/>
          </w:tcPr>
          <w:p>
            <w:pPr>
              <w:spacing w:after="0"/>
              <w:rPr>
                <w:sz w:val="1"/>
                <w:szCs w:val="1"/>
                <w:color w:val="auto"/>
              </w:rPr>
            </w:pPr>
          </w:p>
        </w:tc>
      </w:tr>
      <w:tr>
        <w:trPr>
          <w:trHeight w:val="209"/>
        </w:trPr>
        <w:tc>
          <w:tcPr>
            <w:tcW w:w="424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1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422,564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101,847</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(8,531)</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income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(50,610)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loss, net</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1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(76,503)</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312,215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72,463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(85,034)</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1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75,361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16,904</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236,854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55,559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(85,034)</w:t>
            </w:r>
          </w:p>
        </w:tc>
        <w:tc>
          <w:tcPr>
            <w:tcW w:w="0" w:type="dxa"/>
            <w:vAlign w:val="bottom"/>
          </w:tcPr>
          <w:p>
            <w:pPr>
              <w:spacing w:after="0"/>
              <w:rPr>
                <w:sz w:val="1"/>
                <w:szCs w:val="1"/>
                <w:color w:val="auto"/>
              </w:rPr>
            </w:pPr>
          </w:p>
        </w:tc>
      </w:tr>
      <w:tr>
        <w:trPr>
          <w:trHeight w:val="197"/>
        </w:trPr>
        <w:tc>
          <w:tcPr>
            <w:tcW w:w="42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Earnings (loss) per share:</w:t>
            </w:r>
          </w:p>
        </w:tc>
        <w:tc>
          <w:tcPr>
            <w:tcW w:w="15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net income (loss)</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Diluted net income (loss)</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0.54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104,738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93,127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91,629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111,164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94,772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91,629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0.100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0.125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800" w:type="dxa"/>
            <w:vAlign w:val="bottom"/>
            <w:gridSpan w:val="10"/>
          </w:tcPr>
          <w:p>
            <w:pPr>
              <w:jc w:val="center"/>
              <w:ind w:left="135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(Successor)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97"/>
              </w:rPr>
              <w:t>Years ended December 31, 2022 and 2021 and Period from August 22, 2020 through December 31, 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89"/>
              </w:rPr>
              <w:t>Retained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(Accumulated</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Outstanding</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Deficit)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August 21, 2020</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HighPeak business combination with HPK LP</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81,383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521,674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(90,780)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430,902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Pure Common Stock</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12,324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Forward Purchases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8,977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89,768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89,769</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Offering costs (including costs incurred at Pure prior to</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HighPeak business combination)</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(21,766)</w:t>
            </w: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rPr>
              <w:t>Deferred income tax liability at HighPeak business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combination</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(39,946)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(39,946)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costs: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costs included in net loss</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15,776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(16,429)</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91,968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581,426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474,226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Dividends declared ($0.125 per share)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(11,593)</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($0.125 per share)</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22,836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22,837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costs: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upon options being exercised</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Restricted shares issued to outside directors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shares issued to employee directors</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Compensation costs included in net income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6,188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55,559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55,559</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Balance, December 31, 2021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96,774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617,489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(64,436)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553,063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($0.100 per share)</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(10,623)</w:t>
            </w: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7"/>
              </w:rPr>
              <w:t>Dividend equivalents declared on outstanding stock options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($0.100 per share)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 issued for acquisitions</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264,981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264,982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 issued in private placement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 issuance costs</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warrants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7,805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7,805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Shares issued upon options being exercised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shares issued to outside directors</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Restricted shares issued to employees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costs included in net income</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33,840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33,840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236,854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236,854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2022</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113,165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1,008,896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160,740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1,169,647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Partners' Capital (Predecessor)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 from January 1, 2020 through August 21, 2020</w:t>
            </w:r>
          </w:p>
        </w:tc>
        <w:tc>
          <w:tcPr>
            <w:tcW w:w="1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6"/>
              </w:rPr>
              <w:t>Limited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5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tcPr>
          <w:p>
            <w:pPr>
              <w:jc w:val="center"/>
              <w:ind w:left="210"/>
              <w:spacing w:after="0" w:line="191" w:lineRule="exact"/>
              <w:rPr>
                <w:sz w:val="20"/>
                <w:szCs w:val="20"/>
                <w:color w:val="auto"/>
              </w:rPr>
            </w:pPr>
            <w:r>
              <w:rPr>
                <w:rFonts w:ascii="Arial" w:cs="Arial" w:eastAsia="Arial" w:hAnsi="Arial"/>
                <w:sz w:val="18"/>
                <w:szCs w:val="18"/>
                <w:b w:val="1"/>
                <w:bCs w:val="1"/>
                <w:color w:val="auto"/>
                <w:w w:val="92"/>
              </w:rPr>
              <w:t>General</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jc w:val="center"/>
              <w:ind w:left="190"/>
              <w:spacing w:after="0"/>
              <w:rPr>
                <w:sz w:val="20"/>
                <w:szCs w:val="20"/>
                <w:color w:val="auto"/>
              </w:rPr>
            </w:pPr>
            <w:r>
              <w:rPr>
                <w:rFonts w:ascii="Arial" w:cs="Arial" w:eastAsia="Arial" w:hAnsi="Arial"/>
                <w:sz w:val="18"/>
                <w:szCs w:val="18"/>
                <w:b w:val="1"/>
                <w:bCs w:val="1"/>
                <w:color w:val="auto"/>
                <w:w w:val="95"/>
              </w:rPr>
              <w:t>Partner</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70"/>
              <w:spacing w:after="0"/>
              <w:rPr>
                <w:sz w:val="20"/>
                <w:szCs w:val="20"/>
                <w:color w:val="auto"/>
              </w:rPr>
            </w:pPr>
            <w:r>
              <w:rPr>
                <w:rFonts w:ascii="Arial" w:cs="Arial" w:eastAsia="Arial" w:hAnsi="Arial"/>
                <w:sz w:val="18"/>
                <w:szCs w:val="18"/>
                <w:b w:val="1"/>
                <w:bCs w:val="1"/>
                <w:color w:val="auto"/>
                <w:w w:val="93"/>
              </w:rPr>
              <w:t>Partners'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Partners'</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6"/>
              </w:rPr>
              <w:t>Capital</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6"/>
              </w:rPr>
              <w:t>Capital</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226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464,716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464,716</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Cash capital contributions</w:t>
            </w: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54,000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partners</w:t>
            </w:r>
          </w:p>
        </w:tc>
        <w:tc>
          <w:tcPr>
            <w:tcW w:w="1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(85,034)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(85,034)</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August 21, 2020</w:t>
            </w:r>
          </w:p>
        </w:tc>
        <w:tc>
          <w:tcPr>
            <w:tcW w:w="226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430,902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430,902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August 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January 1,</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4"/>
            <w:vMerge w:val="restart"/>
          </w:tcPr>
          <w:p>
            <w:pPr>
              <w:jc w:val="right"/>
              <w:ind w:right="270"/>
              <w:spacing w:after="0"/>
              <w:rPr>
                <w:sz w:val="20"/>
                <w:szCs w:val="20"/>
                <w:color w:val="auto"/>
              </w:rPr>
            </w:pPr>
            <w:r>
              <w:rPr>
                <w:rFonts w:ascii="Arial" w:cs="Arial" w:eastAsia="Arial" w:hAnsi="Arial"/>
                <w:sz w:val="18"/>
                <w:szCs w:val="18"/>
                <w:b w:val="1"/>
                <w:bCs w:val="1"/>
                <w:color w:val="auto"/>
                <w:w w:val="93"/>
              </w:rPr>
              <w:t>Year Ended December 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through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21"/>
        </w:trPr>
        <w:tc>
          <w:tcPr>
            <w:tcW w:w="5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August 21,</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7"/>
              </w:rPr>
              <w:t>Successor</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236,854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55,559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(16,429)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(85,034)</w:t>
            </w:r>
          </w:p>
        </w:tc>
        <w:tc>
          <w:tcPr>
            <w:tcW w:w="0" w:type="dxa"/>
            <w:vAlign w:val="bottom"/>
          </w:tcPr>
          <w:p>
            <w:pPr>
              <w:spacing w:after="0"/>
              <w:rPr>
                <w:sz w:val="1"/>
                <w:szCs w:val="1"/>
                <w:color w:val="auto"/>
              </w:rPr>
            </w:pPr>
          </w:p>
        </w:tc>
      </w:tr>
      <w:tr>
        <w:trPr>
          <w:trHeight w:val="202"/>
        </w:trPr>
        <w:tc>
          <w:tcPr>
            <w:tcW w:w="5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Adjustments to reconcile net income (loss) to net cash provided by (used in)</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Exploration and abandonment expense</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4,854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Depletion, depreciation and amortization expense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177,742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65,201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Accretion expense</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33,352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5,635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Amortization of discounts on 10.000% Senior Notes and 10.625% Senior</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Notes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7,735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Derivative-related activity</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15,467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Loss on terminated acquisition</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76,500</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75,361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16,904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inventory and other assets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34,087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24,509</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10"/>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504,014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147,015</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5,413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Additions to crude oil and natural gas properties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(1,046,739)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(236,242)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(49,364)</w:t>
            </w:r>
          </w:p>
        </w:tc>
        <w:tc>
          <w:tcPr>
            <w:tcW w:w="0" w:type="dxa"/>
            <w:vAlign w:val="bottom"/>
          </w:tcPr>
          <w:p>
            <w:pPr>
              <w:spacing w:after="0"/>
              <w:rPr>
                <w:sz w:val="1"/>
                <w:szCs w:val="1"/>
                <w:color w:val="auto"/>
              </w:rPr>
            </w:pPr>
          </w:p>
        </w:tc>
      </w:tr>
      <w:tr>
        <w:trPr>
          <w:trHeight w:val="202"/>
        </w:trPr>
        <w:tc>
          <w:tcPr>
            <w:tcW w:w="5760" w:type="dxa"/>
            <w:vAlign w:val="bottom"/>
          </w:tcPr>
          <w:p>
            <w:pPr>
              <w:spacing w:after="0" w:line="201" w:lineRule="exact"/>
              <w:rPr>
                <w:sz w:val="20"/>
                <w:szCs w:val="20"/>
                <w:color w:val="auto"/>
              </w:rPr>
            </w:pPr>
            <w:r>
              <w:rPr>
                <w:rFonts w:ascii="Arial" w:cs="Arial" w:eastAsia="Arial" w:hAnsi="Arial"/>
                <w:sz w:val="18"/>
                <w:szCs w:val="18"/>
                <w:color w:val="auto"/>
                <w:w w:val="93"/>
              </w:rPr>
              <w:t>Changes in working capital associated with crude oil and natural gas property</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128,938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37,259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crude oil and natural gas properties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Proceeds from sales of properties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property additions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Issuance of notes receivable</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(7,482)</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Extension payment on acquisition</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(1,182,408)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(250,371)</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(67,886)</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Borrowings under Credit Agreement</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925,000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Repayments under Credit Agreement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60" w:type="dxa"/>
            <w:vAlign w:val="bottom"/>
          </w:tcPr>
          <w:p>
            <w:pPr>
              <w:spacing w:after="0" w:line="201" w:lineRule="exact"/>
              <w:rPr>
                <w:sz w:val="20"/>
                <w:szCs w:val="20"/>
                <w:color w:val="auto"/>
              </w:rPr>
            </w:pPr>
            <w:r>
              <w:rPr>
                <w:rFonts w:ascii="Arial" w:cs="Arial" w:eastAsia="Arial" w:hAnsi="Arial"/>
                <w:sz w:val="18"/>
                <w:szCs w:val="18"/>
                <w:color w:val="auto"/>
                <w:w w:val="92"/>
              </w:rPr>
              <w:t>Proceeds from issuance of 10.000% Senior Notes and 10.625% Senior Notes,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net of discount</w:t>
            </w: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440,179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Proceeds from issuance of common stock in private placement</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85,000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public stock offering</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92,554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Proceeds from exercises of warrants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7,805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subscription receivable from exercises of warrants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Proceeds from exercises of stock options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Dividend equivalents paid</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Stock offering costs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Cash from non-successors in HighPeak business combination</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Contribution from partners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54,000</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Distribution to partners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09"/>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674,029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118,673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84,135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51,220</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15,317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17,609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(20,768)</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34,869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19,552</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22,711</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30,504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34,869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19,552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24,268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Stock issued for acquisitions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264,982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Additions to asset retirement obligations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Subscription receivable from exercise of warrants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3,596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Stock offering costs of accounting acquiree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823" w:right="339" w:bottom="0" w:gutter="0" w:footer="0" w:header="0"/>
        </w:sectPr>
      </w:pPr>
    </w:p>
    <w:bookmarkStart w:id="83" w:name="page84"/>
    <w:bookmarkEnd w:id="83"/>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Nature of Operations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HighPeak Energy, Inc. (“HighPeak Energy,” the “Company,” or the “Successor”) is a Delaware corporation, initially formed in October 2019 as a wholly owned subsidiary of Pure Acquisition Corp (“Pure”), a Delaware corporation, formed in November 2017, which was a special purpose acquisition company formed for the purpose of effecting a merger, capital stock exchange, asset acquisition, stock purchase, reorganization or similar business combination involving Pure and one or more businesses. See Note 11 regarding the business combination which resulted in the Company becoming the parent company and Pure becoming a wholly owned subsidiary along with the businesses acquired.</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HighPeak Energy’s common stock and warrants are listed and traded on the Nasdaq Global Market (the “Nasdaq”) under the ticker symbols “HPK” and “HPKEW,” respectively. The Company is an independent crude oil and natural gas exploration and production company that explores for, develops and produces crude oil, NGL and natural gas in the Permian Basin in West Texas, more specifically, the Midland Basin primarily in Howard and Borden Counties. Our acreage is composed of two core areas, Flat Top primarily in the northern portion of Howard County extending into southeastern Borden, southwestern Scurry and northwestern Mitchell Counties and Signal Peak in the southern portion of Howard County.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Presentation. </w:t>
      </w:r>
      <w:r>
        <w:rPr>
          <w:rFonts w:ascii="Arial" w:cs="Arial" w:eastAsia="Arial" w:hAnsi="Arial"/>
          <w:sz w:val="17"/>
          <w:szCs w:val="17"/>
          <w:color w:val="auto"/>
        </w:rPr>
        <w:t>The accompanying consolidated financial statements of the Company have been prepared in accordance with accounting principles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accepted in the United States of America (“GAAP”). In the opinion of management, all adjustments, consisting of normal and recurring accruals considered necessary for a fair presentation, have been included. In connection with the preparation of the consolidated financial statements, the Company evaluated subsequent events after the balance sheet date of December 31, 2022, through the date of this Annual Report.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the Company and its wholly owned subsidiaries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acquisition or formation. All material intercompany balances and transactions have been eliminated. Certain reclassifications have been made to prior period amounts to conform to the current period’s presentation.</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Use of estimates in the preparation of financial statements. </w:t>
      </w:r>
      <w:r>
        <w:rPr>
          <w:rFonts w:ascii="Arial" w:cs="Arial" w:eastAsia="Arial" w:hAnsi="Arial"/>
          <w:sz w:val="17"/>
          <w:szCs w:val="17"/>
          <w:color w:val="auto"/>
        </w:rPr>
        <w:t>Preparation of the Company's consolidated financial statements in conformity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periods. Depletion of crude oil and natural gas properties and evaluations for impairment of proved and unproved crude oil and natural gas properties, in part, is determined using estimates of proved,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evaluations for impairment of proved crude oil and natural gas properties are subject to numerous uncertainties including, among others, estimates of future recoverable reserves, commodity price outlooks and future undiscounted and discounted net cash flows. In addition, evaluations for impairment of unproved crude oil and natural gas properties on a project-by-project basis are also subject to numerous uncertainties including, among others, estimates of future recoverable reserves, results of exploration activities, commodity price outlooks, planned future sales or expirations of all or a portion of such projects. Other items subject to such estimates and assumptions include, but are not limited to, the carrying value of crude oil and natural gas properties, asset retirement obligations, equity-based compensation, fair value of derivatives and estimates of income taxes. Actual results could differ from the estimates and assumptions utilized.</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Company’s cash and cash equivalents include depository accounts held by banks with original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maturities 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5" w:name="page86"/>
    <w:bookmarkEnd w:id="85"/>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Accounts receivable. </w:t>
      </w:r>
      <w:r>
        <w:rPr>
          <w:rFonts w:ascii="Arial" w:cs="Arial" w:eastAsia="Arial" w:hAnsi="Arial"/>
          <w:sz w:val="17"/>
          <w:szCs w:val="17"/>
          <w:color w:val="auto"/>
        </w:rPr>
        <w:t>As of December 31, 2022 and 2021, the Company’s accounts receivables primarily consist of amounts due from the sale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crude oil, NGL and natural gas of $81.6 million and $29.0 million, respectively, and are based on estimates of sales volumes and realized prices the Company anticipates it will receive, $4.9 million and zero, respectively, of receivables related to electric power infrastructure installed throughout Flat Top by the Company that it will be reimbursed for, current U.S. federal income tax receivables of $3.2 million and $3.2 million, respectively, joint interest receivables of $2.2 million and $3.1 million, respectively, receivables related to settlements of derivative contracts of $4.7million and $771,000, respectively, and receivables related to refunds from pipe suppliers of zero and $3.3 million, respectively.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 The Company routinely reviews outstanding balances and establishes allowances for bad debts equal to the estimable portions of accounts receivable for which failure to collect is considered probable. As of December 31, 2022 and 2021, the Company had no allowance for doubtful accounts.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The Company is subject to credit risk resulting from the concentration of its crude oil and natural gas receivables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significant purchasers. For the years ended December 31, 2022 and 2021, sales to the Company’s largest purchaser accounted for approximately 88% and 94%, respectively, of the Company’s total crude oil, NGL and natural gas sales revenues. The Company generally does not require collateral and does not believe the loss of this particular purchaser would materially impact its operating results, as crude oil and natural gas are fungible products with well-established markets and numerous purchasers in various regions.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Prepaid expenses. </w:t>
      </w:r>
      <w:r>
        <w:rPr>
          <w:rFonts w:ascii="Arial" w:cs="Arial" w:eastAsia="Arial" w:hAnsi="Arial"/>
          <w:sz w:val="17"/>
          <w:szCs w:val="17"/>
          <w:color w:val="auto"/>
        </w:rPr>
        <w:t>Prepaid expenses are comprised primarily of caliche that will be used on future locations and roads in our development areas,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tubulars and proppant that the Company has prepaid the suppliers to guarantee their availability when needed for our current drilling program, prepaid insurance costs that will be amortized over the life of the policies, prepaid agency fees and software maintenance fees that will be amortized over the life of the contracts. Prepaid expenses as of December 31, 2022 and 2021 are $4.1 million and $7.2 million, respectively.</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Inventory. </w:t>
      </w:r>
      <w:r>
        <w:rPr>
          <w:rFonts w:ascii="Arial" w:cs="Arial" w:eastAsia="Arial" w:hAnsi="Arial"/>
          <w:sz w:val="17"/>
          <w:szCs w:val="17"/>
          <w:color w:val="auto"/>
        </w:rPr>
        <w:t>Inventory is comprised primarily of crude oil and natural gas drilling or repair items such as tubing, casing, pumps, vessels,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supplies and ordinary maintenance materials and parts. The materials and supplies inventory is primarily acquired for use in future drilling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consolidated balance sheet and as charges to other expense in the consolidated statements of operations. The Company’s materials and supplies inventory as of December 31, 2022 and 2021 is $13.3 million and $3.3 million, respectively, and the Company has not recognized any valuation allowance to date.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Crude oil and natural gas properties. </w:t>
      </w:r>
      <w:r>
        <w:rPr>
          <w:rFonts w:ascii="Arial" w:cs="Arial" w:eastAsia="Arial" w:hAnsi="Arial"/>
          <w:sz w:val="18"/>
          <w:szCs w:val="18"/>
          <w:color w:val="auto"/>
        </w:rPr>
        <w:t>The Company utilizes the successful efforts method of accounting for its crude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properties. Under this method, all costs associated with productive wells and nonproductive development wells are capitalized while nonproductive exploration costs and geological and geophysical expenditures are expensed.</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does not carry the costs of drilling an exploratory well as an asset in its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capitalized costs of proved properties are depleted using the unit-of-production method based on proved reserves for leasehold costs and proved developed reserves for drilling, completion and other crude oil and natural gas property costs. Costs of unproved leasehold costs are excluded from depletion until proved reserves are established or, if unsuccessful, impairment is determined.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Proceeds from the sales of individual properties are credited to proved or unproved crude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6" w:name="page87"/>
    <w:bookmarkEnd w:id="86"/>
    <w:p>
      <w:pPr>
        <w:jc w:val="both"/>
        <w:ind w:firstLine="648"/>
        <w:spacing w:after="0" w:line="257" w:lineRule="auto"/>
        <w:rPr>
          <w:sz w:val="20"/>
          <w:szCs w:val="20"/>
          <w:color w:val="auto"/>
        </w:rPr>
      </w:pPr>
      <w:r>
        <w:rPr>
          <w:rFonts w:ascii="Arial" w:cs="Arial" w:eastAsia="Arial" w:hAnsi="Arial"/>
          <w:sz w:val="18"/>
          <w:szCs w:val="18"/>
          <w:color w:val="auto"/>
        </w:rPr>
        <w:t>The Company performs assessments of its long-lived assets to be held and used, including proved crude oil and natural gas properties accounted for under the successful efforts method of accounting, whenever events or circumstances indicate that the carrying value of those assets may not be recoverable. An impairment loss is indicated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Unproved crude oil and natural gas properties are periodically assessed for impairment on a project-by-project basis. These impairment assessments are affected by the estimates of future recoverable reserves,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spacing w:after="0" w:line="17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 xml:space="preserve">Other property and equipment, net. </w:t>
      </w:r>
      <w:r>
        <w:rPr>
          <w:rFonts w:ascii="Arial" w:cs="Arial" w:eastAsia="Arial" w:hAnsi="Arial"/>
          <w:sz w:val="16"/>
          <w:szCs w:val="16"/>
          <w:color w:val="auto"/>
        </w:rPr>
        <w:t>Other property and equipment is recorded at cost. The carrying values of other property and equipment, net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accumulated depreciation of $696,000 and $438,000 as of December 31, 2022 and 2021, respectively, are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3"/>
              </w:rPr>
              <w:t>December 31,</w:t>
            </w:r>
          </w:p>
        </w:tc>
        <w:tc>
          <w:tcPr>
            <w:tcW w:w="1080" w:type="dxa"/>
            <w:vAlign w:val="bottom"/>
            <w:tcBorders>
              <w:bottom w:val="single" w:sz="8" w:color="auto"/>
            </w:tcBorders>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2021</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2,139</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Field equipment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Information technology</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other property and equipment, net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3,587</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1,600</w:t>
            </w:r>
          </w:p>
        </w:tc>
      </w:tr>
      <w:tr>
        <w:trPr>
          <w:trHeight w:val="20"/>
        </w:trPr>
        <w:tc>
          <w:tcPr>
            <w:tcW w:w="80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property and equipment are depreciated over their estimated useful life on a straight-line basis. Land is not depreciated. Transportation equipment is generally depreciated over five years, buildings are generally depreciated over forty years, field equipment is generally depreciated over seven years, furniture and fixtures is generally depreciated over five years and information technology is generally depreciated over three years. Leasehold improvements are amortized over the lesser of their estimated useful lives or the underlying terms of the associated leases.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Aid-in-construction assets. </w:t>
      </w:r>
      <w:r>
        <w:rPr>
          <w:rFonts w:ascii="Arial" w:cs="Arial" w:eastAsia="Arial" w:hAnsi="Arial"/>
          <w:sz w:val="17"/>
          <w:szCs w:val="17"/>
          <w:color w:val="auto"/>
        </w:rPr>
        <w:t>As of December 31, 2022 and 2021, the Company had aid-in-construction assets totaling $6.1 million and $3.9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respectively, included in other noncurrent assets. The Company contracted with the natural gas gatherer and processor in its Flat Top area to expand its low-pressure natural gas gathering system to transport the Company’s natural gas to its processing facility which was contracted to be expanded during the third quarter of 2022 at an additional cost to the Company of $2.6 million. The Company is receiving and will continue to receive payments based on gross system throughput, including any third-party natural gas that is potentially tied into the system in the future. The contract calls for future aid-in-construction fundings if expansions of the system are necessary as determined in the sole discretion of the Company.</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The Company enters into leases for drilling rigs, storage tanks, equipment and buildings and recognizes lease expense on a straight-line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Current liabilities. </w:t>
      </w:r>
      <w:r>
        <w:rPr>
          <w:rFonts w:ascii="Arial" w:cs="Arial" w:eastAsia="Arial" w:hAnsi="Arial"/>
          <w:sz w:val="18"/>
          <w:szCs w:val="18"/>
          <w:color w:val="auto"/>
        </w:rPr>
        <w:t>Accounts payable, accrued liabilities and derivative liabilities included in current liabilities as of December 31, 2022 and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totaled approximately $266.1 million and $103.0 million, respectively, including trade accounts payable, accrued capital expenditures, derivative liabilities, revenues and royalties payable and accruals for operating and general and administrative expenses, interest expense, operating leases, dividends and dividend equivalents and other miscellaneous items.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7" w:name="page88"/>
    <w:bookmarkEnd w:id="87"/>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Debt issuance costs and original issue discount. </w:t>
      </w:r>
      <w:r>
        <w:rPr>
          <w:rFonts w:ascii="Arial" w:cs="Arial" w:eastAsia="Arial" w:hAnsi="Arial"/>
          <w:sz w:val="17"/>
          <w:szCs w:val="17"/>
          <w:color w:val="auto"/>
        </w:rPr>
        <w:t>The Company paid a total of $19.7 million in debt issuance costs, $17.1 million of which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incurred during the year ended December 31, 2022, related to the issuance of the 10.000% Senior Notes and 10.625% Senior Notes and amendments to the Credit Agreement. Amortization based on the straight-line method over the terms of the 10.000% Senior Notes, 10.625% Senior Notes and the Credit Agreement which approximates the effective interest method was $5.6 million and $498,000 during the years ended December 31, 2022 and 2021, respectively. In addition, the company realized $34.8 million in original issuer discounts on the issuance of its 10.000% Senior Notes and 10.625% Senior Notes that is being amortized over the life of the notes which approximates the effective interest method and was $7.7 million and zero during the year ended December 31, 2022 and 2021, respectively. As of December 31, 2022 and 2021, the net debt issuance costs and discount are netted against the outstanding long-term debt on the accompanying balance sheets in accordance with GAAP.</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Asset retirement obligations. </w:t>
      </w:r>
      <w:r>
        <w:rPr>
          <w:rFonts w:ascii="Arial" w:cs="Arial" w:eastAsia="Arial" w:hAnsi="Arial"/>
          <w:sz w:val="17"/>
          <w:szCs w:val="17"/>
          <w:color w:val="auto"/>
        </w:rPr>
        <w:t>The Company records a liability for the fair value of an asset retirement obligation in the period in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spacing w:after="0" w:line="16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follows FASB ASC 606, “Revenue from Contracts with Customers,” (“ASC 606”) whereby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recognizes revenues from the sales of crude oil and natural gas to its purchasers and presents them disaggregated on the Company’s consolidated statements of operations.</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enters into contracts with purchasers to sell its crude oil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w:t>
      </w:r>
    </w:p>
    <w:p>
      <w:pPr>
        <w:spacing w:after="0" w:line="1" w:lineRule="exact"/>
        <w:rPr>
          <w:sz w:val="20"/>
          <w:szCs w:val="20"/>
          <w:color w:val="auto"/>
        </w:rPr>
      </w:pPr>
    </w:p>
    <w:p>
      <w:pPr>
        <w:jc w:val="both"/>
        <w:ind w:firstLine="8"/>
        <w:spacing w:after="0" w:line="273" w:lineRule="auto"/>
        <w:tabs>
          <w:tab w:leader="none" w:pos="308"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the date of sale. As of December 31, 2022 and 2021, the Company had receivables related to contracts with purchasers of approximately $81.6 million and $29.0 million, respectively.</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Crude Oil Contracts. </w:t>
      </w:r>
      <w:r>
        <w:rPr>
          <w:rFonts w:ascii="Arial" w:cs="Arial" w:eastAsia="Arial" w:hAnsi="Arial"/>
          <w:sz w:val="18"/>
          <w:szCs w:val="18"/>
          <w:color w:val="auto"/>
        </w:rPr>
        <w:t>The Company’s crude oil marketing contracts transfer physical custody and title at or near the wellhead, which is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consolidated statements of operations as they represent part of the transaction price of the contract.</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Natural Gas Contracts. </w:t>
      </w:r>
      <w:r>
        <w:rPr>
          <w:rFonts w:ascii="Arial" w:cs="Arial" w:eastAsia="Arial" w:hAnsi="Arial"/>
          <w:sz w:val="17"/>
          <w:szCs w:val="17"/>
          <w:color w:val="auto"/>
        </w:rPr>
        <w:t>The majority of the Company’s natural gas is sold at the lease location, which is generally when control of the natural gas</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transferred to the purchaser. The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Derivatives. </w:t>
      </w:r>
      <w:r>
        <w:rPr>
          <w:rFonts w:ascii="Arial" w:cs="Arial" w:eastAsia="Arial" w:hAnsi="Arial"/>
          <w:sz w:val="18"/>
          <w:szCs w:val="18"/>
          <w:color w:val="auto"/>
        </w:rPr>
        <w:t>All the Company’s derivatives are accounted for as non-hedge derivatives and are recorded at estimated fair value in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credit risk related to derivatives is a counterparties’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8" w:name="page89"/>
    <w:bookmarkEnd w:id="88"/>
    <w:p>
      <w:pPr>
        <w:jc w:val="both"/>
        <w:ind w:firstLine="648"/>
        <w:spacing w:after="0" w:line="279" w:lineRule="auto"/>
        <w:rPr>
          <w:sz w:val="20"/>
          <w:szCs w:val="20"/>
          <w:color w:val="auto"/>
        </w:rPr>
      </w:pPr>
      <w:r>
        <w:rPr>
          <w:rFonts w:ascii="Arial" w:cs="Arial" w:eastAsia="Arial" w:hAnsi="Arial"/>
          <w:sz w:val="17"/>
          <w:szCs w:val="17"/>
          <w:color w:val="auto"/>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provision for income taxes is determined using the asset and liability approach of accounting for income taxes. Under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has not established a valuation allowance as of December 31, 2022 and 2021.</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13 for addition information.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records any tax-related interest charges as interest expense and any tax-related penalties as other expense in the consolidated statements of operations of which there have been none to date.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Predecessor recognizes in its consolidated financial statements the effect of a tax position, if that position is more likely than not to be sustained upon examination, including resolution of any appeals or litigation processes, based upon the technical merits of the position. Tax positions taken related to the Predecessor’s status as a limited partnership, and state filing requirements have been reviewed, and management is of the opinion that they would more likely than not be sustained by examination. Accordingly, the Company has not recorded an income tax liability for uncertain tax benefits for periods prior to August 21, 2020. Under the new centralized partnership audit rules effective for tax years beginning after 2017, the IRS assesses and collects underpayments of tax from the partnership instead of from each partner. The partnership may be able to pass the adjustments through to its partners by making a push-out election or, if eligible, by electing out of the centralized partnership audit rules. The collection of tax from the partnership is only an administrative convenience for the IRS to collect any underpayment of income taxes including interest and penalties. Income taxes on partnership income, regardless of who pays the tax or when the tax is paid, is attributed to the partners. Any payment made by the Company as a result of an IRS examination will be treated as an expense from the Company in the consolidated financial statements.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also subject to Texas Margin Tax. The Company realized no Texas Margin Tax in the accompanying consolidated financial statements as we do not anticipate owing any Texas Margin Tax for the periods presented.</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Stock-based compensation expense for stock option awards is measured at the grant date or modification date,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Stock-based compensation for HighPeak Energy common stock issued to outside directors with no restrictions thereon, is measured at the grant date using the fair value of the award and is recognized as stock-based compensation in the accompanying financial statements immediately. Stock-based compensation for restricted stock awarded to outside directors and employee members of the Board and certain other employees is measured at the grant date using the fair value of the award and is recognized on a straight-line basis over the requisite service period of the respective award.</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Segments. </w:t>
      </w:r>
      <w:r>
        <w:rPr>
          <w:rFonts w:ascii="Arial" w:cs="Arial" w:eastAsia="Arial" w:hAnsi="Arial"/>
          <w:sz w:val="18"/>
          <w:szCs w:val="18"/>
          <w:color w:val="auto"/>
        </w:rPr>
        <w:t>Based on the Company’s organizational structure, the Company has one operating segment, which is crude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exploration and production. In addition, the Company has a single, company-wide management team that allocates capital resources to maximize profitability and measures financial performance as a single enterprise.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9" w:name="page90"/>
    <w:bookmarkEnd w:id="89"/>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 xml:space="preserve">Recently adopted accounting pronouncements. </w:t>
      </w:r>
      <w:r>
        <w:rPr>
          <w:rFonts w:ascii="Arial" w:cs="Arial" w:eastAsia="Arial" w:hAnsi="Arial"/>
          <w:sz w:val="16"/>
          <w:szCs w:val="16"/>
          <w:color w:val="auto"/>
        </w:rPr>
        <w:t>In December 2022, the FASB issued ASU 2022-06, “Reference Rate Reform (Topic 848) –</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Deferral of the Sunset Date of Topic 848.” This update extended the use of the optional expedient through December 31, 2024. The Company adopted this update effective December 31, 2022. The adoption of this update did not have a material impact on its financial position, results of operations or liquidity.</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New accounting pronouncements not yet adopted. </w:t>
      </w:r>
      <w:r>
        <w:rPr>
          <w:rFonts w:ascii="Arial" w:cs="Arial" w:eastAsia="Arial" w:hAnsi="Arial"/>
          <w:sz w:val="18"/>
          <w:szCs w:val="18"/>
          <w:color w:val="auto"/>
        </w:rPr>
        <w:t>In October 2021, the FASB issued ASU 2021-08, “Business Combinations (Topic 805)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for Contract Assets and Contract Liabilities from Contracts with Customers.” This update requires the acquirer in a business combination to record contract asset and liabilities following Topic 606 – “Revenue from Contracts with Customers” at acquisition as if it had originated the contract, rather than at fair value. This update is effective for public business entities beginning after December 15, 2022 with early adoption permitted. The Company continues to evaluate the provisions of this update but does not believe the adoption will have a material impact on its financial position, results of operations or liquidity.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the applicability and the impact of all ASUs. ASUs not discussed above were assessed and determined to be either not applicable, the effects of adoption are not expected to be material or are clarifications of ASUs previously disclosed.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Divestitures</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i w:val="1"/>
          <w:iCs w:val="1"/>
          <w:color w:val="auto"/>
        </w:rPr>
        <w:t>Hannathon Acquisition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June 2022, the Company closed the Hannathon Acquisition for total net consideration of $337.2 million after normal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customary closing adjustments, including 3,522,117 shares of HighPeak Energy common stock valued at $97.2 million at closing to acquire various crude oil and natural gas properties largely contiguous to its Signal Peak operating area in Howard County, including associated producing properties, water system infrastructure and in-field fluid gathering pipelines. The Hannathon Acquisition was accounted for as an asset acquisition as substantially all of the gross assets acquired are concentrated in a group of similar identifiable assets. The consideration paid was allocated to the individual assets acquired and liabilities assumed based on their relative fair values. All transaction costs associated with the Hannathon Acquisition were capitalized.</w:t>
      </w:r>
    </w:p>
    <w:p>
      <w:pPr>
        <w:spacing w:after="0" w:line="16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Alamo Acquisitions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March and June 2022, the Company closed the Alamo Acquisitions in two separate deals for total net consideration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$156.1 million and $11.0 million, respectively, after normal and customary closing adjustments, including 6,960,000 and 371,517 shares of HighPeak Energy common stock valued at $156.6 million and $11.2 million, respectively, at closing to acquire various crude oil and natural gas properties contiguous to its Flat Top operating area in Borden county, including associated producing properties, water system infrastructure and in-field fluid gathering pipelines. The Alamo Acquisitions were accounted for as asset acquisitions as substantially all of the gross assets acquired are concentrated in a group of similar identifiable assets. The consideration paid was allocated to the individual assets acquired and liabilities assumed based on their relative fair values. All transaction costs associated with the Alamo Acquisitions were capitalized.</w:t>
      </w:r>
    </w:p>
    <w:p>
      <w:pPr>
        <w:spacing w:after="0" w:line="17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i w:val="1"/>
          <w:iCs w:val="1"/>
          <w:color w:val="auto"/>
        </w:rPr>
        <w:t>Other Acquisitions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year ended December 31, 2022, the Company also incurred an additional $23.0 million in acquisition costs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 various undeveloped crude oil and natural gas properties largely contiguous to its Signal Peak and Flat Top operating areas primarily in Howard and Borden counties. During the year ended December 31, 2021, the Company incurred a total of $54.0 million in acquisition costs related to multiple bolt-on producing property acquisitions and lease acquisitions to acquire interests in non-operated producing wells and undeveloped acreage in and around the Company’s existing properties. During the year ended December 31, 2020, the Company incurred a total of $4.5 million to acquire primarily undeveloped acreage, three vertical producing wells and two salt-water disposal wells in and around the Company’s existing properties.</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Grenadier Acquisition. </w:t>
      </w:r>
      <w:r>
        <w:rPr>
          <w:rFonts w:ascii="Arial" w:cs="Arial" w:eastAsia="Arial" w:hAnsi="Arial"/>
          <w:sz w:val="17"/>
          <w:szCs w:val="17"/>
          <w:color w:val="auto"/>
        </w:rPr>
        <w:t>In June 2019, HighPeak Energy Assets II, LLC (“HighPeak Assets II”) signed a purchase and sale agreement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Grenadier Energy Partners II, LLC (“Grenadier”) to acquire substantially all the crude oil and natural gas assets of Grenadier, effective June 1, 2019, subject to certain customary closing adjustments for a total purchase price of $615.0 million. Since HighPeak Assets II was contributed to the Predecessor in the HPK LP business combination, this purchase and sale agreement became part of the Predecessor effective October 1, 2019. A nonrefundable deposit of $61.5 million was paid to Grenadier in 2019 in addition to a $15.0 million nonrefundable extension payment in 2020 to extend the potential closing to May 2020. The Grenadier Acquisition was terminated in April 2020 and was not consummated and therefore a charge to expense of $76.5 million was recognized during the year ended December 31, 2020.</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Divestitures. </w:t>
      </w:r>
      <w:r>
        <w:rPr>
          <w:rFonts w:ascii="Arial" w:cs="Arial" w:eastAsia="Arial" w:hAnsi="Arial"/>
          <w:sz w:val="18"/>
          <w:szCs w:val="18"/>
          <w:color w:val="auto"/>
        </w:rPr>
        <w:t>During the year ended December 31, 2021, the Company realized net proceeds of $3.3 million, which reduced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proved properties with no gain or loss recognized when it divested of 1 gross (0.2 net) non-operated horizontal well and acquired 4 gross (3.7 gross) operated vertical wells in a trade with another operator whereby the Company traded an approximate equal number of net mineral acres to increase its working interest in certain areas of Flat Top where it serves as operator and decrease its working interest in other areas of Flat Top where the other party serves as operator.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determines fair value based on the price that would be received from selling an asset or paid to transfer a liability in an orderly transaction between market participants at the measurement date. Fair value measurements are based upon inputs that market participants use in pricing an asset or liability, which are characterized according to a hierarchy that prioritizes those inputs based on the degree to which they are observable. Observable inputs represent market data obtained from independent sources, whereas unobservable inputs reflect a company’s own market assumptions, which are used if observable inputs are not reasonably available without undue cost and effort. The fair value input hierarchy level to which an asset or liability measurement in its entirety falls is determined based on the lowest level input that is significant to the measurement in its entirety.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color w:val="auto"/>
        </w:rPr>
        <w:t>The three input levels of the fair value hierarchy are as follows:</w:t>
      </w:r>
    </w:p>
    <w:p>
      <w:pPr>
        <w:spacing w:after="0" w:line="225"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1 – quoted prices for identical assets or liabilities in active markets.</w:t>
      </w:r>
    </w:p>
    <w:p>
      <w:pPr>
        <w:spacing w:after="0" w:line="36"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2 – quoted prices for similar assets or liabilities in active markets; quoted prices for identical assets or liabilities in markets that are not active; inputs other than quoted prices that are observable for the asset or liability (e.g., interest rates) and inputs derived principally from or corroborated by observable market data by correlation or other means.</w:t>
      </w:r>
    </w:p>
    <w:p>
      <w:pPr>
        <w:spacing w:after="0" w:line="2"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 typically reflecting management’s estimate of assumptions that market participants would use in pricing the asset or liability. The fair values are therefore, determined using model-based techniques, including discounted cash flow models.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Assets and liabilities measured at fair value on a recurring basis. </w:t>
      </w:r>
      <w:r>
        <w:rPr>
          <w:rFonts w:ascii="Arial" w:cs="Arial" w:eastAsia="Arial" w:hAnsi="Arial"/>
          <w:sz w:val="17"/>
          <w:szCs w:val="17"/>
          <w:color w:val="auto"/>
        </w:rPr>
        <w:t>Assets and liabilities measured at fair value on a recurring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As of December 31, 2022</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1"/>
        </w:trPr>
        <w:tc>
          <w:tcPr>
            <w:tcW w:w="4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20" w:type="dxa"/>
            <w:vAlign w:val="bottom"/>
          </w:tcPr>
          <w:p>
            <w:pPr>
              <w:jc w:val="center"/>
              <w:ind w:left="110"/>
              <w:spacing w:after="0" w:line="191" w:lineRule="exact"/>
              <w:rPr>
                <w:sz w:val="20"/>
                <w:szCs w:val="20"/>
                <w:color w:val="auto"/>
              </w:rPr>
            </w:pPr>
            <w:r>
              <w:rPr>
                <w:rFonts w:ascii="Arial" w:cs="Arial" w:eastAsia="Arial" w:hAnsi="Arial"/>
                <w:sz w:val="18"/>
                <w:szCs w:val="18"/>
                <w:b w:val="1"/>
                <w:bCs w:val="1"/>
                <w:color w:val="auto"/>
                <w:w w:val="88"/>
              </w:rPr>
              <w:t>Quoted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88"/>
              </w:rPr>
              <w:t>Prices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in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88"/>
              </w:rPr>
              <w:t>Active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94"/>
              </w:rPr>
              <w:t>Markets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for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Identical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Unobservable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81"/>
              </w:rPr>
              <w:t>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3"/>
              </w:rPr>
              <w:t>(Level 1)</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Commodity price derivatives</w:t>
            </w:r>
          </w:p>
        </w:tc>
        <w:tc>
          <w:tcPr>
            <w:tcW w:w="25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Commodity price derivatives – current</w:t>
            </w:r>
          </w:p>
        </w:tc>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16,702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16,702</w:t>
            </w:r>
          </w:p>
        </w:tc>
      </w:tr>
      <w:tr>
        <w:trPr>
          <w:trHeight w:val="216"/>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price derivatives – noncurrent</w:t>
            </w:r>
          </w:p>
        </w:tc>
        <w:tc>
          <w:tcPr>
            <w:tcW w:w="16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r>
      <w:tr>
        <w:trPr>
          <w:trHeight w:val="210"/>
        </w:trPr>
        <w:tc>
          <w:tcPr>
            <w:tcW w:w="43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6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17,393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17,393</w:t>
            </w:r>
          </w:p>
        </w:tc>
      </w:tr>
      <w:tr>
        <w:trPr>
          <w:trHeight w:val="25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recurring fair value measurements</w:t>
            </w:r>
          </w:p>
        </w:tc>
        <w:tc>
          <w:tcPr>
            <w:tcW w:w="25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(17,376)</w:t>
            </w:r>
          </w:p>
        </w:tc>
      </w:tr>
      <w:tr>
        <w:trPr>
          <w:trHeight w:val="413"/>
        </w:trPr>
        <w:tc>
          <w:tcPr>
            <w:tcW w:w="4380" w:type="dxa"/>
            <w:vAlign w:val="bottom"/>
            <w:tcBorders>
              <w:top w:val="single" w:sz="8" w:color="CCEEFF"/>
            </w:tcBorders>
          </w:tcPr>
          <w:p>
            <w:pPr>
              <w:spacing w:after="0"/>
              <w:rPr>
                <w:sz w:val="24"/>
                <w:szCs w:val="24"/>
                <w:color w:val="auto"/>
              </w:rPr>
            </w:pPr>
          </w:p>
        </w:tc>
        <w:tc>
          <w:tcPr>
            <w:tcW w:w="160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85</w:t>
            </w: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115"/>
        </w:trPr>
        <w:tc>
          <w:tcPr>
            <w:tcW w:w="43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As of December 31, 2021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920" w:type="dxa"/>
            <w:vAlign w:val="bottom"/>
          </w:tcPr>
          <w:p>
            <w:pPr>
              <w:jc w:val="center"/>
              <w:ind w:left="113"/>
              <w:spacing w:after="0" w:line="191" w:lineRule="exact"/>
              <w:rPr>
                <w:sz w:val="20"/>
                <w:szCs w:val="20"/>
                <w:color w:val="auto"/>
              </w:rPr>
            </w:pPr>
            <w:r>
              <w:rPr>
                <w:rFonts w:ascii="Arial" w:cs="Arial" w:eastAsia="Arial" w:hAnsi="Arial"/>
                <w:sz w:val="18"/>
                <w:szCs w:val="18"/>
                <w:b w:val="1"/>
                <w:bCs w:val="1"/>
                <w:color w:val="auto"/>
                <w:w w:val="88"/>
              </w:rPr>
              <w:t>Quoted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3"/>
              <w:spacing w:after="0"/>
              <w:rPr>
                <w:sz w:val="20"/>
                <w:szCs w:val="20"/>
                <w:color w:val="auto"/>
              </w:rPr>
            </w:pPr>
            <w:r>
              <w:rPr>
                <w:rFonts w:ascii="Arial" w:cs="Arial" w:eastAsia="Arial" w:hAnsi="Arial"/>
                <w:sz w:val="18"/>
                <w:szCs w:val="18"/>
                <w:b w:val="1"/>
                <w:bCs w:val="1"/>
                <w:color w:val="auto"/>
                <w:w w:val="88"/>
              </w:rPr>
              <w:t>Prices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3"/>
              <w:spacing w:after="0"/>
              <w:rPr>
                <w:sz w:val="20"/>
                <w:szCs w:val="20"/>
                <w:color w:val="auto"/>
              </w:rPr>
            </w:pPr>
            <w:r>
              <w:rPr>
                <w:rFonts w:ascii="Arial" w:cs="Arial" w:eastAsia="Arial" w:hAnsi="Arial"/>
                <w:sz w:val="18"/>
                <w:szCs w:val="18"/>
                <w:b w:val="1"/>
                <w:bCs w:val="1"/>
                <w:color w:val="auto"/>
                <w:w w:val="99"/>
              </w:rPr>
              <w:t>in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3"/>
              <w:spacing w:after="0"/>
              <w:rPr>
                <w:sz w:val="20"/>
                <w:szCs w:val="20"/>
                <w:color w:val="auto"/>
              </w:rPr>
            </w:pPr>
            <w:r>
              <w:rPr>
                <w:rFonts w:ascii="Arial" w:cs="Arial" w:eastAsia="Arial" w:hAnsi="Arial"/>
                <w:sz w:val="18"/>
                <w:szCs w:val="18"/>
                <w:b w:val="1"/>
                <w:bCs w:val="1"/>
                <w:color w:val="auto"/>
                <w:w w:val="88"/>
              </w:rPr>
              <w:t>Active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3"/>
              <w:spacing w:after="0"/>
              <w:rPr>
                <w:sz w:val="20"/>
                <w:szCs w:val="20"/>
                <w:color w:val="auto"/>
              </w:rPr>
            </w:pPr>
            <w:r>
              <w:rPr>
                <w:rFonts w:ascii="Arial" w:cs="Arial" w:eastAsia="Arial" w:hAnsi="Arial"/>
                <w:sz w:val="18"/>
                <w:szCs w:val="18"/>
                <w:b w:val="1"/>
                <w:bCs w:val="1"/>
                <w:color w:val="auto"/>
                <w:w w:val="94"/>
              </w:rPr>
              <w:t>Markets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3"/>
              <w:spacing w:after="0"/>
              <w:rPr>
                <w:sz w:val="20"/>
                <w:szCs w:val="20"/>
                <w:color w:val="auto"/>
              </w:rPr>
            </w:pPr>
            <w:r>
              <w:rPr>
                <w:rFonts w:ascii="Arial" w:cs="Arial" w:eastAsia="Arial" w:hAnsi="Arial"/>
                <w:sz w:val="18"/>
                <w:szCs w:val="18"/>
                <w:b w:val="1"/>
                <w:bCs w:val="1"/>
                <w:color w:val="auto"/>
                <w:w w:val="99"/>
              </w:rPr>
              <w:t>for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3"/>
              <w:spacing w:after="0"/>
              <w:rPr>
                <w:sz w:val="20"/>
                <w:szCs w:val="20"/>
                <w:color w:val="auto"/>
              </w:rPr>
            </w:pPr>
            <w:r>
              <w:rPr>
                <w:rFonts w:ascii="Arial" w:cs="Arial" w:eastAsia="Arial" w:hAnsi="Arial"/>
                <w:sz w:val="18"/>
                <w:szCs w:val="18"/>
                <w:b w:val="1"/>
                <w:bCs w:val="1"/>
                <w:color w:val="auto"/>
                <w:w w:val="93"/>
              </w:rPr>
              <w:t>Identical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Unobservable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3"/>
              <w:spacing w:after="0"/>
              <w:rPr>
                <w:sz w:val="20"/>
                <w:szCs w:val="20"/>
                <w:color w:val="auto"/>
              </w:rPr>
            </w:pPr>
            <w:r>
              <w:rPr>
                <w:rFonts w:ascii="Arial" w:cs="Arial" w:eastAsia="Arial" w:hAnsi="Arial"/>
                <w:sz w:val="18"/>
                <w:szCs w:val="18"/>
                <w:b w:val="1"/>
                <w:bCs w:val="1"/>
                <w:color w:val="auto"/>
                <w:w w:val="81"/>
              </w:rPr>
              <w:t>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920" w:type="dxa"/>
            <w:vAlign w:val="bottom"/>
            <w:tcBorders>
              <w:bottom w:val="single" w:sz="8" w:color="auto"/>
            </w:tcBorders>
          </w:tcPr>
          <w:p>
            <w:pPr>
              <w:jc w:val="center"/>
              <w:ind w:left="113"/>
              <w:spacing w:after="0"/>
              <w:rPr>
                <w:sz w:val="20"/>
                <w:szCs w:val="20"/>
                <w:color w:val="auto"/>
              </w:rPr>
            </w:pPr>
            <w:r>
              <w:rPr>
                <w:rFonts w:ascii="Arial" w:cs="Arial" w:eastAsia="Arial" w:hAnsi="Arial"/>
                <w:sz w:val="18"/>
                <w:szCs w:val="18"/>
                <w:b w:val="1"/>
                <w:bCs w:val="1"/>
                <w:color w:val="auto"/>
                <w:w w:val="93"/>
              </w:rPr>
              <w:t>(Level 1)</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Commodity price derivatives</w:t>
            </w:r>
          </w:p>
        </w:tc>
        <w:tc>
          <w:tcPr>
            <w:tcW w:w="920" w:type="dxa"/>
            <w:vAlign w:val="bottom"/>
          </w:tcPr>
          <w:p>
            <w:pPr>
              <w:jc w:val="right"/>
              <w:ind w:right="753"/>
              <w:spacing w:after="0"/>
              <w:rPr>
                <w:sz w:val="20"/>
                <w:szCs w:val="20"/>
                <w:color w:val="auto"/>
              </w:rPr>
            </w:pPr>
            <w:r>
              <w:rPr>
                <w:rFonts w:ascii="Arial" w:cs="Arial" w:eastAsia="Arial" w:hAnsi="Arial"/>
                <w:sz w:val="15"/>
                <w:szCs w:val="15"/>
                <w:color w:val="auto"/>
                <w:w w:val="71"/>
              </w:rPr>
              <w:t>$</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2,199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2,199</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Commodity price derivatives – current</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13,591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13,591</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price derivatives – noncurrent</w:t>
            </w: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4,075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4,075</w:t>
            </w: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17,666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17,666</w:t>
            </w: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recurring fair value measurements</w:t>
            </w:r>
          </w:p>
        </w:tc>
        <w:tc>
          <w:tcPr>
            <w:tcW w:w="920" w:type="dxa"/>
            <w:vAlign w:val="bottom"/>
            <w:shd w:val="clear" w:color="auto" w:fill="CCEEFF"/>
          </w:tcPr>
          <w:p>
            <w:pPr>
              <w:jc w:val="right"/>
              <w:ind w:right="753"/>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Commodity price derivatives. </w:t>
      </w:r>
      <w:r>
        <w:rPr>
          <w:rFonts w:ascii="Arial" w:cs="Arial" w:eastAsia="Arial" w:hAnsi="Arial"/>
          <w:sz w:val="18"/>
          <w:szCs w:val="18"/>
          <w:color w:val="auto"/>
        </w:rPr>
        <w:t>The Company’s commodity price derivatives are currently made up of crude oil swap contracts and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premium put options. The Company measures derivatives using an industry-standard pricing model that is provided by the counterparties. The inputs utilized in the third-party discounted cash flow and option-pricing models for valuing commodity price derivatives include forward prices for crude oil, contracted volumes, volatility factors and time to maturity, which are considered Level 2 inputs.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Assets and liabilities measured at fair value on a nonrecurring basis. </w:t>
      </w:r>
      <w:r>
        <w:rPr>
          <w:rFonts w:ascii="Arial" w:cs="Arial" w:eastAsia="Arial" w:hAnsi="Arial"/>
          <w:sz w:val="17"/>
          <w:szCs w:val="17"/>
          <w:color w:val="auto"/>
        </w:rPr>
        <w:t>Certain assets and liabilities are measured at fair value on a nonrecurring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and (ii) the estimates and fair value measurements used for the evaluation of proved property for potential impairment using Level 3 inputs based upon market conditions in the area.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consolidated financial statements.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Financial instruments not carried at fair value. </w:t>
      </w:r>
      <w:r>
        <w:rPr>
          <w:rFonts w:ascii="Arial" w:cs="Arial" w:eastAsia="Arial" w:hAnsi="Arial"/>
          <w:sz w:val="18"/>
          <w:szCs w:val="18"/>
          <w:color w:val="auto"/>
        </w:rPr>
        <w:t>Carrying values and fair values of financial instruments that are not carried at fair value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consolidating balance sheets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4"/>
              </w:rPr>
              <w:t>As of December 31, 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As of December 31, 2021</w:t>
            </w:r>
          </w:p>
        </w:tc>
      </w:tr>
      <w:tr>
        <w:trPr>
          <w:trHeight w:val="191"/>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4"/>
        </w:trPr>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10.000% Senior Notes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225,000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tcPr>
          <w:p>
            <w:pPr>
              <w:ind w:left="340"/>
              <w:spacing w:after="0"/>
              <w:rPr>
                <w:sz w:val="20"/>
                <w:szCs w:val="20"/>
                <w:color w:val="auto"/>
              </w:rPr>
            </w:pPr>
            <w:r>
              <w:rPr>
                <w:rFonts w:ascii="Arial" w:cs="Arial" w:eastAsia="Arial" w:hAnsi="Arial"/>
                <w:sz w:val="18"/>
                <w:szCs w:val="18"/>
                <w:color w:val="auto"/>
              </w:rPr>
              <w:t>10.625% Senior Notes (a)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980" w:right="20" w:hanging="324"/>
        <w:spacing w:after="0" w:line="308" w:lineRule="auto"/>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Fair value is determined using Level 2 inputs. The Company’s senior unsecured notes are quoted, but not actively traded on major exchanges; therefore, fair value is based on periodic values as quoted on major exchanges. See Note 7 for additional information.</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other financial instruments consisting primarily of cash and cash equivalents, accounts receivable, accounts payable, long-term debt (specifically the Credit Agreement), and other current assets and liabilities that approximate fair value due to the nature of the instrument and their relatively short maturities.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5. Derivative Financial Instruments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primarily utilizes commodity swap contracts and deferred premium put options to (i) reduce the effect of price volatility on the commodities the Company produces and sells, particularly on the down side, and (ii) support the Company’s capital budgeting and expenditure plans, (iii) protect the Company’s borrowing base under the Credit Agreement and (iv) support the payment of contractual obligations.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effect of derivatives on the Company’s consolidated statements of operations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August 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January 1,</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4"/>
            <w:vMerge w:val="restart"/>
          </w:tcPr>
          <w:p>
            <w:pPr>
              <w:jc w:val="right"/>
              <w:ind w:right="390"/>
              <w:spacing w:after="0"/>
              <w:rPr>
                <w:sz w:val="20"/>
                <w:szCs w:val="20"/>
                <w:color w:val="auto"/>
              </w:rPr>
            </w:pPr>
            <w:r>
              <w:rPr>
                <w:rFonts w:ascii="Arial" w:cs="Arial" w:eastAsia="Arial" w:hAnsi="Arial"/>
                <w:sz w:val="18"/>
                <w:szCs w:val="18"/>
                <w:b w:val="1"/>
                <w:bCs w:val="1"/>
                <w:color w:val="auto"/>
                <w:w w:val="94"/>
              </w:rPr>
              <w:t>Year Ended December 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2020 through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2020 through</w:t>
            </w: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August 21,</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10"/>
        </w:trPr>
        <w:tc>
          <w:tcPr>
            <w:tcW w:w="4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7"/>
              </w:rPr>
              <w:t>Successor</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Noncash derivative loss, net</w:t>
            </w:r>
          </w:p>
        </w:tc>
        <w:tc>
          <w:tcPr>
            <w:tcW w:w="1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Cash payments on settled derivatives, net</w:t>
            </w:r>
          </w:p>
        </w:tc>
        <w:tc>
          <w:tcPr>
            <w:tcW w:w="1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(58,096)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(11,267)</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Derivative loss, net</w:t>
            </w: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Crude oil production derivatives. </w:t>
      </w:r>
      <w:r>
        <w:rPr>
          <w:rFonts w:ascii="Arial" w:cs="Arial" w:eastAsia="Arial" w:hAnsi="Arial"/>
          <w:sz w:val="18"/>
          <w:szCs w:val="18"/>
          <w:color w:val="auto"/>
        </w:rPr>
        <w:t>The Company sells its crude oil production at the lease and the sales contracts governing such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are tied directly to, or are correlated with, NYMEX WTI crude oil prices. As such, the Company uses NYMEX WTI derivative contracts to manage future crude oil price volatility.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outstanding crude oil derivative contracts as of December 31, 2022 and the weighted average crude oil prices per barrel for those contracts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97"/>
              </w:rPr>
              <w:t>First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82"/>
              </w:rPr>
              <w:t>Second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 xml:space="preserve">Crude Oil Price Swaps </w:t>
            </w:r>
            <w:r>
              <w:rPr>
                <w:rFonts w:ascii="Arial" w:cs="Arial" w:eastAsia="Arial" w:hAnsi="Arial"/>
                <w:sz w:val="18"/>
                <w:szCs w:val="18"/>
                <w:color w:val="auto"/>
              </w:rPr>
              <w:t>–</w:t>
            </w:r>
            <w:r>
              <w:rPr>
                <w:rFonts w:ascii="Arial" w:cs="Arial" w:eastAsia="Arial" w:hAnsi="Arial"/>
                <w:sz w:val="18"/>
                <w:szCs w:val="18"/>
                <w:b w:val="1"/>
                <w:bCs w:val="1"/>
                <w:color w:val="auto"/>
              </w:rPr>
              <w:t xml:space="preserve"> WTI:</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Volume (MBbls)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1,722.0</w:t>
            </w: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Price per Bbl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73.67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67.81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72.30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71.59</w:t>
            </w:r>
          </w:p>
        </w:tc>
      </w:tr>
      <w:tr>
        <w:trPr>
          <w:trHeight w:val="418"/>
        </w:trPr>
        <w:tc>
          <w:tcPr>
            <w:tcW w:w="4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97"/>
              </w:rPr>
              <w:t>First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82"/>
              </w:rPr>
              <w:t>Second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 xml:space="preserve">Deferred Premium Put Options </w:t>
            </w:r>
            <w:r>
              <w:rPr>
                <w:rFonts w:ascii="Arial" w:cs="Arial" w:eastAsia="Arial" w:hAnsi="Arial"/>
                <w:sz w:val="18"/>
                <w:szCs w:val="18"/>
                <w:color w:val="auto"/>
              </w:rPr>
              <w:t>–</w:t>
            </w:r>
            <w:r>
              <w:rPr>
                <w:rFonts w:ascii="Arial" w:cs="Arial" w:eastAsia="Arial" w:hAnsi="Arial"/>
                <w:sz w:val="18"/>
                <w:szCs w:val="18"/>
                <w:b w:val="1"/>
                <w:bCs w:val="1"/>
                <w:color w:val="auto"/>
              </w:rPr>
              <w:t xml:space="preserve"> WTI:</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Volume (MBbls)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1,928.0</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Price per Bbl (Put Price)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61.05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60.46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55.97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58.43</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 (Net of Premium)</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56.05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50.97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53.43</w:t>
            </w:r>
          </w:p>
        </w:tc>
      </w:tr>
      <w:tr>
        <w:trPr>
          <w:trHeight w:val="432"/>
        </w:trPr>
        <w:tc>
          <w:tcPr>
            <w:tcW w:w="4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97"/>
              </w:rPr>
              <w:t>First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82"/>
              </w:rPr>
              <w:t>Second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 xml:space="preserve">Deferred Premium Put Options </w:t>
            </w:r>
            <w:r>
              <w:rPr>
                <w:rFonts w:ascii="Arial" w:cs="Arial" w:eastAsia="Arial" w:hAnsi="Arial"/>
                <w:sz w:val="18"/>
                <w:szCs w:val="18"/>
                <w:color w:val="auto"/>
              </w:rPr>
              <w:t>–</w:t>
            </w:r>
            <w:r>
              <w:rPr>
                <w:rFonts w:ascii="Arial" w:cs="Arial" w:eastAsia="Arial" w:hAnsi="Arial"/>
                <w:sz w:val="18"/>
                <w:szCs w:val="18"/>
                <w:b w:val="1"/>
                <w:bCs w:val="1"/>
                <w:color w:val="auto"/>
              </w:rPr>
              <w:t xml:space="preserve"> WTI:</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Volume (MBbls)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1,370.0</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Price per Bbl (Put Price)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51.50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51.50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51.50</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per Bbl (Net of Premium)</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46.50</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uses credit and other financial criteria to evaluate the credit standings of, and to select, counterparties to its derivative financial instruments. Although the Company does not obtain collateral or otherwise secure the fair value of its derivative financial instruments, associated credit risk is mitigated by the Company’s credit risk policies and procedures.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derivative liabilities associated with the Company’s open commodity derivatives by counterparty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As of December</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63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Fifth Third Bank, National Association</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Bank of America, National Association</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(5,054)</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Citizens Bank, National Association</w:t>
            </w:r>
          </w:p>
        </w:tc>
        <w:tc>
          <w:tcPr>
            <w:tcW w:w="5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(17,376)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480" w:type="dxa"/>
            <w:vAlign w:val="bottom"/>
            <w:vMerge w:val="restart"/>
          </w:tcPr>
          <w:p>
            <w:pPr>
              <w:jc w:val="right"/>
              <w:ind w:right="3870"/>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auto"/>
            </w:tcBorders>
          </w:tcPr>
          <w:p>
            <w:pPr>
              <w:spacing w:after="0"/>
              <w:rPr>
                <w:sz w:val="10"/>
                <w:szCs w:val="10"/>
                <w:color w:val="auto"/>
              </w:rPr>
            </w:pPr>
          </w:p>
        </w:tc>
        <w:tc>
          <w:tcPr>
            <w:tcW w:w="5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6. Exploratory/Extension Well Costs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capitalizes exploratory/extension wells and project costs until a determination is made that the well or project has either found proved reserves, is impaired or is sold. The Company’s capitalized exploratory/extension well and project costs are included in proved properties in the consolidated balance sheets. If the exploratory/extension well or project is determined to be impaired, the impaired costs are charged to exploration and abandonments expense.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rPr>
              <w:t>The changes in capitalized exploratory/extension well costs are as follows (in thousands):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Beginning capitalized exploratory/extension well costs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28,076</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32,592</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Additions to exploratory/extension well costs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655,294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189,859</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Reclassification to proved properties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(194,375)</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Exploratory/extension well costs charged to exploration and abandonment expense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capitalized exploratory/extension well costs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186,427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28,076</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capitalized exploratory/extension well costs have been capitalized for less than one year based on the date of drilling.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long-term debt, including the effects of debt issuance costs,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2021</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Credit Agreement due 2024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270,000</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10.625% Senior Notes, due 2024</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10.000% Senior Notes, due 2024</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Discounts, net (a)</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(27,086)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issuance costs, net (b)</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debt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704,349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97,929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Long-term debt,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704,349</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97,929</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3" w:lineRule="exact"/>
        <w:rPr>
          <w:sz w:val="20"/>
          <w:szCs w:val="20"/>
          <w:color w:val="auto"/>
        </w:rPr>
      </w:pPr>
    </w:p>
    <w:p>
      <w:pPr>
        <w:ind w:left="660" w:right="40" w:hanging="328"/>
        <w:spacing w:after="0" w:line="258"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Discounts as of December 31, 2022 and 2021 consisted of $34.8 million and zero, respectively, in discounts less accumulated amortization of $7.7 million and zero, respectively.</w:t>
      </w:r>
    </w:p>
    <w:p>
      <w:pPr>
        <w:spacing w:after="0" w:line="1" w:lineRule="exact"/>
        <w:rPr>
          <w:rFonts w:ascii="Arial" w:cs="Arial" w:eastAsia="Arial" w:hAnsi="Arial"/>
          <w:sz w:val="18"/>
          <w:szCs w:val="18"/>
          <w:color w:val="auto"/>
        </w:rPr>
      </w:pPr>
    </w:p>
    <w:p>
      <w:pPr>
        <w:ind w:left="660" w:right="620" w:hanging="328"/>
        <w:spacing w:after="0" w:line="26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Debt issuance costs as of December 31, 2022 and 2021 consisted of $19.7 million and $2.6 million, respectively, in costs less accumulated amortization of $6.1 million and $502,000,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94" w:name="page95"/>
    <w:bookmarkEnd w:id="94"/>
    <w:p>
      <w:pPr>
        <w:jc w:val="both"/>
        <w:ind w:firstLine="648"/>
        <w:spacing w:after="0" w:line="284" w:lineRule="auto"/>
        <w:rPr>
          <w:sz w:val="20"/>
          <w:szCs w:val="20"/>
          <w:color w:val="auto"/>
        </w:rPr>
      </w:pPr>
      <w:r>
        <w:rPr>
          <w:rFonts w:ascii="Arial" w:cs="Arial" w:eastAsia="Arial" w:hAnsi="Arial"/>
          <w:sz w:val="16"/>
          <w:szCs w:val="16"/>
          <w:b w:val="1"/>
          <w:bCs w:val="1"/>
          <w:i w:val="1"/>
          <w:iCs w:val="1"/>
          <w:color w:val="auto"/>
        </w:rPr>
        <w:t>Credit Agreement</w:t>
      </w:r>
      <w:r>
        <w:rPr>
          <w:rFonts w:ascii="Arial" w:cs="Arial" w:eastAsia="Arial" w:hAnsi="Arial"/>
          <w:sz w:val="16"/>
          <w:szCs w:val="16"/>
          <w:color w:val="auto"/>
        </w:rPr>
        <w:t>. In December 2020, the Company entered into a Credit Agreement with Fifth Third Bank, National Association (“Fifth Third”)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the administrative agent and sole lender to establish a revolving credit facility (the “Credit Agreement”) that matures on June 17, 2024. The Credit Agreement had an initial borrowing base of $40.0 million. However, the Company elected to reduce the aggregate elected commitments under the Credit Agreement to $20.0 million. In June 2021, the Company entered into the First Amendment to, among other things, (i) complete the semi-annual borrowing base redetermination process which increased the borrowing base from $40.0 million to $125.0 million and (ii) modify the terms of the Credit Agreement to increase the aggregate elected commitments from $20.0 million to $125.0 million. A syndicate of banks joined the credit facility at differing levels of commitments with Fifth Third remaining the administrative agent. In October 2021, the Company entered into the Second Amendment to, among other things, (i) complete a semi-annual borrowing base redetermination process, which increased the borrowing base from $125.0 million to $195.0 million and</w:t>
      </w:r>
    </w:p>
    <w:p>
      <w:pPr>
        <w:spacing w:after="0" w:line="1" w:lineRule="exact"/>
        <w:rPr>
          <w:sz w:val="20"/>
          <w:szCs w:val="20"/>
          <w:color w:val="auto"/>
        </w:rPr>
      </w:pPr>
    </w:p>
    <w:p>
      <w:pPr>
        <w:jc w:val="both"/>
        <w:ind w:firstLine="8"/>
        <w:spacing w:after="0" w:line="281" w:lineRule="auto"/>
        <w:tabs>
          <w:tab w:leader="none" w:pos="268" w:val="left"/>
        </w:tabs>
        <w:numPr>
          <w:ilvl w:val="0"/>
          <w:numId w:val="54"/>
        </w:numPr>
        <w:rPr>
          <w:rFonts w:ascii="Arial" w:cs="Arial" w:eastAsia="Arial" w:hAnsi="Arial"/>
          <w:sz w:val="16"/>
          <w:szCs w:val="16"/>
          <w:color w:val="auto"/>
        </w:rPr>
      </w:pPr>
      <w:r>
        <w:rPr>
          <w:rFonts w:ascii="Arial" w:cs="Arial" w:eastAsia="Arial" w:hAnsi="Arial"/>
          <w:sz w:val="16"/>
          <w:szCs w:val="16"/>
          <w:color w:val="auto"/>
        </w:rPr>
        <w:t>modify the terms of the Credit Agreement to increase the aggregate elected commitments from $125.0 million to $195.0 million. In February 2022, the Company entered into the Third Amendment to, among other things, (i) reduce the borrowing base from $195.0 million to $138.8 million, (ii) modify the terms of the Credit Agreement to reduce the aggregate elected commitments from $195.0 million to $138.8 million, (iii) update the maturity date to a springing maturity date, which will cause the Credit Agreement to mature on October 1, 2023 if the 10.000% Senior Notes are not redeemed or refinanced by that date or the terms of the 10.000% Senior Notes have not been amended to extend the scheduled repayment thereof to no earlier than October 1, 2024,</w:t>
      </w:r>
    </w:p>
    <w:p>
      <w:pPr>
        <w:spacing w:after="0" w:line="2" w:lineRule="exact"/>
        <w:rPr>
          <w:rFonts w:ascii="Arial" w:cs="Arial" w:eastAsia="Arial" w:hAnsi="Arial"/>
          <w:sz w:val="16"/>
          <w:szCs w:val="16"/>
          <w:color w:val="auto"/>
        </w:rPr>
      </w:pPr>
    </w:p>
    <w:p>
      <w:pPr>
        <w:jc w:val="both"/>
        <w:ind w:firstLine="8"/>
        <w:spacing w:after="0" w:line="283" w:lineRule="auto"/>
        <w:tabs>
          <w:tab w:leader="none" w:pos="306"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allow the Company to redeem the 10.000% Senior Notes with proceeds of a refinancing, with proceeds of an equity offering or with cash, in each case, subject to certain customary conditions and (v) replace the USD LIBOR rates with Term SOFR rates. In June 2022, the Company entered into the Fourth Amendment to, among other things, (i) increase (a) the aggregate elected commitments to $400.0 million, (b) the borrowing base to $400.0 million and (c) the maximum credit amount to $1.5 billion, (ii) increase the excess cash threshold to $75.0 million, (iii) modify the affirmative hedging requirement so that if total debt to EBITDAX is greater than 1.25 to 1.00 but less than or equal to 1.75 to 1.00, notional volumes covering the first 24 months following the measurement date shall be hedged in an amount equal to not less than 25% of the projected production and if total debt to EBITDAX is greater than 1.75 to 1.00, notional volumes covering the first 24 months following the measurement date shall be hedged in an amount equal to not less than 50% of the projection production and (iv) increase the number of banks included in the syndicate at differing levels of commitments, with Fifth Third remaining the administrative agent. In October 2022, the Company entered into the Fifth Amendment to, among other things, (i) increase the elected commitments to $525 million and the borrowing base to $550 million, (ii) require an additional borrowing base redetermination on or about December 1, 2022, (iii) modify the permitted dividends and distributions conditions such that minimum availability under the credit facility must be 25% percent (as opposed to 30% before giving effect to the Fifth Amendment) and (iv) appoint Wells Fargo Bank, National Association (“Wells Fargo”) as the new administrative agent to replace Fifth Third. In addition, in connection with the Fifth Amendment, to the extent the Company incurs any additional specified unsecured senior, senior subordinated or subordinated future indebtedness in an aggregate amount of up to $250.0 million before June 30, 2023, the Company’s obligation to reduce the borrowing base by an amount equal to 25% of the principal amount of such additional future indebtedness shall be waived. In connection with the Fifth Amendment, the lenders waived two technical events of default existing with the Credit Agreement, as it existed prior to giving effect to the Fifth Amendment, related to entering into and maintaining certain minimum hedges as of the fiscal quarters ending June 30, 2022 and September 30, 2022 and complying with the required current ratio as of the fiscal quarter ending September 30, 2022. In October 2022, the Company entered into the Sixth Amendment to, among other things, (i) change the period to 120 days following the maturity date for which there can be no scheduled principal payments, mandatory redemption or maturity date for the 10.000% Senior Notes (as defined in the Credit Agreement) and the Specified Senior Notes (as defined in the Credit Agreement), (ii) clarify that the Specified Senior Notes are subject to the restriction on the voluntary redemption by the Company of certain specified additional debt, including the 10.000% Senior Notes, (iii) add a permitted lien basket in connection with the escrow account to be opened in connection with the Specified Senior Notes and (iv) provide for an exception for the restriction on mandatory redemptions of the Specified Senior Notes in connection with the special mandatory redemption provided for with respect to the Specified Senior Notes. In December 2022, the Company entered into the Seventh Amendment to, among other things, increase the amount of Specified Senior Notes from $225.0 million to $250.0 million.</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borrowing capacity under the Credit Agreement is equal to the lowest of (i) the borrowing base (which stands at $550.0 million as of December 31, 2022), (ii) the aggregate elected commitments (which stands at $525.0 million as of December 31, 2022) and (iii) $1.5 billion. As of December 31, 2022 and 2021, the Company had $270.0 million and $100.0 million, respectively, outstanding borrowings under the Credit Agreement. Borrowings under the Credit Agreement prior to February 2022 bore interest, at the option of the Company, based on (a) a rate per annum equal to the higher of (i) the prime rate announced from time to time by Fifth Third, (ii) the weighted average of the rates on overnight federal funds transactions with members of the Federal Reserve System during the last preceding business day plus 0.5 percent and (iii) the Adjusted LIBO Rate for one-month Interest Period, plus a margin (the “Applicable Margin”) which was determined by the Borrowing Base Utilization Percentage as defined in the Credit Agreement or (b) the LIBO Rate for a one, three or six month Interest Period multiplied by the Statutory Reserve Rate. As of February 2022, borrowings under the Credit Agreement bear interest at the option of the Company, based on (a) the prime rate announced from time to time by the administrative agent or (b) a rate equal to the higher of (i) zero percent per annum and (ii) SOFR relating to quotations for 1 or 3 months. Letters of credit outstanding under the Credit Agreement are subject to a per annum fee, representing the Applicable Margin plus 0.125 percent. The Company also pays commitment fees on undrawn amounts under the Credit Agreement equal to 0.50 percent. Borrowings under the Credit Agreement are secured by a first lien security interest on substantially all assets of the Company and its restricted subsidiaries, including mortgages on the Company’s and its restricted subsidiaries’ crude oil and natural gas properties. The Credit Agreement is scheduled to have the borrowing base redetermined in early 2023 and semiannually in April and October thereafter. Additionally, the Company and Wells Fargo each have the option for a wild card evaluation between redeterminations.</w:t>
      </w:r>
    </w:p>
    <w:p>
      <w:pPr>
        <w:spacing w:after="0" w:line="16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Credit Agreement requires the maintenance of a ratio of total debt to EBITDAX, subject to certain adjustments, not to exceed 3.00 to 1.00 as of the last day of any fiscal quarter and a current ratio, subject to certain adjustments, of at least 1.00 to 1.00 as of the last day of any fiscal quarter.</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limited equity cure rights for a breach of the above-listed financial covenants. Additionally, the Credit Agreement contains additional restrictive covenants that limit the ability of the Company and its restricted subsidiaries to, among other things, incur additional indebtedness, incur additional liens, make investments and loans, enter into mergers and acquisitions, make or declare dividends and other payments, enter into certain hedging transactions, sell assets and engage in transactions with affiliates. The Credit Agreement contains customary mandatory prepayments, including a monthly mandatory prepayment if the Consolidated Cash Balance (as defined in the Credit Agreement) is in excess of $75.0 million. In addition, the Credit Agreement is subject to customary events of default, including a change in control. If an event of default occurs and is continuing, the administrative agent or the majority of the lenders may accelerate any amounts outstanding and terminate lender commitments.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5" w:name="page96"/>
    <w:bookmarkEnd w:id="95"/>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10.000% Senior Notes. </w:t>
      </w:r>
      <w:r>
        <w:rPr>
          <w:rFonts w:ascii="Arial" w:cs="Arial" w:eastAsia="Arial" w:hAnsi="Arial"/>
          <w:sz w:val="16"/>
          <w:szCs w:val="16"/>
          <w:color w:val="auto"/>
        </w:rPr>
        <w:t>In February 2022, the Company issued $225.0 million aggregate principal amount of its 10.000% Senior Notes due 2024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(“10.000% Senior Notes”), which will mature on February 15, 2024. The Company received proceeds, net of $22.1 million of issuance costs and discounts, of $202.9 million. The net proceeds were used to pay down the balance of the Credit Agreement to zero at closing and to fund our ongoing capital development program with subsequent draws on the Credit Agreement. Interest on the 10.000% Senior Notes will be payable on February 15 and August 15 of each year. The indenture governing the 10.000% Senior Notes contains restrictive covenants that limit the ability of the Company and, with respect to certain restrictive covenants, its restricted subsidiaries to, among other things, incur indebtedness, incur liens, make investments and loans, enter into mergers and acquisitions, make or declare dividends and other payments, sell assets and engage in transactions with affiliates. In addition, the indenture governing the 10.000% Senior Notes contains customary events of default, including payment events of default and events of default upon certain bankruptcy and insolvency events of default. If a bankruptcy or insolvency-related event of default occurs, the principal of, and accrued and unpaid interest on all outstanding 10.000% Senior Notes will become immediately due and payable. With respect to certain other events of default, the trustee may, in certain circumstances, pursue any available remedy to collect the payment of principal of, premium, if any, on and interest, if any, on the 10.000% Senior Notes or enforce performance of any provisions of the 10.000% Senior Notes or the indenture governing such notes.</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10.625% Senior Notes. </w:t>
      </w:r>
      <w:r>
        <w:rPr>
          <w:rFonts w:ascii="Arial" w:cs="Arial" w:eastAsia="Arial" w:hAnsi="Arial"/>
          <w:sz w:val="16"/>
          <w:szCs w:val="16"/>
          <w:color w:val="auto"/>
        </w:rPr>
        <w:t>In November 2022 and December 2022, the Company issued $225.0 million and $25.0 million, respectively, for a total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$250 million aggregate principal amount of its Senior Notes due 2024 (“10.625% Senior Notes”), which will mature on November 15, 2024. The Company received proceeds, net of $26.3 million of issuance costs and discounts, of approximately $223.7 million. The net proceeds were used to reduce the outstanding balance of the Credit Agreement at closing and for general corporate purposes. Interest on the 10.625% Senior Notes will be payable on May 15 and November 15 of each year. The indentures governing the 10.625% Senior Notes contain restrictive covenants that limit the ability of the Company and, with respect to certain restrictive covenants, its restricted subsidiaries to, among other things, incur indebtedness, incur liens, make investments and loans, enter into mergers and acquisitions, make or declare dividends and other payments, sell assets and engage in transactions with affiliates. In addition, the indentures governing the 10.625% Senior Notes contain customary events of default, including payment events of default and events of default upon certain bankruptcy and insolvency events of default. If a bankruptcy or insolvency-related event of default occurs, the principal of, and accrued and unpaid interest on all outstanding 10.625% Senior Notes will become immediately due and payable. With respect to certain other events of default, the trustee may, in certain circumstances, pursue any available remedy to collect the payment of principal of, premium, if any, on and interest, if any, on the 10.625% Senior Notes or enforce performance of any provisions of the 10.625% Senior Notes or the indenture governing such notes.</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Credit Agreement and the indentures governing the 10.000% Senior Notes and 10.625% Senior Notes have hedging obligations to which the Company adheres.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Asset Retirement Obligations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asset retirement obligations primarily relate to the future plugging and abandonment of wells and related facilities. Market risk premiums associated with asset retirement obligations are estimated to represent a component of the Company’s credit-adjusted risk-free rate that is utilized in the calculations of asset retirement obligations.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rPr>
              <w:t>Asset retirement obligations activity is as follows (in thousands):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r>
      <w:tr>
        <w:trPr>
          <w:trHeight w:val="210"/>
        </w:trPr>
        <w:tc>
          <w:tcPr>
            <w:tcW w:w="80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Beginning asset retirement obligations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4,260</w:t>
            </w:r>
          </w:p>
        </w:tc>
        <w:tc>
          <w:tcPr>
            <w:tcW w:w="10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2,293</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Liabilities incurred from new wells</w:t>
            </w:r>
          </w:p>
        </w:tc>
        <w:tc>
          <w:tcPr>
            <w:tcW w:w="10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980</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Liabilities assumed in acquisitions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981</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Liabilities divested</w:t>
            </w:r>
          </w:p>
        </w:tc>
        <w:tc>
          <w:tcPr>
            <w:tcW w:w="10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Dispositions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Revision of estimates (a)</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Accretion of discount</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Ending asset retirement obligations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7,502</w:t>
            </w: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4,260</w:t>
            </w:r>
          </w:p>
        </w:tc>
      </w:tr>
      <w:tr>
        <w:trPr>
          <w:trHeight w:val="20"/>
        </w:trPr>
        <w:tc>
          <w:tcPr>
            <w:tcW w:w="8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3" w:lineRule="exact"/>
        <w:rPr>
          <w:sz w:val="20"/>
          <w:szCs w:val="20"/>
          <w:color w:val="auto"/>
        </w:rPr>
      </w:pPr>
    </w:p>
    <w:p>
      <w:pPr>
        <w:ind w:left="340" w:right="480" w:hanging="332"/>
        <w:spacing w:after="0" w:line="277" w:lineRule="auto"/>
        <w:tabs>
          <w:tab w:leader="none" w:pos="26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revisions to the Company’s asset retirement obligation estimates are primarily due to changes in estimated costs based on experience with the properties and their expected useful lives.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2022 and 2021, all asset retirement obligations are considered noncurrent and classified as such in the accompanying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Incentive Plans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401(k) Plan. </w:t>
      </w:r>
      <w:r>
        <w:rPr>
          <w:rFonts w:ascii="Arial" w:cs="Arial" w:eastAsia="Arial" w:hAnsi="Arial"/>
          <w:sz w:val="17"/>
          <w:szCs w:val="17"/>
          <w:color w:val="auto"/>
        </w:rPr>
        <w:t>The HighPeak Energy Employees, Inc 401(k) Plan (the “401(k) Plan”) is a defined contribution plan established under Section 401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Internal Revenue Code of 1986, as amended (the “Code”).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year ended December 31, 2022 and 2021 and the period from August 22, 2020 through December 31, 2020, the Company contributed $358,000, $227,000 and $49,000 to the 401(k) Plan,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322" w:gutter="0" w:footer="0" w:header="0"/>
        </w:sectPr>
      </w:pPr>
    </w:p>
    <w:bookmarkStart w:id="96" w:name="page97"/>
    <w:bookmarkEnd w:id="96"/>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Long-Term Incentive Plan. </w:t>
      </w:r>
      <w:r>
        <w:rPr>
          <w:rFonts w:ascii="Arial" w:cs="Arial" w:eastAsia="Arial" w:hAnsi="Arial"/>
          <w:sz w:val="17"/>
          <w:szCs w:val="17"/>
          <w:color w:val="auto"/>
        </w:rPr>
        <w:t>The Company’s Second Amended &amp; Restated Long Term Incentive Plan (“LTIP”) provides for the grant of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options, dividend equivalents, cash awards and substitute awards to officers and employees of the Company, as well as stock awards to directors of the Company. The number of shares available for grant pursuant to awards under the LTIP as of December 31, 2022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2200" w:type="dxa"/>
            <w:vAlign w:val="bottom"/>
            <w:tcBorders>
              <w:bottom w:val="single" w:sz="8" w:color="auto"/>
            </w:tcBorders>
            <w:gridSpan w:val="3"/>
          </w:tcPr>
          <w:p>
            <w:pPr>
              <w:ind w:left="1080"/>
              <w:spacing w:after="0"/>
              <w:rPr>
                <w:sz w:val="20"/>
                <w:szCs w:val="20"/>
                <w:color w:val="auto"/>
              </w:rPr>
            </w:pPr>
            <w:r>
              <w:rPr>
                <w:rFonts w:ascii="Arial" w:cs="Arial" w:eastAsia="Arial" w:hAnsi="Arial"/>
                <w:sz w:val="18"/>
                <w:szCs w:val="18"/>
                <w:b w:val="1"/>
                <w:bCs w:val="1"/>
                <w:color w:val="auto"/>
                <w:w w:val="93"/>
              </w:rPr>
              <w:t>December 31,</w:t>
            </w:r>
          </w:p>
        </w:tc>
        <w:tc>
          <w:tcPr>
            <w:tcW w:w="1100" w:type="dxa"/>
            <w:vAlign w:val="bottom"/>
            <w:tcBorders>
              <w:bottom w:val="single" w:sz="8" w:color="auto"/>
            </w:tcBorders>
          </w:tcPr>
          <w:p>
            <w:pPr>
              <w:spacing w:after="0"/>
              <w:rPr>
                <w:sz w:val="20"/>
                <w:szCs w:val="20"/>
                <w:color w:val="auto"/>
              </w:rPr>
            </w:pPr>
          </w:p>
        </w:tc>
      </w:tr>
      <w:tr>
        <w:trPr>
          <w:trHeight w:val="209"/>
        </w:trPr>
        <w:tc>
          <w:tcPr>
            <w:tcW w:w="7380" w:type="dxa"/>
            <w:vAlign w:val="bottom"/>
          </w:tcPr>
          <w:p>
            <w:pPr>
              <w:spacing w:after="0"/>
              <w:rPr>
                <w:sz w:val="18"/>
                <w:szCs w:val="18"/>
                <w:color w:val="auto"/>
              </w:rPr>
            </w:pPr>
          </w:p>
        </w:tc>
        <w:tc>
          <w:tcPr>
            <w:tcW w:w="16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Approved and authorized awards</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14,340,324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12,376,766</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Awards issued under plan</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(13,769,191)</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(11,614,506)</w:t>
            </w:r>
          </w:p>
        </w:tc>
      </w:tr>
      <w:tr>
        <w:trPr>
          <w:trHeight w:val="249"/>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Awards available for future grant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571,133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762,260</w:t>
            </w:r>
          </w:p>
        </w:tc>
      </w:tr>
    </w:tbl>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Stock option awards were granted to employees on August 24, 2020, November 4, 2021, May 4, 2022 and August 15, 2022. Stock-based compensation expense related to the Company’s stock option awards for the years ended December 31, 2022, 2021 and period from August 22, 2020 through December 31, 2020 was $18.1 million, $4.6 million and $15.5 million, respectively, and as of December 31, 2022 and 2021 there was $1.1 million and $1.8 million, respectively, of unrecognized stock-based compensation expense related to unvested stock option awards. The unrecognized compensation expense will be recognized on a straight-line basis over the remaining vesting periods of the awards, which is a period of less than two years.</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estimates the fair values of stock options granted on the grant date using a Black-Scholes option valuation model, which requires the Company to make several assumptions. The expected term of options granted was determined based on the simplified method of the midpoint between the vesting dates and the contractual term of the options. The risk-free interest rate is based on the U.S. treasury yield curve rate for the expected term of the option at the date of grant and the volatility was based on the volatility of either an index of exploration and production crude oil and natural gas companies or on a peer group of companies with similar characteristics of the Company on the date of grant since the Company had minimal or did not have any trading history. More detailed stock options activity and details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98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Term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Value (in</w:t>
            </w:r>
          </w:p>
        </w:tc>
      </w:tr>
      <w:tr>
        <w:trPr>
          <w:trHeight w:val="234"/>
        </w:trPr>
        <w:tc>
          <w:tcPr>
            <w:tcW w:w="5980" w:type="dxa"/>
            <w:vAlign w:val="bottom"/>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Years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6"/>
              </w:rPr>
              <w:t>thousands)</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22, 2020</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Awards granted</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9,705,495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9,705,495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57,942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Awards granted</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442,500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(154,268)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9,983,727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10.19</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44,395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Awards granted</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1,564,500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2022</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11,517,228</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w:t>
            </w:r>
          </w:p>
        </w:tc>
        <w:tc>
          <w:tcPr>
            <w:tcW w:w="1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128,429</w:t>
            </w:r>
          </w:p>
        </w:tc>
      </w:tr>
      <w:tr>
        <w:trPr>
          <w:trHeight w:val="197"/>
        </w:trPr>
        <w:tc>
          <w:tcPr>
            <w:tcW w:w="5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31, 2021</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8,551,077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10.13</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38,556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Exercisable at December 31, 2021</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8,551,077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10.13</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8.7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38,556</w:t>
            </w:r>
          </w:p>
        </w:tc>
      </w:tr>
      <w:tr>
        <w:trPr>
          <w:trHeight w:val="216"/>
        </w:trPr>
        <w:tc>
          <w:tcPr>
            <w:tcW w:w="5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Vested at December 31, 2022</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11,304,747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12.02</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7.9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127,591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2022</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11,304,747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12.02</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127,591</w:t>
            </w: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Restricted Stock Issued to Employee Members of the Board. </w:t>
      </w:r>
      <w:r>
        <w:rPr>
          <w:rFonts w:ascii="Arial" w:cs="Arial" w:eastAsia="Arial" w:hAnsi="Arial"/>
          <w:sz w:val="17"/>
          <w:szCs w:val="17"/>
          <w:color w:val="auto"/>
        </w:rPr>
        <w:t>A total of 1,500,500 shares of restricted stock was approved by the Board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to certain employee members of the Board of the Company on November 4, 2021, which vest on the three-year anniversary of such grant assuming the employees remain in his or her position as of the anniversary date. Therefore, stock-based compensation expense of $7.2 million and $1.2 million was recognized during the years ended December 31, 2022 and 2021, respectively, and the remaining $13.2million will be recognized over the remaining restricted period, which was based upon the closing price of the stock on the date of the restricted stock issuance. The Board also cancelled the previously issued equity-based liability bonuses and approved a total of 600,000 shares of restricted stock to be granted to certain employees of the Company on June 1, 2022, which vest on November 4, 2024, assuming the employees remain in his or her position as of that date and cancelled certain contractual equity-based bonuses to such employees. Therefore, stock-based compensation expense of $7.3 million and $488,000 was recognized during the years ended December 31, 2022 and 2021, respectively, and the remaining $12.9 million will be recognized over the remaining restricted period, which was based upon the closing price of the stock on the date of the restricted stock issuance.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7" w:name="page98"/>
    <w:bookmarkEnd w:id="97"/>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Stock Issued to Outside Directors. </w:t>
      </w:r>
      <w:r>
        <w:rPr>
          <w:rFonts w:ascii="Arial" w:cs="Arial" w:eastAsia="Arial" w:hAnsi="Arial"/>
          <w:sz w:val="17"/>
          <w:szCs w:val="17"/>
          <w:color w:val="auto"/>
        </w:rPr>
        <w:t>A total of 21,184 shares of restricted stock was approved by the Board to be granted to the outside directors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on June 1, 2022, which will vest at the next annual meeting, assuming the Board members maintain their positions on the Board. Therefore, stock-based compensation expense of $427,000 was recognized during the year ended December 31, 2022 and the remaining $305,000 will be recognized between January and June 2023, which was based upon the closing price of the stock on the date of the restricted stock issuance. In addition, a total of 67,779 shares of restricted stock was approved by the Board to be granted to the outside directors of the Company on June 1, 2021, which vested in January 2022. Therefore, the remaining stock-based compensation expense of $284,000 was recognized during the year ended December 31, 2022, which was based upon the closing price of the stock on the date of the restricted stock issuance.</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 was issued to the outside directors of the Company in November 2020 in the amount of 12,500 shares for each outside director, totaling 62,500 shares. There were no restrictions of these shares. Therefore stock-based compensation expense was recognized immediately upon the issuance of these shares in the amount of $302,000 which was based upon the closing price of the stock on the date the stock issuance was approved by the Board of the Company.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The Company follows ASC Topic 842, “Leases” to account for its operating and finance leases. Therefore, as of December 31, 2022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had right-of-use assets totaling $333,000 included in other noncurrent assets and operating lease liabilities totaling $343,000, included in other current liabilities, and as of December 31, 2021 the Company had right-of-use assets totaling $852,000 included in other noncurrent assets and operating lease liabilities totaling $856,000, $513,000 of which are included in other current liabilities and $343,000 of which are included in other noncurrent liabilities on the accompanying consolidated balance sheets. The Company does not currently have any finance right-of-use leases. Maturities of the operating lease obligations are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9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09"/>
        </w:trPr>
        <w:tc>
          <w:tcPr>
            <w:tcW w:w="9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r>
      <w:tr>
        <w:trPr>
          <w:trHeight w:val="210"/>
        </w:trPr>
        <w:tc>
          <w:tcPr>
            <w:tcW w:w="9080" w:type="dxa"/>
            <w:vAlign w:val="bottom"/>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349</w:t>
            </w:r>
          </w:p>
        </w:tc>
      </w:tr>
      <w:tr>
        <w:trPr>
          <w:trHeight w:val="216"/>
        </w:trPr>
        <w:tc>
          <w:tcPr>
            <w:tcW w:w="9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present value discount</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908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w:t>
            </w:r>
          </w:p>
        </w:tc>
      </w:tr>
      <w:tr>
        <w:trPr>
          <w:trHeight w:val="20"/>
        </w:trPr>
        <w:tc>
          <w:tcPr>
            <w:tcW w:w="9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Legal actions. </w:t>
      </w:r>
      <w:r>
        <w:rPr>
          <w:rFonts w:ascii="Arial" w:cs="Arial" w:eastAsia="Arial" w:hAnsi="Arial"/>
          <w:sz w:val="18"/>
          <w:szCs w:val="18"/>
          <w:color w:val="auto"/>
        </w:rPr>
        <w:t>From time to time, the Company may be a party to various proceedings and claims incidental to its business. While many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Indemnifications. </w:t>
      </w:r>
      <w:r>
        <w:rPr>
          <w:rFonts w:ascii="Arial" w:cs="Arial" w:eastAsia="Arial" w:hAnsi="Arial"/>
          <w:sz w:val="18"/>
          <w:szCs w:val="18"/>
          <w:color w:val="auto"/>
        </w:rPr>
        <w:t>The Company has agreed to indemnify its directors, officers and certain employees and agents with respect to claims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damages arising from acts or omissions taken in such capacity, as well as with respect to certain litigation.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Environmental. </w:t>
      </w:r>
      <w:r>
        <w:rPr>
          <w:rFonts w:ascii="Arial" w:cs="Arial" w:eastAsia="Arial" w:hAnsi="Arial"/>
          <w:sz w:val="16"/>
          <w:szCs w:val="16"/>
          <w:color w:val="auto"/>
        </w:rPr>
        <w:t>Environmental expenditures that relate to an existing condition caused by past operations and have no future economic benefits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Crude oil delivery commitments. </w:t>
      </w:r>
      <w:r>
        <w:rPr>
          <w:rFonts w:ascii="Arial" w:cs="Arial" w:eastAsia="Arial" w:hAnsi="Arial"/>
          <w:sz w:val="17"/>
          <w:szCs w:val="17"/>
          <w:color w:val="auto"/>
        </w:rPr>
        <w:t>In May 2021, the Company entered into a crude oil marketing contract with DK Trading &amp; Supply,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(“Delek”) as the purchaser and DKL Permian Gathering, LLC (“DKL”) as the gatherer and transporter. The contract includes the Company’s current and future crude oil production from the majority of its horizontal wells in Flat Top where DKL is continually constructing a crude oil gathering system and custody transfer meters to most of the Company’s central tank batteries. The contract contains a minimum volume commitment commencing October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December 31, 2022, the Company has delivered approximately 22,800 Bopd under the contract. The remaining monetary commitment as of December 31, 2022, if the Company never delivers any additional volumes under the agreement, is approximately $18.3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8" w:name="page99"/>
    <w:bookmarkEnd w:id="98"/>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Natural gas purchasing replacement contract. </w:t>
      </w:r>
      <w:r>
        <w:rPr>
          <w:rFonts w:ascii="Arial" w:cs="Arial" w:eastAsia="Arial" w:hAnsi="Arial"/>
          <w:sz w:val="17"/>
          <w:szCs w:val="17"/>
          <w:color w:val="auto"/>
        </w:rPr>
        <w:t>In May 2021, the Company entered into a replacement natural gas purchase contract with WTG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Gas Processing, L.P. (“WTG”) as the gatherer, processor and purchaser of the Company’s current and future gross natural gas production in Flat Top. The replacement contract provides the Company with improved natural gas and NGL pricing and requires WTG to expand its current low-pressure gathering system, which eliminates the need for in-field compression in Flat Top to accommodate the Company’s increased natural gas production volumes based on the current plan of development. The Company will provide WTG with certain aid-in-construction payments to be reimbursed over time based on throughput through the system. The replacement contract does not contain any minimum volume commitments.</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Power contracts. </w:t>
      </w:r>
      <w:r>
        <w:rPr>
          <w:rFonts w:ascii="Arial" w:cs="Arial" w:eastAsia="Arial" w:hAnsi="Arial"/>
          <w:sz w:val="17"/>
          <w:szCs w:val="17"/>
          <w:color w:val="auto"/>
        </w:rPr>
        <w:t>In June 2021, the Company entered into a contract with Priority Power Management, LLC (“Priority Power”) whereby Priority</w:t>
      </w:r>
      <w:r>
        <w:rPr>
          <w:rFonts w:ascii="Arial" w:cs="Arial" w:eastAsia="Arial" w:hAnsi="Arial"/>
          <w:sz w:val="17"/>
          <w:szCs w:val="17"/>
          <w:b w:val="1"/>
          <w:bCs w:val="1"/>
          <w:color w:val="auto"/>
        </w:rPr>
        <w:t xml:space="preserve"> </w:t>
      </w:r>
      <w:r>
        <w:rPr>
          <w:rFonts w:ascii="Arial" w:cs="Arial" w:eastAsia="Arial" w:hAnsi="Arial"/>
          <w:sz w:val="17"/>
          <w:szCs w:val="17"/>
          <w:color w:val="auto"/>
        </w:rPr>
        <w:t>Power will develop an electric high-voltage (“EHV”) substation, medium voltage distribution systems and a 13-megawatt direct current solar photovoltaic facility located on approximately 80 acres of land owned by the Company north of Big Spring, Texas in Howard County to provide for the Company’s electrical power needs in its Flat Top operating area including powering drilling rigs and day-to-day operations. The EHV substation was interconnected with the ERCOT transmission grid in May 2022 via the local electric utility, has an initial capacity of up to fifty megavolt amperes and was designed for future expansion capability. The solar generation facility will be interconnected with the medium voltage distribution system that will be energized from the new EHV substation. Priority Power will develop, finance, engineer, construct, operate and maintain the project facilities.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Also in June 2021, the Company entered into a contract with Oncor Electric Delivery Company, LLC (“Oncor”) to construct certain facilities to deliver electricity to the aforementioned substation. In conjunction with this contract, the Company issued a $1.9 million letter of credit to Oncor until such time as the Company’s load meets or exceeds 12 megawatts as measured during any fifteen (15) minute interval on or before May 20, 2023. This requirement was met in late 2022 and the letter of credit was released during the fourth quarter of 2022 accordingly.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Finally, in June 2022, the Company entered into a contract with TXU Energy Retail Company LLC (“TXU”) to provide a block of electric power via the aforementioned transmission system at an attractive variable rate, which fluctuates based on the usage by the Company through May 31, 2032. In conjunction with this contract, the Company issued a $1.7 million letter of Credit in lieu of a deposit to TXU that is cancellable at the end of the contract term.</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Sand commitments. </w:t>
      </w:r>
      <w:r>
        <w:rPr>
          <w:rFonts w:ascii="Arial" w:cs="Arial" w:eastAsia="Arial" w:hAnsi="Arial"/>
          <w:sz w:val="17"/>
          <w:szCs w:val="17"/>
          <w:color w:val="auto"/>
        </w:rPr>
        <w:t>The Company is party to an agreement whereby it has agreed to purchase at least 600,000 tons of sand over a two-year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beginning at the commencement date of the sand mine being operational, which was late in the second quarter of 2022. There are stipulations in the agreement that reduce this commitment should we experience a downturn in crude oil prices. As of December 31, 2022, the Company has purchased approximately 279,000 tons of sand under the contract. However, generally if the Company never takes delivery of any additional sand under the agreement, the monetary commitment that remains as of December 31, 2022 is approximately $4.6 million.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Water Treatment. </w:t>
      </w:r>
      <w:r>
        <w:rPr>
          <w:rFonts w:ascii="Arial" w:cs="Arial" w:eastAsia="Arial" w:hAnsi="Arial"/>
          <w:sz w:val="18"/>
          <w:szCs w:val="18"/>
          <w:color w:val="auto"/>
        </w:rPr>
        <w:t>In September 2021, the Company entered into a contract with Pilot Exploration, Inc., (“Pilot”), whose President and CEO is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outside director of the Company, to deploy Pilot’s proprietary water treatment technology in the Company’s Flat Top area to treat up to 25,000 barrels of produced water per day that can be reused in the Company’s completion operations or sold to third parties for their completion operations. This contract was set to expire on March 1, 2022, however it was extended to October 1, 2022 based on the early results of the project. During the year ended December 31, 2022, the Company paid $2.0 million to Pilot for such services.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May 2022, the Company entered into an agreement with Pilot to utilize Pilot’s proprietary water treatment technology in the Company’s Flat Top area to treat produced water such that it can be reused in the Company’s completion operations or sold to third parties for their completion operations. During the one-year term of the agreement, beginning on October 1, 2022, the Company has agreed to a minimum volume commitment of 29.2 million barrels of produced water while maintaining the ability to bank excess produced water processed each month toward the minimum volume commitment. During the year ended December 31, 2022, the Company paid $1.6 million to Pilot for such services. The monetary commitment, if the Company never delivers any additional produced water to be treated under the agreement, is approximately $4.4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9" w:name="page100"/>
    <w:bookmarkEnd w:id="99"/>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HighPeak Business Combination. </w:t>
      </w:r>
      <w:r>
        <w:rPr>
          <w:rFonts w:ascii="Arial" w:cs="Arial" w:eastAsia="Arial" w:hAnsi="Arial"/>
          <w:sz w:val="18"/>
          <w:szCs w:val="18"/>
          <w:color w:val="auto"/>
        </w:rPr>
        <w:t>On August 21, 2020, the Company completed the HighPeak business combination between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Pure, HPK LP, HighPeak I, and HighPeak II. HighPeak I and HighPeak II contributed their partnership interests in HPK LP to the Company in return for 76,383,054 shares of publicly traded common stock of the Company. The table below shows the construction of the beginning balance sheet of the Company on August 22, 2020 upon the closing of the HighPeak business combination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5"/>
              </w:rPr>
              <w:t>(d)</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(f)</w:t>
            </w:r>
          </w:p>
        </w:tc>
        <w:tc>
          <w:tcPr>
            <w:tcW w:w="100" w:type="dxa"/>
            <w:vAlign w:val="bottom"/>
          </w:tcPr>
          <w:p>
            <w:pPr>
              <w:spacing w:after="0"/>
              <w:rPr>
                <w:sz w:val="20"/>
                <w:szCs w:val="20"/>
                <w:color w:val="auto"/>
              </w:rPr>
            </w:pPr>
          </w:p>
        </w:tc>
        <w:tc>
          <w:tcPr>
            <w:tcW w:w="1000" w:type="dxa"/>
            <w:vAlign w:val="bottom"/>
            <w:gridSpan w:val="2"/>
            <w:vMerge w:val="restart"/>
          </w:tcPr>
          <w:p>
            <w:pPr>
              <w:jc w:val="center"/>
              <w:ind w:right="10"/>
              <w:spacing w:after="0"/>
              <w:rPr>
                <w:sz w:val="20"/>
                <w:szCs w:val="20"/>
                <w:color w:val="auto"/>
              </w:rPr>
            </w:pPr>
            <w:r>
              <w:rPr>
                <w:rFonts w:ascii="Arial" w:cs="Arial" w:eastAsia="Arial" w:hAnsi="Arial"/>
                <w:sz w:val="18"/>
                <w:szCs w:val="18"/>
                <w:b w:val="1"/>
                <w:bCs w:val="1"/>
                <w:color w:val="auto"/>
                <w:w w:val="88"/>
              </w:rPr>
              <w:t>Beginning</w:t>
            </w: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6"/>
              </w:rPr>
              <w:t>Issuance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2"/>
              </w:rPr>
              <w:t>HighPeak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Balance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2"/>
              </w:rPr>
              <w:t>HighPeak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Energy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Cash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Deferred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Sheet on</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w w:val="97"/>
              </w:rPr>
              <w:t>Employees,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Offering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Tax</w:t>
            </w:r>
          </w:p>
        </w:tc>
        <w:tc>
          <w:tcPr>
            <w:tcW w:w="100" w:type="dxa"/>
            <w:vAlign w:val="bottom"/>
          </w:tcPr>
          <w:p>
            <w:pPr>
              <w:spacing w:after="0"/>
              <w:rPr>
                <w:sz w:val="18"/>
                <w:szCs w:val="18"/>
                <w:color w:val="auto"/>
              </w:rPr>
            </w:pPr>
          </w:p>
        </w:tc>
        <w:tc>
          <w:tcPr>
            <w:tcW w:w="10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9"/>
              </w:rPr>
              <w:t>August 22,</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HPK LP</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Pure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Inc.</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3"/>
              </w:rPr>
              <w:t>Costs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Liability</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92,554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86,483</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4,944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92,554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89,510</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Arial" w:cs="Arial" w:eastAsia="Arial" w:hAnsi="Arial"/>
                <w:sz w:val="18"/>
                <w:szCs w:val="18"/>
                <w:color w:val="auto"/>
                <w:w w:val="96"/>
              </w:rPr>
              <w:t>Total crude oil and natural gas properties, net</w:t>
            </w: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452,039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452,039</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property and equipment, net</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9"/>
        </w:trPr>
        <w:tc>
          <w:tcPr>
            <w:tcW w:w="35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457,419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92,554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541,985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35,794</w:t>
            </w:r>
          </w:p>
        </w:tc>
        <w:tc>
          <w:tcPr>
            <w:tcW w:w="3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2,025</w:t>
            </w:r>
          </w:p>
        </w:tc>
        <w:tc>
          <w:tcPr>
            <w:tcW w:w="30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77</w:t>
            </w:r>
          </w:p>
        </w:tc>
        <w:tc>
          <w:tcPr>
            <w:tcW w:w="2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(9,538)</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28,358</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39,946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39,946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Notes payable (receivable)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521,682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623,765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562,054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(90,780)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(90,780)</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Total stockholders' equity/partner's capital</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430,902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102,092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471,283</w:t>
            </w:r>
          </w:p>
        </w:tc>
        <w:tc>
          <w:tcPr>
            <w:tcW w:w="0" w:type="dxa"/>
            <w:vAlign w:val="bottom"/>
          </w:tcPr>
          <w:p>
            <w:pPr>
              <w:spacing w:after="0"/>
              <w:rPr>
                <w:sz w:val="1"/>
                <w:szCs w:val="1"/>
                <w:color w:val="auto"/>
              </w:rPr>
            </w:pPr>
          </w:p>
        </w:tc>
      </w:tr>
      <w:tr>
        <w:trPr>
          <w:trHeight w:val="195"/>
        </w:trPr>
        <w:tc>
          <w:tcPr>
            <w:tcW w:w="3500" w:type="dxa"/>
            <w:vAlign w:val="bottom"/>
          </w:tcPr>
          <w:p>
            <w:pPr>
              <w:ind w:left="180"/>
              <w:spacing w:after="0" w:line="195" w:lineRule="exact"/>
              <w:rPr>
                <w:sz w:val="20"/>
                <w:szCs w:val="20"/>
                <w:color w:val="auto"/>
              </w:rPr>
            </w:pPr>
            <w:r>
              <w:rPr>
                <w:rFonts w:ascii="Arial" w:cs="Arial" w:eastAsia="Arial" w:hAnsi="Arial"/>
                <w:sz w:val="18"/>
                <w:szCs w:val="18"/>
                <w:color w:val="auto"/>
              </w:rPr>
              <w:t>Total liabilities and stockholders'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457,419</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30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rPr>
              <w:t>125</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92,554</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(8,114)</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541,985</w:t>
            </w:r>
          </w:p>
        </w:tc>
        <w:tc>
          <w:tcPr>
            <w:tcW w:w="0" w:type="dxa"/>
            <w:vAlign w:val="bottom"/>
          </w:tcPr>
          <w:p>
            <w:pPr>
              <w:spacing w:after="0"/>
              <w:rPr>
                <w:sz w:val="1"/>
                <w:szCs w:val="1"/>
                <w:color w:val="auto"/>
              </w:rPr>
            </w:pPr>
          </w:p>
        </w:tc>
      </w:tr>
      <w:tr>
        <w:trPr>
          <w:trHeight w:val="190"/>
        </w:trPr>
        <w:tc>
          <w:tcPr>
            <w:tcW w:w="3500" w:type="dxa"/>
            <w:vAlign w:val="bottom"/>
          </w:tcPr>
          <w:p>
            <w:pPr>
              <w:ind w:left="180"/>
              <w:spacing w:after="0" w:line="190" w:lineRule="exact"/>
              <w:rPr>
                <w:sz w:val="20"/>
                <w:szCs w:val="20"/>
                <w:color w:val="auto"/>
              </w:rPr>
            </w:pPr>
            <w:r>
              <w:rPr>
                <w:rFonts w:ascii="Arial" w:cs="Arial" w:eastAsia="Arial" w:hAnsi="Arial"/>
                <w:sz w:val="18"/>
                <w:szCs w:val="18"/>
                <w:color w:val="auto"/>
              </w:rPr>
              <w:t>equity/partners' capital</w:t>
            </w:r>
          </w:p>
        </w:tc>
        <w:tc>
          <w:tcPr>
            <w:tcW w:w="1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HPK LP’s condensed consolidated balance sheet estimated as of August 21, 2020.</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Represents Pure’s condensed consolidated balance sheet estimated as of August 21, 2020 after taking into account: (i) the closing of its trust account,</w:t>
      </w:r>
    </w:p>
    <w:p>
      <w:pPr>
        <w:spacing w:after="0" w:line="32" w:lineRule="exact"/>
        <w:rPr>
          <w:rFonts w:ascii="Arial" w:cs="Arial" w:eastAsia="Arial" w:hAnsi="Arial"/>
          <w:sz w:val="16"/>
          <w:szCs w:val="16"/>
          <w:color w:val="auto"/>
        </w:rPr>
      </w:pPr>
    </w:p>
    <w:p>
      <w:pPr>
        <w:jc w:val="both"/>
        <w:ind w:left="260" w:hanging="9"/>
        <w:spacing w:after="0" w:line="265" w:lineRule="auto"/>
        <w:tabs>
          <w:tab w:leader="none" w:pos="553"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redemption of Pure’s Class A Common Stock by the former public stockholders of Pure that elected to redeem, (iii) paying out the cash consideration to those former public stockholders of Pure who elected to remain and (iv) the conversion of the remaining shares of Pure’s Class A Common Stock to HighPeak Energy common stock upon the closing of the HighPeak business combination. The $13.7 million reduction to equity is considered noncash offering costs on the condensed consolidated statement of changes in stockholders’ equity.</w:t>
      </w:r>
    </w:p>
    <w:p>
      <w:pPr>
        <w:ind w:left="260" w:hanging="252"/>
        <w:spacing w:after="0" w:line="250" w:lineRule="auto"/>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the balance sheet of HighPeak Energy Employees, Inc which was acquired by the Company for $10.00 upon the closing of the HighPeak business combination.</w:t>
      </w:r>
    </w:p>
    <w:p>
      <w:pPr>
        <w:jc w:val="both"/>
        <w:ind w:left="260" w:hanging="252"/>
        <w:spacing w:after="0" w:line="250" w:lineRule="auto"/>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the issuance by the Company of 91,592,354 shares of common stock, 10,538,183 warrants and 10,209,300 Contingent Value Rights upon the closing of the HighPeak business combination. The reduction to accounts payable of $9.5 million represents those vendors of HPK LP that purchased shares under the Forward Purchase Agreement Amendment (as defined below) in the HighPeak business combination in lieu of being paid cash for the majority of their outstanding balances.</w:t>
      </w:r>
    </w:p>
    <w:p>
      <w:pPr>
        <w:spacing w:after="0" w:line="1" w:lineRule="exact"/>
        <w:rPr>
          <w:rFonts w:ascii="Arial" w:cs="Arial" w:eastAsia="Arial" w:hAnsi="Arial"/>
          <w:sz w:val="18"/>
          <w:szCs w:val="18"/>
          <w:color w:val="auto"/>
        </w:rPr>
      </w:pPr>
    </w:p>
    <w:p>
      <w:pPr>
        <w:ind w:left="260" w:right="20" w:hanging="252"/>
        <w:spacing w:after="0" w:line="250" w:lineRule="auto"/>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the cash costs paid for the offering of the aforementioned shares in addition to the cash costs that had previously been incurred by Pure of $13.7 million in column (b).</w:t>
      </w:r>
    </w:p>
    <w:p>
      <w:pPr>
        <w:ind w:left="260" w:hanging="252"/>
        <w:spacing w:after="0" w:line="260" w:lineRule="auto"/>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the beginning deferred tax liability of the Company given the combination of all the entities, most of which originated from HPK LP which was a partnership for U.S. federal income tax purposes and therefore did not record a deferred tax liability.</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Pursuant to the Business Combination Agreement, among other things, (a) MergerSub merged with and into Pure, with Pure surviving as a wholly owned subsidiary of the Company, (b) each outstanding share of Pure’s Class A Common Stock and Pure’s Class B Common Stock (other than certain shares of Pure’s Class B Common Stock that were surrendered for cancellation by Pure’s Sponsor) were converted into the right to receive (A) one share of HighPeak Energy common stock (and cash in lieu of fractional shares), and (B) solely with respect to each outstanding share of Pure’s Class A Common Stock, (i) a cash amount, without interest, equal to $0.62, which represented the amount by which the per-share redemption value of Pure’s Class A Common Stock that exceeded $10.00 per share at the closing, without interest, in each case, totaling approximately $767,902, (ii) one Contingent Value Right (“CVR”) for each one whole share of HighPeak Energy common stock (excluding fractional shares) issued to holders of Pure’s Class A Common Stock pursuant to clause (A), representing the right to receive additional shares of HighPeak Energy common stock (or such other specified consideration as is specified with respect to certain events) under certain circumstances, if necessary, to satisfy a 10% preferred simple annual return, subject to a floor downside per-share price of $4.00, as measured at the applicable maturity, which occurred on August 21, 2022 and (iii) one warrant to purchase HighPeak Energy common stock for each one whole share of HighPeak Energy common stock (excluding fractional shares) issued to holders of Pure’s Class A Common Stock pursuant to clause (A), (c) the HPK Contributors (A) contributed their limited partner interests in HPK LP to the Company in exchange for HighPeak Energy common stock and the general partner interests in HPK LP to a wholly owned subsidiary of the Company in exchange for no consideration, and (B) contributed the outstanding Sponsor Loans (as defined in the Business Combination Agreement) in exchange for HighPeak Energy common stock and such Sponsor Loans were cancelled in connection with the closing of the HighPeak business combination and (d) following the consummation of the foregoing transactions, the Company caused HPK LP to merge with and into the HighPeak Energy Acquisition (as successor to Pure) and all interests in HPK LP were cancelled in exchange for no consideration.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0" w:name="page101"/>
    <w:bookmarkEnd w:id="100"/>
    <w:p>
      <w:pPr>
        <w:jc w:val="both"/>
        <w:ind w:firstLine="648"/>
        <w:spacing w:after="0" w:line="270" w:lineRule="auto"/>
        <w:rPr>
          <w:sz w:val="20"/>
          <w:szCs w:val="20"/>
          <w:color w:val="auto"/>
        </w:rPr>
      </w:pPr>
      <w:r>
        <w:rPr>
          <w:rFonts w:ascii="Arial" w:cs="Arial" w:eastAsia="Arial" w:hAnsi="Arial"/>
          <w:sz w:val="17"/>
          <w:szCs w:val="17"/>
          <w:color w:val="auto"/>
        </w:rPr>
        <w:t>HighPeak I and HighPeak II collectively received 76,383,054 shares of HighPeak Energy common stock pursuant to the Business Combination Agreement. Further, certain of the Company’s executive officers and directors received the consideration provided by the HighPeak business combination through their ownership of Pure’s Class A Common Stock. Steven W. Tholen, the Company’s Chief Financial Officer received 5,000 shares of HighPeak Energy common stock, 5,000 CVRs and 5,000 warrants in exchange for shares of Pure’s Class A Common Stock owned by him prior to the HighPeak business combination. Michael L. Hollis, the Company’s President and member of the Company’s board of directors (the “Board”), received 16,802 shares of HighPeak Energy common stock, 16,802 CVRs and 20,382 warrants in exchange for shares of Pure’s Class A Common Stock and Pure’s warrants, respectively, owned by him prior to the HighPeak business combination. Further, Rodney L. Woodard, the Chief Operating Officer of the Company, received 14,000 shares of HighPeak Energy common stock, 14,000 CVRs and 14,000 warrants in exchange for shares of Pure’s Class A Common Stock and Pure’s warrants, respectively, owned by him prior to the HighPeak business combination.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Unaudited Pro Forma Operating Results. </w:t>
      </w:r>
      <w:r>
        <w:rPr>
          <w:rFonts w:ascii="Arial" w:cs="Arial" w:eastAsia="Arial" w:hAnsi="Arial"/>
          <w:sz w:val="18"/>
          <w:szCs w:val="18"/>
          <w:color w:val="auto"/>
        </w:rPr>
        <w:t>The following unaudited pro forma combined financial information has been prepared as if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HighPeak business combination and the HPK LP business combination had taken place on January 1, 2020. The unaudited pro forma consolidated financial information has been prepared using the reverse merger business combination method of accounting in accordance with GAAP. The information reflects pro forma adjustments based on available information and certain assumptions that the Company believes are reasonable and the estimated tax impacts of the pro forma adjustments.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pro forma condensed combined financial information has been included for comparative purposes and is not necessarily indicative of the results that might have actually occurred had the business combinations taken place on January 1, 2020; furthermore, the financial information is not intended to be a projection of future results (in thousands, except per share amounts).</w:t>
      </w:r>
    </w:p>
    <w:p>
      <w:pPr>
        <w:spacing w:after="0" w:line="180" w:lineRule="exact"/>
        <w:rPr>
          <w:sz w:val="20"/>
          <w:szCs w:val="20"/>
          <w:color w:val="auto"/>
        </w:rPr>
      </w:pPr>
    </w:p>
    <w:p>
      <w:pPr>
        <w:jc w:val="center"/>
        <w:ind w:left="9560"/>
        <w:spacing w:after="0"/>
        <w:rPr>
          <w:sz w:val="20"/>
          <w:szCs w:val="20"/>
          <w:color w:val="auto"/>
        </w:rPr>
      </w:pPr>
      <w:r>
        <w:rPr>
          <w:rFonts w:ascii="Arial" w:cs="Arial" w:eastAsia="Arial" w:hAnsi="Arial"/>
          <w:sz w:val="18"/>
          <w:szCs w:val="18"/>
          <w:b w:val="1"/>
          <w:bCs w:val="1"/>
          <w:color w:val="auto"/>
        </w:rPr>
        <w:t>(Unaudited Pro</w:t>
      </w:r>
    </w:p>
    <w:p>
      <w:pPr>
        <w:spacing w:after="0" w:line="27" w:lineRule="exact"/>
        <w:rPr>
          <w:sz w:val="20"/>
          <w:szCs w:val="20"/>
          <w:color w:val="auto"/>
        </w:rPr>
      </w:pPr>
    </w:p>
    <w:p>
      <w:pPr>
        <w:jc w:val="center"/>
        <w:ind w:left="9560"/>
        <w:spacing w:after="0"/>
        <w:rPr>
          <w:sz w:val="20"/>
          <w:szCs w:val="20"/>
          <w:color w:val="auto"/>
        </w:rPr>
      </w:pPr>
      <w:r>
        <w:rPr>
          <w:rFonts w:ascii="Arial" w:cs="Arial" w:eastAsia="Arial" w:hAnsi="Arial"/>
          <w:sz w:val="18"/>
          <w:szCs w:val="18"/>
          <w:b w:val="1"/>
          <w:bCs w:val="1"/>
          <w:color w:val="auto"/>
        </w:rPr>
        <w:t>Forma)</w:t>
      </w:r>
    </w:p>
    <w:p>
      <w:pPr>
        <w:spacing w:after="0" w:line="9" w:lineRule="exact"/>
        <w:rPr>
          <w:sz w:val="20"/>
          <w:szCs w:val="20"/>
          <w:color w:val="auto"/>
        </w:rPr>
      </w:pPr>
    </w:p>
    <w:p>
      <w:pPr>
        <w:jc w:val="center"/>
        <w:ind w:left="9560"/>
        <w:spacing w:after="0"/>
        <w:rPr>
          <w:sz w:val="20"/>
          <w:szCs w:val="20"/>
          <w:color w:val="auto"/>
        </w:rPr>
      </w:pPr>
      <w:r>
        <w:rPr>
          <w:rFonts w:ascii="Arial" w:cs="Arial" w:eastAsia="Arial" w:hAnsi="Arial"/>
          <w:sz w:val="18"/>
          <w:szCs w:val="18"/>
          <w:b w:val="1"/>
          <w:bCs w:val="1"/>
          <w:color w:val="auto"/>
        </w:rPr>
        <w:t>Year Ended</w:t>
      </w:r>
    </w:p>
    <w:p>
      <w:pPr>
        <w:spacing w:after="0" w:line="9" w:lineRule="exact"/>
        <w:rPr>
          <w:sz w:val="20"/>
          <w:szCs w:val="20"/>
          <w:color w:val="auto"/>
        </w:rPr>
      </w:pPr>
    </w:p>
    <w:p>
      <w:pPr>
        <w:jc w:val="center"/>
        <w:ind w:left="956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p>
      <w:pPr>
        <w:jc w:val="center"/>
        <w:ind w:left="9560"/>
        <w:spacing w:after="0"/>
        <w:rPr>
          <w:sz w:val="20"/>
          <w:szCs w:val="20"/>
          <w:color w:val="auto"/>
        </w:rPr>
      </w:pPr>
      <w:r>
        <w:rPr>
          <w:rFonts w:ascii="Arial" w:cs="Arial" w:eastAsia="Arial" w:hAnsi="Arial"/>
          <w:sz w:val="18"/>
          <w:szCs w:val="18"/>
          <w:b w:val="1"/>
          <w:bCs w:val="1"/>
          <w:color w:val="auto"/>
        </w:rPr>
        <w:t>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4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24,623</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loss attributable to Common Stock</w:t>
            </w:r>
          </w:p>
        </w:tc>
        <w:tc>
          <w:tcPr>
            <w:tcW w:w="3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(23,310)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bl>
    <w:p>
      <w:pPr>
        <w:spacing w:after="0" w:line="20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Contingent Value Rights. </w:t>
      </w:r>
      <w:r>
        <w:rPr>
          <w:rFonts w:ascii="Arial" w:cs="Arial" w:eastAsia="Arial" w:hAnsi="Arial"/>
          <w:sz w:val="16"/>
          <w:szCs w:val="16"/>
          <w:color w:val="auto"/>
        </w:rPr>
        <w:t>At the closing of the HighPeak business combination, the Company entered into the Contingent Value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(the “CVR Agreement”) by and among, the Company, Pure’s Sponsor, HighPeak I, HighPeak II (together with HighPeak I, the “CVR Sponsors”) and Continental Stock Transfer &amp; Trust Company, in its capacity as Rights Agent (the “Rights Agent”) whereby it issued 10,209,300 CVRs. The CVR Agreement provided for, among other things, the CVRs, which represented contractual rights to receive a contingent payment (in the form of additional shares of HighPeak Energy common stock, or as otherwise specified in the CVR Agreement) in certain circumstances that were issued to the holders of shares of Pure’s Class A Common Stock that participated in the HighPeak business combination and certain qualified institutional buyers and accredited investors, including certain affiliates and officers of the Company, that purchased forward purchase units of the Company pursuant to the Forward Purchase Agreement Amendment. Pursuant to the CVR Agreement, holders of CVRs in whose name a CVR was registered in the CVR registrar maintained by the Rights Agent at any date of determination were provided with a significant valuation protection through the opportunity to obtain additional contingent consideration in the form of additional shares of HighPeak Energy common stock if the trading price of HighPeak Energy’s common stock was below the price that would provide the holders of CVRs with a 10% preferred simple annual return on their shares of common stock held at Closing (based on a $10.00 per share price at the closing of the HighPeak business combination), subject to a floor downside per-share price of $4.00 (the “Preferred Returns”), either at (i) the date to be specified by the CVR Sponsors, which occurred on August 21, 2022. If any additional shares of HighPeak Energy common stock were issued to Qualifying CVR Holders pursuant to the CVR Agreement, the CVR Sponsors collectively forfeited an equivalent number of shares they own that are currently in escrow to the Company for cancellation. The Preferred Returns could entitle a Qualifying CVR Holder to receive up to 2.125 shares of HighPeak Energy common stock per CVR. Following the closing, the CVR Sponsors collectively placed 21,694,763 shares in escrow, which equaled the maximum number of additional shares of HighPeak Energy common stock issuable pursuant to the CVR Agreement. The CVRs expired on August 22, 2022 and the 21,694,763 shares held in escrow were released to the CVR Sponsors.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1" w:name="page102"/>
    <w:bookmarkEnd w:id="101"/>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Stockholders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Agreement. </w:t>
      </w:r>
      <w:r>
        <w:rPr>
          <w:rFonts w:ascii="Arial" w:cs="Arial" w:eastAsia="Arial" w:hAnsi="Arial"/>
          <w:sz w:val="17"/>
          <w:szCs w:val="17"/>
          <w:color w:val="auto"/>
        </w:rPr>
        <w:t>At the closing of the HighPeak business combination, Pure’s Sponsor, HighPeak I, HighPeak II, HighPeak Energy III,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LP and Jack Hightower (collectively, with each of their respective affiliates and permitted transferees, the “Principal Stockholder Group”), on the one hand, and the Company, on the other hand, entered into a Stockholders’ Agreement (the “Stockholders’ Agreement”), which governs certain rights and obligations following the HighPeak business combination. Under the Stockholders’ Agreement, the Principal Stockholder Group will be entitled, based on its percentage ownership of the total amount of HighPeak Energy common stock issued and outstanding immediately following the closing (the “Original Shares”) and provided that the Original Shares constitute not less than the percentage of the then outstanding total voting securities of the Company set forth below, to nominate a number of directors for appointment to the Board as follows:</w:t>
      </w:r>
    </w:p>
    <w:p>
      <w:pPr>
        <w:spacing w:after="0" w:line="177" w:lineRule="exact"/>
        <w:rPr>
          <w:sz w:val="20"/>
          <w:szCs w:val="20"/>
          <w:color w:val="auto"/>
        </w:rPr>
      </w:pPr>
    </w:p>
    <w:p>
      <w:pPr>
        <w:jc w:val="both"/>
        <w:ind w:left="660" w:hanging="328"/>
        <w:spacing w:after="0" w:line="25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so long as (i) the Principal Stockholder Group beneficially owns at least 35% of the Original Shares and (ii) the Original Shares constitute at least 30% of the Company’s then-outstanding voting securities, the Principal Stockholder Group can designate up to four (4) nominees, and if the Principal Stockholder Group owns less than 50% of the total outstanding voting securities, at least one nominee shall be independent as defined by applicable listing standards;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so long as (i) the Principal Stockholder Group beneficially owns less than 35% but at least 25% of the Original Shares and (ii) the Original Shares constitute at least 25% of the Company’s then-outstanding voting securities, the Principal Stockholder Group can designate up to three (3) nominees;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so long as (i) the Principal Stockholder Group beneficially owns less than 25% but at least 15% of the Original Shares and (ii) the Original Shares constitute at least 15% of the Company’s then-outstanding voting securities, the Principal Stockholder Group can designate up to two (2) nominees; and</w:t>
      </w:r>
    </w:p>
    <w:p>
      <w:pPr>
        <w:spacing w:after="0" w:line="1" w:lineRule="exact"/>
        <w:rPr>
          <w:rFonts w:ascii="Arial" w:cs="Arial" w:eastAsia="Arial" w:hAnsi="Arial"/>
          <w:sz w:val="18"/>
          <w:szCs w:val="18"/>
          <w:color w:val="auto"/>
        </w:rPr>
      </w:pPr>
    </w:p>
    <w:p>
      <w:pPr>
        <w:ind w:left="660" w:hanging="328"/>
        <w:spacing w:after="0" w:line="323"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(i) the Principal Stockholder Group beneficially owns less than 15% but at least 5% of the Original Shares and (ii) the Original Shares constitute at least 7.5% of the Company’s then-outstanding voting securities, the Principal Stockholder Group can designate one (1) nominee.</w:t>
      </w:r>
    </w:p>
    <w:p>
      <w:pPr>
        <w:spacing w:after="0" w:line="13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If at any time the Principal Stockholder Group owns less than 5% of the Original Shares or the Original Shares constitute less than 7.5% of the Company’s then-outstanding voting securities, it will cease to have any rights to designate individuals for nomination to the Board.</w:t>
      </w:r>
    </w:p>
    <w:p>
      <w:pPr>
        <w:spacing w:after="0" w:line="1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 so long as the Principal Stockholder Group has the right to designate at least one director for nomination under the Stockholders’ Agreement, the Company will take all Necessary Action (as defined therein) to ensure that the number of directors serving on the Board shall not exceed seven (7). For so long as the Principal Stockholder Group owns a number of shares of HighPeak Energy common stock equal to at least (i) 20% of the Original Shares and (ii) 7.5% of the then-outstanding voting securities of the Company, the Company and the Principal Stockholder Group shall have the right to have a representative appointed to serve on each committee of the Board (other than the audit committee) for which any such representative is eligible pursuant to applicable laws and the Nasdaq. For so long as the Principal Stockholder Group has the right to designate one or more individuals for nomination to the Board, the Principal Stockholder Group shall have the right to appoint one (1) non-voting observer to the Board.</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Stockholders’ Agreement also includes customary restrictions on the transfer of equity securities to certain persons acquiring beneficial ownership. Pursuant to the Stockholders’ Agreement, the Principal Stockholder Group will agree not to transfer, directly or indirectly, any equity securities of the Company for a period of 180 days after the Closing, subject to certain customary exceptions. The Stockholders’ Agreement will terminate as to each stockholder upon the time at which the Principal Stockholder Group no longer has the right to designate an individual for nomination to the Board under the Stockholders’ Agreement and as to a member of the Principal Stockholder Group that no longer owns any of the Original Shares.</w:t>
      </w:r>
    </w:p>
    <w:p>
      <w:pPr>
        <w:spacing w:after="0" w:line="16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i w:val="1"/>
          <w:iCs w:val="1"/>
          <w:color w:val="auto"/>
        </w:rPr>
        <w:t xml:space="preserve">Registration Rights Agreement. </w:t>
      </w:r>
      <w:r>
        <w:rPr>
          <w:rFonts w:ascii="Arial" w:cs="Arial" w:eastAsia="Arial" w:hAnsi="Arial"/>
          <w:sz w:val="16"/>
          <w:szCs w:val="16"/>
          <w:color w:val="auto"/>
        </w:rPr>
        <w:t>At the closing of the HighPeak business combination, the Company entered into the Registration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(the “Registration Rights Agreement”), by and among the Principal Stockholder Group and certain other security holders named therein, pursuant to which the Company will be obligated, subject to the terms thereof and in the manner contemplated thereby, to register for resale under the Securities Act of 1933, as amended (the “Securities Act”) all or any portion of the shares of HighPeak Energy common stock that the holders named thereto hold as of the date of such agreement and that they may acquire thereafter, including upon the conversion, exchange or redemption of any other security therefor (the “Registrable Securities”). The Company has agreed to file and cause to become effective a registration statement covering the Registrable Securities held by such holder making a demand for registration, provided that no fewer than the amount of Registrable Securities representing the lesser of</w:t>
      </w:r>
    </w:p>
    <w:p>
      <w:pPr>
        <w:spacing w:after="0" w:line="2" w:lineRule="exact"/>
        <w:rPr>
          <w:sz w:val="20"/>
          <w:szCs w:val="20"/>
          <w:color w:val="auto"/>
        </w:rPr>
      </w:pPr>
    </w:p>
    <w:p>
      <w:pPr>
        <w:jc w:val="both"/>
        <w:ind w:firstLine="8"/>
        <w:spacing w:after="0" w:line="267" w:lineRule="auto"/>
        <w:tabs>
          <w:tab w:leader="none" w:pos="227" w:val="left"/>
        </w:tabs>
        <w:numPr>
          <w:ilvl w:val="0"/>
          <w:numId w:val="59"/>
        </w:numPr>
        <w:rPr>
          <w:rFonts w:ascii="Arial" w:cs="Arial" w:eastAsia="Arial" w:hAnsi="Arial"/>
          <w:sz w:val="17"/>
          <w:szCs w:val="17"/>
          <w:color w:val="auto"/>
        </w:rPr>
      </w:pPr>
      <w:r>
        <w:rPr>
          <w:rFonts w:ascii="Arial" w:cs="Arial" w:eastAsia="Arial" w:hAnsi="Arial"/>
          <w:sz w:val="17"/>
          <w:szCs w:val="17"/>
          <w:color w:val="auto"/>
        </w:rPr>
        <w:t>$25 million or (ii) all Registrable Securities owned by such holder, as applicable, are covered under the holder’s demand for registration. The holders can submit a request beginning immediately after the HighPeak business combination. Under the Registration Rights Agreement, the holders also have “piggyback” registration rights exercisable at any time that allow them to include the shares of HighPeak Energy common stock that they own in certain registrations initiated by the Company, provided that such holder elects to include its Registrable Securities in an amount not less than $5 million. Subject to customary exceptions, holders will also have the right to request one or more underwritten offerings of Registrable Securities, provided, that, they hold at least $5 million in Registrable Securities and each such offering include a number of Registrable Securities equal to the lesser of (i) $25 million and (ii) all of the Registrable Securities owned by such holders as of the date of the request. In the event that the sale of registered securities under a registration statement would require disclosure of certain material non-public information not otherwise required to be disclosed, the Company may postpone the effectiveness of the applicable registration statement or require the suspension of sales thereunder. The Company may not delay or suspend a registration statement on more than two (2) occasions for more than sixty (60) consecutive calendar days or more than ninety (90) total calendar days, in each case, during any twelve (12) month period.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2" w:name="page103"/>
    <w:bookmarkEnd w:id="102"/>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Forward Purchases. </w:t>
      </w:r>
      <w:r>
        <w:rPr>
          <w:rFonts w:ascii="Arial" w:cs="Arial" w:eastAsia="Arial" w:hAnsi="Arial"/>
          <w:sz w:val="16"/>
          <w:szCs w:val="16"/>
          <w:color w:val="auto"/>
        </w:rPr>
        <w:t>In connection with the closing of the HighPeak business combination, the Company also issued shares of HighPeak Energy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warrants and CVRs (the “Forward Purchases”) to certain qualified institutional buyers and accredited investors (the “Forward Purchase Investors”) pursuant to that certain Amended &amp; Restated Forward Purchase Agreement, dated as of July 24, 2020 (the “Forward Purchase Agreement Amendment”), by and among the Company, each party designated as a purchaser therein (including purchasers that subsequently joined prior to the closing of the HighPeak business combination as parties thereto), HighPeak Energy Partners, LP, and, solely for the limited purposes specified therein, Pure.</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closing of the HighPeak business combination, and subsequent to the Company’s entry into the Forward Purchase Agreement Amendment, an aggregate of 8,976,875 forward purchase units (with each forward purchase unit consisting of one share of HighPeak Energy common stock, one warrant and one CVR), for aggregate consideration of approximately $89.8 million in a private placement pursuant to the Assignment and Joinder agreements under and pursuant to the Forward Purchase Agreement Amendment. The proceeds from the Forward Purchases were used to fund a portion of the minimum equity consideration condition to closing required to effect the HighPeak business combination pursuant to the Business Combination Agreement.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Equity Offering. </w:t>
      </w:r>
      <w:r>
        <w:rPr>
          <w:rFonts w:ascii="Arial" w:cs="Arial" w:eastAsia="Arial" w:hAnsi="Arial"/>
          <w:sz w:val="18"/>
          <w:szCs w:val="18"/>
          <w:color w:val="auto"/>
        </w:rPr>
        <w:t>On October 25, 2021, the Company completed an underwritten public offering of 2,530,000 shares of its common stock pursuant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Registration Statement on Form S-1 (File No. 333-258853) filed with the SEC on October 19, 2021 and a Registration Statement on Form S-1MEF (File No. 333-260394) filed with the SEC on October 20, 2021. Michael L. Hollis, President of HighPeak Energy, participated in the offering and purchased an aggregate of 45,454 shares at the initial public offering price per share. The underwriters received a reduced underwriting discount on the shares purchased by Michael L. Hollis.</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The general partner of HPK LP utilized HighPeak Energy Management, LLC (the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to provide services and assistance to conduct, direct and exercise full control over the activities of HPK LP per its Partnership Agreement. However, the Management Company is funded via payments from the parent companies of HighPeak I and HighPeak II pursuant to their respective Limited Partnership Agreements, as amended. Therefore, HPK LP reimbursed the parent companies of HighPeak I and HighPeak II for actual costs incurred by the Management Company. During the period from January 1, 2020 through August 21, 2020, HPK LP paid $2.4 million each to the parent companies of HighPeak I and HighPeak II of which $4.7 million is included in general and administrative expenses in the accompanying results of operations for the period from January 1, 2020 through August 21, 2020. Effective upon closing of the HighPeak business combination, the Management Company is no longer being paid by the Company as all costs directly attributable to the Company are paid by the Company going forward.</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Private Investment in Public Equity. </w:t>
      </w:r>
      <w:r>
        <w:rPr>
          <w:rFonts w:ascii="Arial" w:cs="Arial" w:eastAsia="Arial" w:hAnsi="Arial"/>
          <w:sz w:val="17"/>
          <w:szCs w:val="17"/>
          <w:color w:val="auto"/>
        </w:rPr>
        <w:t>On August 22 and 23, 2022, HighPeak Energy entered into multiple Subscription Agreements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“Subscription Agreements”) with certain accredited investors (collectively, the “Investors”) pursuant to which, among other things, the Investors agreed to subscribe for and purchase, and the Company agreed to issue and sell to the Investors, an aggregate 2,855,162 newly issued shares of the Company’s common stock at a price per share of $21.61 (as determined by the 5-day volume weighted average trading price per share for the five trading days immediately prior to (and excluding) August 22, 2022), for aggregate gross proceeds of approximately $61.7 million. The Company used the proceeds of the Private Placement for general corporate purposes. The transactions contemplated by the Subscription Agreements closed in multiple closings on or about September 2, 2022, subject to customary closing conditions.</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part of the private placement, certain related persons of the Company participated as investors, and such participation was approved by the Board pursuant to and in accordance with the terms of the Related Party Transactions Policy adopted by the Board on August 21, 2020. Specifically, Messrs. Jack Hightower (the Company’s Chief Executive Officer), Michael Hollis (the Company’s President), Steven Tholen (the Company’s Chief Financial Officer), Rodney Woodard (the Company’s Chief Operating Officer) and John Paul DeJoria as trustee for the John Paul DeJoria Family Trust (a greater than ten percent (10%) holder of the Company’s outstanding common stock) entered into Subscription Agreements to purchase 462,749, 46,276, 9,255, 23,138 and 2,313,744 shares of common stock, respectively, in each case on substantially the same terms as other investors in the private placement. In addition, each Subscription Agreement with an investor other than Messrs. Hightower and DeJoria (each of which has existing registration rights with respect to the Company’s securities) provides for customary registration rights with respect to the shares issued thereunder, including the right to have such shares registered for resale on a “shelf” registration statement.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Major Customers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Delek accounted for approximately 88% and 94% of the Company’s revenues during the years ended December 31, 2022 and 2021, respectively. Delek accounted for approximately 98% of the Company’s revenues during the period from August 22, 2020 through December 31, 2020. Delek and Enlink Crude Purchasing, LLC accounted for approximately 49% and 44%, respectively, of the Company’s revenues during the period from January 1, 2020 through August 21, 2020. Based on the current demand for crude oil and natural gas and the availability of other purchasers, management believes the loss of this major purchaser would not have a material adverse effect on our financial condition and results of operations because crude oil and natural gas are fungible products with well-established markets and numerous purchasers.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Enactment of the Inflation Reduction Act of 2022. </w:t>
      </w:r>
      <w:r>
        <w:rPr>
          <w:rFonts w:ascii="Arial" w:cs="Arial" w:eastAsia="Arial" w:hAnsi="Arial"/>
          <w:sz w:val="17"/>
          <w:szCs w:val="17"/>
          <w:color w:val="auto"/>
        </w:rPr>
        <w:t>On August 16, 2022, President Biden signed into law the Inflation Reduction Act of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(“IRA 2022”). The IRA 2022, among other tax provisions, imposes a 15 percent corporate alternative minimum tax on corporations with book financial statement income in excess of $1.0 billion, effective for tax years beginning after December 31, 2022. The IRA 2022 also establishes a one percent excise tax on stock repurchases made by publicly traded U.S. corporations, effective for stock repurchases in excess of an annual limit of $1.0 million after December 31, 2022. The IRA 2022 did not impact the Company’s current year tax provision or the Company’s consolidated financial statements. The Company is evaluating the accounting and disclosure implications of the IRA 2022 on its future filings.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7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color w:val="auto"/>
        </w:rPr>
        <w:t>The Company’s income tax expense attributable to income from operations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August 22,</w:t>
            </w:r>
          </w:p>
        </w:tc>
      </w:tr>
      <w:tr>
        <w:trPr>
          <w:trHeight w:val="216"/>
        </w:trPr>
        <w:tc>
          <w:tcPr>
            <w:tcW w:w="4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2020 through</w:t>
            </w:r>
          </w:p>
        </w:tc>
      </w:tr>
      <w:tr>
        <w:trPr>
          <w:trHeight w:val="234"/>
        </w:trPr>
        <w:tc>
          <w:tcPr>
            <w:tcW w:w="4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09"/>
        </w:trPr>
        <w:tc>
          <w:tcPr>
            <w:tcW w:w="4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2020</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6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16"/>
        </w:trPr>
        <w:tc>
          <w:tcPr>
            <w:tcW w:w="4720" w:type="dxa"/>
            <w:vAlign w:val="bottom"/>
          </w:tcPr>
          <w:p>
            <w:pPr>
              <w:ind w:left="380"/>
              <w:spacing w:after="0"/>
              <w:rPr>
                <w:sz w:val="20"/>
                <w:szCs w:val="20"/>
                <w:color w:val="auto"/>
              </w:rPr>
            </w:pPr>
            <w:r>
              <w:rPr>
                <w:rFonts w:ascii="Arial" w:cs="Arial" w:eastAsia="Arial" w:hAnsi="Arial"/>
                <w:sz w:val="18"/>
                <w:szCs w:val="18"/>
                <w:color w:val="auto"/>
              </w:rPr>
              <w:t>Federal</w:t>
            </w:r>
          </w:p>
        </w:tc>
        <w:tc>
          <w:tcPr>
            <w:tcW w:w="25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(3,176)</w:t>
            </w:r>
          </w:p>
        </w:tc>
      </w:tr>
      <w:tr>
        <w:trPr>
          <w:trHeight w:val="216"/>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16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4720" w:type="dxa"/>
            <w:vAlign w:val="bottom"/>
          </w:tcPr>
          <w:p>
            <w:pPr>
              <w:ind w:left="740"/>
              <w:spacing w:after="0"/>
              <w:rPr>
                <w:sz w:val="20"/>
                <w:szCs w:val="20"/>
                <w:color w:val="auto"/>
              </w:rPr>
            </w:pPr>
            <w:r>
              <w:rPr>
                <w:rFonts w:ascii="Arial" w:cs="Arial" w:eastAsia="Arial" w:hAnsi="Arial"/>
                <w:sz w:val="18"/>
                <w:szCs w:val="18"/>
                <w:color w:val="auto"/>
              </w:rPr>
              <w:t>Total current income tax expense</w:t>
            </w: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(3,176)</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4720" w:type="dxa"/>
            <w:vAlign w:val="bottom"/>
          </w:tcPr>
          <w:p>
            <w:pPr>
              <w:ind w:left="380"/>
              <w:spacing w:after="0"/>
              <w:rPr>
                <w:sz w:val="20"/>
                <w:szCs w:val="20"/>
                <w:color w:val="auto"/>
              </w:rPr>
            </w:pPr>
            <w:r>
              <w:rPr>
                <w:rFonts w:ascii="Arial" w:cs="Arial" w:eastAsia="Arial" w:hAnsi="Arial"/>
                <w:sz w:val="18"/>
                <w:szCs w:val="18"/>
                <w:color w:val="auto"/>
              </w:rPr>
              <w:t>Federal</w:t>
            </w: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73,026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15,084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16"/>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16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2,335</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4720" w:type="dxa"/>
            <w:vAlign w:val="bottom"/>
          </w:tcPr>
          <w:p>
            <w:pPr>
              <w:ind w:left="740"/>
              <w:spacing w:after="0"/>
              <w:rPr>
                <w:sz w:val="20"/>
                <w:szCs w:val="20"/>
                <w:color w:val="auto"/>
              </w:rPr>
            </w:pPr>
            <w:r>
              <w:rPr>
                <w:rFonts w:ascii="Arial" w:cs="Arial" w:eastAsia="Arial" w:hAnsi="Arial"/>
                <w:sz w:val="18"/>
                <w:szCs w:val="18"/>
                <w:color w:val="auto"/>
              </w:rPr>
              <w:t>Deferred income tax expense</w:t>
            </w:r>
          </w:p>
        </w:tc>
        <w:tc>
          <w:tcPr>
            <w:tcW w:w="16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75,361</w:t>
            </w: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16,904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25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75,361</w:t>
            </w:r>
          </w:p>
        </w:tc>
        <w:tc>
          <w:tcPr>
            <w:tcW w:w="10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16,904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r>
      <w:tr>
        <w:trPr>
          <w:trHeight w:val="20"/>
        </w:trPr>
        <w:tc>
          <w:tcPr>
            <w:tcW w:w="47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reconciliation between the income tax expense computed by multiplying pre-tax income by the U.S. federal statutory rate and the reported amounts of income tax expense is as follows (in thousands, except rate):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August 22,</w:t>
            </w:r>
          </w:p>
        </w:tc>
      </w:tr>
      <w:tr>
        <w:trPr>
          <w:trHeight w:val="216"/>
        </w:trPr>
        <w:tc>
          <w:tcPr>
            <w:tcW w:w="5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2020 through</w:t>
            </w:r>
          </w:p>
        </w:tc>
      </w:tr>
      <w:tr>
        <w:trPr>
          <w:trHeight w:val="234"/>
        </w:trPr>
        <w:tc>
          <w:tcPr>
            <w:tcW w:w="5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8"/>
              </w:rPr>
              <w:t>December 31,</w:t>
            </w:r>
          </w:p>
        </w:tc>
      </w:tr>
      <w:tr>
        <w:trPr>
          <w:trHeight w:val="209"/>
        </w:trPr>
        <w:tc>
          <w:tcPr>
            <w:tcW w:w="5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2020</w:t>
            </w: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U.S. federal statutory rate</w:t>
            </w:r>
          </w:p>
        </w:tc>
        <w:tc>
          <w:tcPr>
            <w:tcW w:w="17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65,565</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15,217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(4,337)</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Limited tax benefit due to wage and stock-based compensation</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7,362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127</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State deferred income taxes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2,335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5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7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75,361</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16,904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(4,223)</w:t>
            </w:r>
          </w:p>
        </w:tc>
      </w:tr>
      <w:tr>
        <w:trPr>
          <w:trHeight w:val="211"/>
        </w:trPr>
        <w:tc>
          <w:tcPr>
            <w:tcW w:w="5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Effective income tax rate</w:t>
            </w:r>
          </w:p>
        </w:tc>
        <w:tc>
          <w:tcPr>
            <w:tcW w:w="8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assets and liabilities were as follows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2021</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Interest expense limitations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10,623</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4,373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Unrecognized derivative losses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Valuation allowance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24,009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10,522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2"/>
        </w:trPr>
        <w:tc>
          <w:tcPr>
            <w:tcW w:w="8000" w:type="dxa"/>
            <w:vAlign w:val="bottom"/>
          </w:tcPr>
          <w:p>
            <w:pPr>
              <w:ind w:left="340"/>
              <w:spacing w:after="0" w:line="201" w:lineRule="exact"/>
              <w:rPr>
                <w:sz w:val="20"/>
                <w:szCs w:val="20"/>
                <w:color w:val="auto"/>
              </w:rPr>
            </w:pPr>
            <w:r>
              <w:rPr>
                <w:rFonts w:ascii="Arial" w:cs="Arial" w:eastAsia="Arial" w:hAnsi="Arial"/>
                <w:sz w:val="18"/>
                <w:szCs w:val="18"/>
                <w:color w:val="auto"/>
                <w:w w:val="96"/>
              </w:rPr>
              <w:t>Crude oil and natural gas properties, principally due to differences in basis and depreciation and the</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deduction of intangible drilling costs for tax purposes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(155,169)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(66,324)</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Unrecognized derivative gains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(155,173)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(66,324)</w:t>
            </w:r>
          </w:p>
        </w:tc>
      </w:tr>
      <w:tr>
        <w:trPr>
          <w:trHeight w:val="249"/>
        </w:trPr>
        <w:tc>
          <w:tcPr>
            <w:tcW w:w="80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Net deferred tax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(55,802)</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effective income tax rate differs from the U.S. statutory rate of 21 percent primarily due to reversing a portion of its deferred tax asset related to stock-based compensation, deferred state income taxes and other permanent differences between GAAP income and taxable income. Periods prior to August 22, 2020 are not shown because the Predecessor was treated as a partnership for U.S. federal income tax purposes and therefore does not record a provision for U.S. federal income tax because the partners of the Predecessor report their share of the Predecessor's income or loss on their respective income tax returns. The Predecessor was required to file tax returns on Form 1065 with the IRS. The 2019 through 2021 tax years remain open to examination.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4" w:name="page105"/>
    <w:bookmarkEnd w:id="104"/>
    <w:p>
      <w:pPr>
        <w:jc w:val="both"/>
        <w:ind w:firstLine="648"/>
        <w:spacing w:after="0" w:line="286" w:lineRule="auto"/>
        <w:rPr>
          <w:sz w:val="20"/>
          <w:szCs w:val="20"/>
          <w:color w:val="auto"/>
        </w:rPr>
      </w:pPr>
      <w:r>
        <w:rPr>
          <w:rFonts w:ascii="Arial" w:cs="Arial" w:eastAsia="Arial" w:hAnsi="Arial"/>
          <w:sz w:val="16"/>
          <w:szCs w:val="16"/>
          <w:color w:val="auto"/>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December 31, 2022 and 2021, the Company had not recorded a valuation allowance for deferred tax assets arising from its operations because the Company believed they met the “more likely than not” criteria as defined by the recognition and measurement provisions of ASC 740. The Company reversed a portion of its deferred tax asset related to stock-based compensation based on the assumption that the tax deduction will be subject to IRC Section 162(m) limits when the stock options are exercised and the restricted stock vests. IRC Section 162(m) limits compensation deductions to $1.0 million per year for certain Company executives. This resulted in a $3.4 million reduction in the deferred tax asset and reduced the amount of income tax benefit realized during the year ended December 31, 2022.</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also subject to Texas Margin Tax. The Company realized no current Texas Margin Tax in the accompanying consolidated financial statements as we do not anticipate owing any Texas Margin Tax for 2022 or 2021. However, the Company has recognized a deferred Texas Margin Tax liability of $4.1 million and $1.8 million as of December 31, 2022 and 2021, respectively,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uses the two-class method of calculating earnings per share because certain of the Company’s stock-based awards qualify as participating securities.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attributable to common stockholders is computed as (i) net income as reported, (ii) less participating basic earnings (iii) divided by weighted average basic common shares outstanding. The Company’s diluted earnings per share attributable to common stockholders is computed as (i) basic earnings attributable to common stockholders, (ii) plus reallocation of participating earnings (iii) divided by weighted average diluted common shares outstanding.</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reconciles the Company’s earnings from operations and earnings attributable to common stockholders to the basic and diluted earnings used to determine the Company’s earnings per share amounts for the years ended December 31, 2022 and 2021 under the two-class method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August 22,</w:t>
            </w:r>
          </w:p>
        </w:tc>
      </w:tr>
      <w:tr>
        <w:trPr>
          <w:trHeight w:val="216"/>
        </w:trPr>
        <w:tc>
          <w:tcPr>
            <w:tcW w:w="5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2020 through</w:t>
            </w:r>
          </w:p>
        </w:tc>
      </w:tr>
      <w:tr>
        <w:trPr>
          <w:trHeight w:val="234"/>
        </w:trPr>
        <w:tc>
          <w:tcPr>
            <w:tcW w:w="5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10"/>
        </w:trPr>
        <w:tc>
          <w:tcPr>
            <w:tcW w:w="5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2020</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236,854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55,559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(16,429)</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Participating basic earnings (a)</w:t>
            </w:r>
          </w:p>
        </w:tc>
        <w:tc>
          <w:tcPr>
            <w:tcW w:w="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earnings attributable to common stockholders</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213,863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(16,429)</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Reallocation of participating earnings</w:t>
            </w:r>
          </w:p>
        </w:tc>
        <w:tc>
          <w:tcPr>
            <w:tcW w:w="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income (loss) attributable to common stockholders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214,264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50,943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(16,429)</w:t>
            </w:r>
          </w:p>
        </w:tc>
      </w:tr>
      <w:tr>
        <w:trPr>
          <w:trHeight w:val="197"/>
        </w:trPr>
        <w:tc>
          <w:tcPr>
            <w:tcW w:w="55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104,738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93,127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91,629</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Dilutive warrants and unvested stock options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4,304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unvested restricted stock</w:t>
            </w:r>
          </w:p>
        </w:tc>
        <w:tc>
          <w:tcPr>
            <w:tcW w:w="8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550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111,164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94,772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91,629</w:t>
            </w:r>
          </w:p>
        </w:tc>
      </w:tr>
      <w:tr>
        <w:trPr>
          <w:trHeight w:val="20"/>
        </w:trPr>
        <w:tc>
          <w:tcPr>
            <w:tcW w:w="5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980" w:hanging="324"/>
        <w:spacing w:after="0" w:line="289" w:lineRule="auto"/>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Certain unvested restricted stock awarded to outside directors represent participating securities because they participate in nonforfeitable dividends with the common equity holders of the Company. 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Certain unvested restricted stock awarded to outside directors, employee members of the Board and certain employees do not represent participating securities because, while they participate in dividends with the common equity holders of the Company, the dividends associated with such unvested restricted stock are forfeitable in connection with the forfeitability of the underlying restricted stock.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5" w:name="page106"/>
    <w:bookmarkEnd w:id="105"/>
    <w:p>
      <w:pPr>
        <w:jc w:val="both"/>
        <w:ind w:firstLine="648"/>
        <w:spacing w:after="0" w:line="277" w:lineRule="auto"/>
        <w:rPr>
          <w:sz w:val="20"/>
          <w:szCs w:val="20"/>
          <w:color w:val="auto"/>
        </w:rPr>
      </w:pPr>
      <w:r>
        <w:rPr>
          <w:rFonts w:ascii="Arial" w:cs="Arial" w:eastAsia="Arial" w:hAnsi="Arial"/>
          <w:sz w:val="18"/>
          <w:szCs w:val="18"/>
          <w:color w:val="auto"/>
        </w:rPr>
        <w:t>The calculation for weighted average shares reflects shares outstanding over the reporting period based on the actual number of days the shares were outstanding.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Issuance of Common Stock. </w:t>
      </w:r>
      <w:r>
        <w:rPr>
          <w:rFonts w:ascii="Arial" w:cs="Arial" w:eastAsia="Arial" w:hAnsi="Arial"/>
          <w:sz w:val="18"/>
          <w:szCs w:val="18"/>
          <w:color w:val="auto"/>
        </w:rPr>
        <w:t>On March 25, 2022, June 21, 2022 and June 27, 2022, respectively, the Company issued 6,960,000, 371,517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3,522,117 shares of HighPeak Energy common stock related to the aforementioned crude oil and natural gas property acquisitions. On June 1, 2022, the Company issued 21,184 and 600,000 shares of restricted stock to outside directors and certain employees, respectively. On September 2, 2022, the Company closed an aggregate $85.0 million private placement of 3,933,376 newly issued shares of HighPeak Energy common stock at a price per share of $21.61 as determined by the 5-day volume weighted average closing price per share for the five days immediately prior to (and excluding) August 22, 2022. The initial closings occurred on August 22, 2022, with the final closings on September 2, 2022. The remaining 982,648 shares of HighPeak Energy common stock issued during the year ended December 31, 2022 were the result of warrants (970,648 shares) and stock options (12,000 shares) being exercised.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1, 2021 and November 4, 2021, the Company issued 67,779 and 1,500,500 shares of restricted stock to outside directors and employee members of the Board, respectively. In October 2022, the Company issued 2,530,000 shares of its common stock in a public offering discussed below. The remaining 708,341 shares of HighPeak Energy common stock issued during the year ended December 31, 2021 were the result of warrants (554,073 shares) and stock options (154,268 shares) being exercised.</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Public Offering of Common Stock. </w:t>
      </w:r>
      <w:r>
        <w:rPr>
          <w:rFonts w:ascii="Arial" w:cs="Arial" w:eastAsia="Arial" w:hAnsi="Arial"/>
          <w:sz w:val="17"/>
          <w:szCs w:val="17"/>
          <w:color w:val="auto"/>
        </w:rPr>
        <w:t>On October 25, 2021, the Company completed the offering of 2,530,000 shares of its common stock, at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 to the public of $10.00 per share, pursuant to a Registration Statement on Form S-1 (File No. 333-258853) filed on October 19, 2021 and a Registration Statement on Form S-1MEF (File No. 333-260394) filed with the SEC on October 20, 2021. The net proceeds to the Company from the offering, after deducting the underwriting discounts and commissions and other offering expenses, were approximately $22.8 million.</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Dividends and dividend equivalents</w:t>
      </w:r>
      <w:r>
        <w:rPr>
          <w:rFonts w:ascii="Arial" w:cs="Arial" w:eastAsia="Arial" w:hAnsi="Arial"/>
          <w:sz w:val="18"/>
          <w:szCs w:val="18"/>
          <w:color w:val="auto"/>
        </w:rPr>
        <w:t>. In October 2022, the Board declared a quarterly dividend of $0.025 per share of common stock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resulted in a total of $2.8 million in dividends being paid on November 23, 2022. In addition, under the terms of the LTIP, the Company paid a dividend equivalent per share to all vested stock option holders of $280,000 in November 2022 and will accrue a dividend equivalent per share to all unvested stock option holders which is payable upon vesting of up to an additional $5,000, assuming no forfeitures. In addition, the Company will accrue an additional combined $53,000 in dividends on the restricted stock issued to directors, management directors and certain employees that will be payable upon vesting.</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July 2022, the Board declared a quarterly dividend of $0.025 per share of common stock outstanding which resulted in a total of $2.7 million in dividends being paid on August 25, 2022. In addition, under the terms of the LTIP, the Company paid a dividend equivalent per share to all vested stock option holders of $263,000 in August 2022 and will accrue a dividend equivalent per share to all unvested stock option holders which is payable upon vesting of up to an additional $4,000, assuming no forfeitures. In addition, the Company will accrue an additional combined $53,000 in dividends on the restricted stock issued to directors, management directors and certain employees that will be payable upon vesting.</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April 2022, the Board declared a quarterly dividend of $0.025 per share of common stock outstanding which resulted in a total of $2.6 million in dividends being paid on May 25, 2022. In addition, under the terms of the LTIP, the Company paid a dividend equivalent per share to all vested stock option holders of $214,000 in May 2022 and will accrue a dividend equivalent per share to all unvested stock option holders which is payable upon vesting of up to an additional $2,000, assuming no forfeitures. In addition, the Company will accrue an additional combined $53,000 in dividends on the restricted stock issued to management directors and certain employees that will be payable upon vesting.</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January 2022, the Board approved a quarterly dividend of $0.025 per share of common stock outstanding which resulted in a total of $2.4 million in dividends being paid on February 25, 2022. In addition, under the terms of the LTIP, the Company paid a dividend equivalent per share to all vested stock option holders and accrued a dividend equivalent per share to all unvested stock option holders payable upon vesting, which equates to a total payment of $214,000 in February 2022 and up to an additional $2,000, assuming no forfeitures. In addition, the Company accrued an additional combined $53,000 in dividends on the restricted stock issued to management directors and certain employees that will be payable upon vesting.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6" w:name="page107"/>
    <w:bookmarkEnd w:id="106"/>
    <w:p>
      <w:pPr>
        <w:jc w:val="both"/>
        <w:ind w:firstLine="648"/>
        <w:spacing w:after="0" w:line="279" w:lineRule="auto"/>
        <w:rPr>
          <w:sz w:val="20"/>
          <w:szCs w:val="20"/>
          <w:color w:val="auto"/>
        </w:rPr>
      </w:pPr>
      <w:r>
        <w:rPr>
          <w:rFonts w:ascii="Arial" w:cs="Arial" w:eastAsia="Arial" w:hAnsi="Arial"/>
          <w:sz w:val="17"/>
          <w:szCs w:val="17"/>
          <w:color w:val="auto"/>
        </w:rPr>
        <w:t>In September 2021, the Board approved a quarterly dividend of $0.025 per share of common stock outstanding which resulted in a total of $2.3 million in dividends being paid on October 25, 2021. In addition, under terms of the LTIP, the Company paid a dividend equivalent per share to all vested stock option holders and accrued a dividend equivalent per share to all unvested stock option holders payable upon vesting, which equated to a total payment of $207,000 during the year ended December 31, 2021 and an additional $31,000 in August 2022.</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July 2021, the Board approved a quarterly dividend of $0.025 and a special dividend of $0.075 per share of common stock outstanding which resulted in a total of $9.3 million in dividends being paid on July 26, 2021. In addition, under the terms of the LTIP, the Company paid a dividend equivalent per share to all vested stock option holders and accrued a dividend equivalent per share to all unvested stock option holders payable upon vesting, which equated to a total payment of $830,000 during the year ended December 31, 2021 and an additional $125,000 in August 2022.</w:t>
      </w:r>
    </w:p>
    <w:p>
      <w:pPr>
        <w:spacing w:after="0" w:line="1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Outstanding Securities. </w:t>
      </w:r>
      <w:r>
        <w:rPr>
          <w:rFonts w:ascii="Arial" w:cs="Arial" w:eastAsia="Arial" w:hAnsi="Arial"/>
          <w:sz w:val="16"/>
          <w:szCs w:val="16"/>
          <w:color w:val="auto"/>
        </w:rPr>
        <w:t>At December 31, 2022 and 2021, the Company had 113,165,027 and 96,774,185 shares of common stock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and 8,285,272 and 9,500,166 warrants outstanding, respectively, with an exercise price of $11.50 per share that expire on August 21, 2025.</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Partners</w:t>
      </w:r>
      <w:r>
        <w:rPr>
          <w:rFonts w:ascii="Arial" w:cs="Arial" w:eastAsia="Arial" w:hAnsi="Arial"/>
          <w:sz w:val="18"/>
          <w:szCs w:val="18"/>
          <w:color w:val="auto"/>
        </w:rPr>
        <w:t>’</w:t>
      </w:r>
      <w:r>
        <w:rPr>
          <w:rFonts w:ascii="Arial" w:cs="Arial" w:eastAsia="Arial" w:hAnsi="Arial"/>
          <w:sz w:val="18"/>
          <w:szCs w:val="18"/>
          <w:b w:val="1"/>
          <w:bCs w:val="1"/>
          <w:color w:val="auto"/>
        </w:rPr>
        <w:t xml:space="preserve"> Capital (Predecessor)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Allocation of partner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s net profits and losses. </w:t>
      </w:r>
      <w:r>
        <w:rPr>
          <w:rFonts w:ascii="Arial" w:cs="Arial" w:eastAsia="Arial" w:hAnsi="Arial"/>
          <w:sz w:val="18"/>
          <w:szCs w:val="18"/>
          <w:color w:val="auto"/>
        </w:rPr>
        <w:t>Net income or loss and net gain or loss on investments of the Predecessor for the period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allocated among its partners in proportion to the relative capital contributions made to the Predecessor. The Predecessor realized a net loss of $85.0 million for the period from January 1, 2020 through August 21, 2020.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Partner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s distributions. </w:t>
      </w:r>
      <w:r>
        <w:rPr>
          <w:rFonts w:ascii="Arial" w:cs="Arial" w:eastAsia="Arial" w:hAnsi="Arial"/>
          <w:sz w:val="18"/>
          <w:szCs w:val="18"/>
          <w:color w:val="auto"/>
        </w:rPr>
        <w:t>The proceeds distributable by the Predecessor (which shall include all proceeds attributable to the disposition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net of expenses) is distributable in accordance with their respective Partnership Agreements. The Predecessor made distributions to partners of $2.8 million during the period from January 1, 2020 through August 21,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Dividends and dividend equivalents. </w:t>
      </w:r>
      <w:r>
        <w:rPr>
          <w:rFonts w:ascii="Arial" w:cs="Arial" w:eastAsia="Arial" w:hAnsi="Arial"/>
          <w:sz w:val="18"/>
          <w:szCs w:val="18"/>
          <w:color w:val="auto"/>
        </w:rPr>
        <w:t>In January 2023, the Board approved a quarterly dividend of $0.025 per share of common stock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resulted in a total of $2.8 million in dividends being paid on February 24, 2023. In addition, under the terms of the LTIP, the Company paid a dividend equivalent per share to all vested stock option holders of $283,000 in February 2023 and will accrue a dividend equivalent per share to all unvested stock option holders which is payable upon vesting of up to an additional $7,000, assuming no forfeitures. In addition, the Company will accrue an additional combined $53,000 in dividends on the restricted stock issued to directors, management directors and certain employees that will be payable upon vesting.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18 </w:t>
      </w:r>
      <w:r>
        <w:rPr>
          <w:rFonts w:ascii="Arial" w:cs="Arial" w:eastAsia="Arial" w:hAnsi="Arial"/>
          <w:sz w:val="18"/>
          <w:szCs w:val="18"/>
          <w:color w:val="auto"/>
        </w:rPr>
        <w:t>–</w:t>
      </w:r>
      <w:r>
        <w:rPr>
          <w:rFonts w:ascii="Arial" w:cs="Arial" w:eastAsia="Arial" w:hAnsi="Arial"/>
          <w:sz w:val="18"/>
          <w:szCs w:val="18"/>
          <w:b w:val="1"/>
          <w:bCs w:val="1"/>
          <w:color w:val="auto"/>
        </w:rPr>
        <w:t xml:space="preserve"> Supplemental Crude Oil and Natural Gas Disclosures (Unaudited)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only has one reportable operating segment, which is crude oil and natural gas development, exploration and production in the U.S. See the Company’s accompanying consolidated statements of operations for information about results of operations for crude oil and natural gas producing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Capitalized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reflects the capitalized costs of crude oil and natural gas properties and the related accumulated depletion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10"/>
        </w:trPr>
        <w:tc>
          <w:tcPr>
            <w:tcW w:w="37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2021</w:t>
            </w: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Proved properties</w:t>
            </w:r>
          </w:p>
        </w:tc>
        <w:tc>
          <w:tcPr>
            <w:tcW w:w="4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2,270,236</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699,701</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Unproved properties</w:t>
            </w:r>
          </w:p>
        </w:tc>
        <w:tc>
          <w:tcPr>
            <w:tcW w:w="4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114,665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108,392</w:t>
            </w:r>
          </w:p>
        </w:tc>
      </w:tr>
      <w:tr>
        <w:trPr>
          <w:trHeight w:val="20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capitalized costs</w:t>
            </w:r>
          </w:p>
        </w:tc>
        <w:tc>
          <w:tcPr>
            <w:tcW w:w="4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2,384,901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808,093</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Less: accumulated depletion</w:t>
            </w:r>
          </w:p>
        </w:tc>
        <w:tc>
          <w:tcPr>
            <w:tcW w:w="4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(259,962)</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(82,478)</w:t>
            </w:r>
          </w:p>
        </w:tc>
      </w:tr>
      <w:tr>
        <w:trPr>
          <w:trHeight w:val="24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capitalized costs</w:t>
            </w:r>
          </w:p>
        </w:tc>
        <w:tc>
          <w:tcPr>
            <w:tcW w:w="4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2,124,939</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725,615</w:t>
            </w:r>
          </w:p>
        </w:tc>
      </w:tr>
      <w:tr>
        <w:trPr>
          <w:trHeight w:val="413"/>
        </w:trPr>
        <w:tc>
          <w:tcPr>
            <w:tcW w:w="3780" w:type="dxa"/>
            <w:vAlign w:val="bottom"/>
            <w:tcBorders>
              <w:top w:val="single" w:sz="8" w:color="CCEEFF"/>
            </w:tcBorders>
          </w:tcPr>
          <w:p>
            <w:pPr>
              <w:spacing w:after="0"/>
              <w:rPr>
                <w:sz w:val="24"/>
                <w:szCs w:val="24"/>
                <w:color w:val="auto"/>
              </w:rPr>
            </w:pPr>
          </w:p>
        </w:tc>
        <w:tc>
          <w:tcPr>
            <w:tcW w:w="4220" w:type="dxa"/>
            <w:vAlign w:val="bottom"/>
            <w:tcBorders>
              <w:top w:val="single" w:sz="8" w:color="CCEEFF"/>
            </w:tcBorders>
          </w:tcPr>
          <w:p>
            <w:pPr>
              <w:jc w:val="right"/>
              <w:ind w:right="2150"/>
              <w:spacing w:after="0"/>
              <w:rPr>
                <w:sz w:val="20"/>
                <w:szCs w:val="20"/>
                <w:color w:val="auto"/>
              </w:rPr>
            </w:pPr>
            <w:r>
              <w:rPr>
                <w:rFonts w:ascii="Arial" w:cs="Arial" w:eastAsia="Arial" w:hAnsi="Arial"/>
                <w:sz w:val="18"/>
                <w:szCs w:val="18"/>
                <w:color w:val="auto"/>
              </w:rPr>
              <w:t>101</w:t>
            </w: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115"/>
        </w:trPr>
        <w:tc>
          <w:tcPr>
            <w:tcW w:w="378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Cost Incurred in Crude Oil and Natural Gas Property Acquisition, Exploration and Development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reflects costs incurred in crude oil and natural gas property acquisition, development and exploratory activities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August 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January 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4"/>
            <w:vMerge w:val="restart"/>
          </w:tcPr>
          <w:p>
            <w:pPr>
              <w:jc w:val="right"/>
              <w:ind w:right="270"/>
              <w:spacing w:after="0"/>
              <w:rPr>
                <w:sz w:val="20"/>
                <w:szCs w:val="20"/>
                <w:color w:val="auto"/>
              </w:rPr>
            </w:pPr>
            <w:r>
              <w:rPr>
                <w:rFonts w:ascii="Arial" w:cs="Arial" w:eastAsia="Arial" w:hAnsi="Arial"/>
                <w:sz w:val="18"/>
                <w:szCs w:val="18"/>
                <w:b w:val="1"/>
                <w:bCs w:val="1"/>
                <w:color w:val="auto"/>
                <w:w w:val="94"/>
              </w:rPr>
              <w:t>Year Ended December 31,</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2020 through</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2020 through</w:t>
            </w:r>
          </w:p>
        </w:tc>
        <w:tc>
          <w:tcPr>
            <w:tcW w:w="0" w:type="dxa"/>
            <w:vAlign w:val="bottom"/>
          </w:tcPr>
          <w:p>
            <w:pPr>
              <w:spacing w:after="0"/>
              <w:rPr>
                <w:sz w:val="1"/>
                <w:szCs w:val="1"/>
                <w:color w:val="auto"/>
              </w:rPr>
            </w:pPr>
          </w:p>
        </w:tc>
      </w:tr>
      <w:tr>
        <w:trPr>
          <w:trHeight w:val="221"/>
        </w:trPr>
        <w:tc>
          <w:tcPr>
            <w:tcW w:w="5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August 21,</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Proved properties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352,791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33,253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Unproved properties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174,554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20,792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 acquisition costs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527,345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54,045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Exploration costs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655,433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190,346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52,837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48,801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Development costs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391,298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45,852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11,757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Crude oil and natural gas expenditures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1,574,076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290,243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65,775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53,002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 retirement obligations, net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2,879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costs incurred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1,576,955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292,087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65,670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53,100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Crude Oil, NGL and Natural Gas Producing Activities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the Company’s results of operations for crude oil, NGL and natural gas producing activities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August 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January 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4"/>
            <w:vMerge w:val="restart"/>
          </w:tcPr>
          <w:p>
            <w:pPr>
              <w:jc w:val="right"/>
              <w:ind w:right="270"/>
              <w:spacing w:after="0"/>
              <w:rPr>
                <w:sz w:val="20"/>
                <w:szCs w:val="20"/>
                <w:color w:val="auto"/>
              </w:rPr>
            </w:pPr>
            <w:r>
              <w:rPr>
                <w:rFonts w:ascii="Arial" w:cs="Arial" w:eastAsia="Arial" w:hAnsi="Arial"/>
                <w:sz w:val="18"/>
                <w:szCs w:val="18"/>
                <w:b w:val="1"/>
                <w:bCs w:val="1"/>
                <w:color w:val="auto"/>
                <w:w w:val="94"/>
              </w:rPr>
              <w:t>Year Ended December 31,</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2020 through</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2020 through</w:t>
            </w:r>
          </w:p>
        </w:tc>
        <w:tc>
          <w:tcPr>
            <w:tcW w:w="0" w:type="dxa"/>
            <w:vAlign w:val="bottom"/>
          </w:tcPr>
          <w:p>
            <w:pPr>
              <w:spacing w:after="0"/>
              <w:rPr>
                <w:sz w:val="1"/>
                <w:szCs w:val="1"/>
                <w:color w:val="auto"/>
              </w:rPr>
            </w:pPr>
          </w:p>
        </w:tc>
      </w:tr>
      <w:tr>
        <w:trPr>
          <w:trHeight w:val="221"/>
        </w:trPr>
        <w:tc>
          <w:tcPr>
            <w:tcW w:w="5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August 21,</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Crude oil, NGL and natural gas sales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755,686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220,124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8,223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Lease operating expenses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69,599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25,053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ad valorem taxes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38,440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Exploration and abandonment expense</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5,032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Depletion, depreciation and amortization expense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177,742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65,201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Accretion of discount on asset retirement obligations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98,361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24,656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Results of operations from crude oil and natural gas production activities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370,025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92,752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NGL and Natural Gas Reserves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Proved reserves were estimated in accordance with guidelines established by the SEC, which require that reserve estimates be prepared under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existing economic and operating conditions based upon the 12-month unweighted average of the first day of the month spot prices prior to the end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reporting period. These prices as of December 31, 2022, 2021 and 2020 were $93.67, $66.56 and $39.57 per barrel for crude oil and $6.358, $3.598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$1.985 per MMBtu for natural gas, respectively. The estimated realized prices used in computing the Company’s reserves as of December 31, 2022 were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follows: (i) $94.59 per barrel of crude oil, (ii) $36.69 per barrel of NGL, and (iii) $4.871 per Mcf of natural gas. The estimated realized prices used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computing the Company’s reserves as of December 31, 2021 were as follows: (i) $66.10 per barrel of crude oil, (ii) $29.76 per barrel of NGL, and (iii)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$0.786 per Mcf of natural gas. The estimated realized prices used in computing the Company’s reserves as of December 31, 2020 were as follows: (i)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$38.08 per barrel of crude oil, (ii) $12.27 per barrel of NGL, and (iii) ($1.304) per Mcf of natural gas. All prices are net of adjustments for regional basis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differentials, treating costs, transportation, gas shrinkage, gas heating value (BTU content) and/or crude quality and gravity adjustments.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8" w:name="page109"/>
    <w:bookmarkEnd w:id="108"/>
    <w:p>
      <w:pPr>
        <w:jc w:val="both"/>
        <w:ind w:firstLine="450"/>
        <w:spacing w:after="0" w:line="271" w:lineRule="auto"/>
        <w:rPr>
          <w:sz w:val="20"/>
          <w:szCs w:val="20"/>
          <w:color w:val="auto"/>
        </w:rPr>
      </w:pPr>
      <w:r>
        <w:rPr>
          <w:rFonts w:ascii="Arial" w:cs="Arial" w:eastAsia="Arial" w:hAnsi="Arial"/>
          <w:sz w:val="17"/>
          <w:szCs w:val="17"/>
          <w:color w:val="auto"/>
        </w:rPr>
        <w:t>The proved reserve estimates as of December 31, 2022, 2021 and 2020 were prepared by Cawley, Gillespie &amp; Associates, Inc. (“CG&amp;A”), independent reserve engineers, and reflect the Company’s current development plans. All estimates of proved reserves are determined according to the rules prescribed by the SEC in existence at the time estimates were made. These rules require that the standard of “reasonable certainty” be applied to proved reserve estimates, which is defined as having a high degree of confidence that the quantities will be recovered. A high degree of confidence exists if the quantity is much more likely to be achieved than not, and, as more technical and economic data becomes available, a positive or upward revision or no revision is much more likely than a negative or downward revision. Estimates are subject to revision based upon a number of factors, including many factors beyond the Company’s control, such as reservoir performance, prices, economic conditions, and government restrictions. In addition, results of drilling, testing, and production subsequent to the date of an estimate may justify revision of that estimate.</w:t>
      </w:r>
    </w:p>
    <w:p>
      <w:pPr>
        <w:spacing w:after="0" w:line="178" w:lineRule="exact"/>
        <w:rPr>
          <w:sz w:val="20"/>
          <w:szCs w:val="20"/>
          <w:color w:val="auto"/>
        </w:rPr>
      </w:pPr>
    </w:p>
    <w:p>
      <w:pPr>
        <w:jc w:val="both"/>
        <w:ind w:firstLine="450"/>
        <w:spacing w:after="0" w:line="271" w:lineRule="auto"/>
        <w:rPr>
          <w:sz w:val="20"/>
          <w:szCs w:val="20"/>
          <w:color w:val="auto"/>
        </w:rPr>
      </w:pPr>
      <w:r>
        <w:rPr>
          <w:rFonts w:ascii="Arial" w:cs="Arial" w:eastAsia="Arial" w:hAnsi="Arial"/>
          <w:sz w:val="17"/>
          <w:szCs w:val="17"/>
          <w:color w:val="auto"/>
        </w:rPr>
        <w:t>Reserve estimates are often different from the quantities of crude oil and natural gas that are ultimately recovered. Estimating quantities of proved crude oil and natural gas reserves is a complex process that involves significant interpretations and assumptions and cannot be measured in an exact manner. It requires interpretations and judgment of available technical data, including the evaluation of available geological, geophysical and engineering data. The accuracy of any reserve estimate is highly dependent on the quality of available data, the accuracy of the assumptions on which they are based upon, economic factors, such as crude oil and natural gas prices, production costs, severance and excise taxes, capital expenditures, workover and remedial costs, and the assumed effects of governmental regulation. In addition, due to the lack of substantial, if any, production data, there are greater uncertainties in estimating PUD reserves, proved developed non-producing reserves and proved developed reserves that are early in their production life. As a result, the Company’s reserve estimates are inherently imprecise.</w:t>
      </w:r>
    </w:p>
    <w:p>
      <w:pPr>
        <w:spacing w:after="0" w:line="178"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The meaningfulness of reserve estimates is highly dependent on the accuracy of the assumptions on which they were based. In general, the volume of production from crude oil and natural gas properties the Company owns declines as reserves are depleted. Except to the extent the Company conducts successful exploration and development activities or acquires additional properties containing proved reserves, or both, the Company’s proved reserves will decline as reserves are produced.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changes in proved reserves during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Crude Oil</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NGL</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Natural Gas</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Predecessor</w:t>
            </w:r>
          </w:p>
        </w:tc>
        <w:tc>
          <w:tcPr>
            <w:tcW w:w="1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Proved Reserves on December 31, 2019</w:t>
            </w:r>
          </w:p>
        </w:tc>
        <w:tc>
          <w:tcPr>
            <w:tcW w:w="3040" w:type="dxa"/>
            <w:vAlign w:val="bottom"/>
            <w:gridSpan w:val="2"/>
          </w:tcPr>
          <w:p>
            <w:pPr>
              <w:jc w:val="right"/>
              <w:ind w:right="50"/>
              <w:spacing w:after="0"/>
              <w:rPr>
                <w:sz w:val="20"/>
                <w:szCs w:val="20"/>
                <w:color w:val="auto"/>
              </w:rPr>
            </w:pPr>
            <w:r>
              <w:rPr>
                <w:rFonts w:ascii="Arial" w:cs="Arial" w:eastAsia="Arial" w:hAnsi="Arial"/>
                <w:sz w:val="18"/>
                <w:szCs w:val="18"/>
                <w:color w:val="auto"/>
              </w:rPr>
              <w:t>9,372</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1,349</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4,654</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11,497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Purchase of reserves-in-place</w:t>
            </w:r>
          </w:p>
        </w:tc>
        <w:tc>
          <w:tcPr>
            <w:tcW w:w="3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Extensions and discoveries</w:t>
            </w:r>
          </w:p>
        </w:tc>
        <w:tc>
          <w:tcPr>
            <w:tcW w:w="3040" w:type="dxa"/>
            <w:vAlign w:val="bottom"/>
            <w:gridSpan w:val="2"/>
          </w:tcPr>
          <w:p>
            <w:pPr>
              <w:jc w:val="right"/>
              <w:ind w:right="50"/>
              <w:spacing w:after="0"/>
              <w:rPr>
                <w:sz w:val="20"/>
                <w:szCs w:val="20"/>
                <w:color w:val="auto"/>
              </w:rPr>
            </w:pPr>
            <w:r>
              <w:rPr>
                <w:rFonts w:ascii="Arial" w:cs="Arial" w:eastAsia="Arial" w:hAnsi="Arial"/>
                <w:sz w:val="18"/>
                <w:szCs w:val="18"/>
                <w:color w:val="auto"/>
              </w:rPr>
              <w:t>1,008</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67</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252</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1,117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Revisions of previous estimates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Production</w:t>
            </w:r>
          </w:p>
        </w:tc>
        <w:tc>
          <w:tcPr>
            <w:tcW w:w="17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5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Proved Reserves on August 21, 2020</w:t>
            </w:r>
          </w:p>
        </w:tc>
        <w:tc>
          <w:tcPr>
            <w:tcW w:w="3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8,633</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1,022</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3,711</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10,274</w:t>
            </w:r>
          </w:p>
        </w:tc>
      </w:tr>
      <w:tr>
        <w:trPr>
          <w:trHeight w:val="197"/>
        </w:trPr>
        <w:tc>
          <w:tcPr>
            <w:tcW w:w="4200" w:type="dxa"/>
            <w:vAlign w:val="bottom"/>
            <w:tcBorders>
              <w:top w:val="single" w:sz="8" w:color="CCEEFF"/>
            </w:tcBorders>
          </w:tcPr>
          <w:p>
            <w:pPr>
              <w:spacing w:after="0"/>
              <w:rPr>
                <w:sz w:val="17"/>
                <w:szCs w:val="17"/>
                <w:color w:val="auto"/>
              </w:rPr>
            </w:pPr>
          </w:p>
        </w:tc>
        <w:tc>
          <w:tcPr>
            <w:tcW w:w="178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Successor</w:t>
            </w:r>
          </w:p>
        </w:tc>
        <w:tc>
          <w:tcPr>
            <w:tcW w:w="1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Proved Reserves on August 22, 2020</w:t>
            </w:r>
          </w:p>
        </w:tc>
        <w:tc>
          <w:tcPr>
            <w:tcW w:w="3040" w:type="dxa"/>
            <w:vAlign w:val="bottom"/>
            <w:gridSpan w:val="2"/>
          </w:tcPr>
          <w:p>
            <w:pPr>
              <w:jc w:val="right"/>
              <w:ind w:right="50"/>
              <w:spacing w:after="0"/>
              <w:rPr>
                <w:sz w:val="20"/>
                <w:szCs w:val="20"/>
                <w:color w:val="auto"/>
              </w:rPr>
            </w:pPr>
            <w:r>
              <w:rPr>
                <w:rFonts w:ascii="Arial" w:cs="Arial" w:eastAsia="Arial" w:hAnsi="Arial"/>
                <w:sz w:val="18"/>
                <w:szCs w:val="18"/>
                <w:color w:val="auto"/>
              </w:rPr>
              <w:t>8,633</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1,022</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3,711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10,274</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Extensions and discoveries</w:t>
            </w:r>
          </w:p>
        </w:tc>
        <w:tc>
          <w:tcPr>
            <w:tcW w:w="3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11,977</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1,433</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5,215</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14,279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Revisions of previous estimates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(1,180)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(1,603)</w:t>
            </w:r>
          </w:p>
        </w:tc>
      </w:tr>
      <w:tr>
        <w:trPr>
          <w:trHeight w:val="216"/>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Production</w:t>
            </w:r>
          </w:p>
        </w:tc>
        <w:tc>
          <w:tcPr>
            <w:tcW w:w="17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09"/>
        </w:trPr>
        <w:tc>
          <w:tcPr>
            <w:tcW w:w="4200" w:type="dxa"/>
            <w:vAlign w:val="bottom"/>
          </w:tcPr>
          <w:p>
            <w:pPr>
              <w:spacing w:after="0"/>
              <w:rPr>
                <w:sz w:val="20"/>
                <w:szCs w:val="20"/>
                <w:color w:val="auto"/>
              </w:rPr>
            </w:pPr>
            <w:r>
              <w:rPr>
                <w:rFonts w:ascii="Arial" w:cs="Arial" w:eastAsia="Arial" w:hAnsi="Arial"/>
                <w:sz w:val="18"/>
                <w:szCs w:val="18"/>
                <w:color w:val="auto"/>
              </w:rPr>
              <w:t>Proved Reserves on December 31, 2020</w:t>
            </w:r>
          </w:p>
        </w:tc>
        <w:tc>
          <w:tcPr>
            <w:tcW w:w="3040" w:type="dxa"/>
            <w:vAlign w:val="bottom"/>
            <w:gridSpan w:val="2"/>
          </w:tcPr>
          <w:p>
            <w:pPr>
              <w:jc w:val="right"/>
              <w:ind w:right="50"/>
              <w:spacing w:after="0"/>
              <w:rPr>
                <w:sz w:val="20"/>
                <w:szCs w:val="20"/>
                <w:color w:val="auto"/>
              </w:rPr>
            </w:pPr>
            <w:r>
              <w:rPr>
                <w:rFonts w:ascii="Arial" w:cs="Arial" w:eastAsia="Arial" w:hAnsi="Arial"/>
                <w:sz w:val="18"/>
                <w:szCs w:val="18"/>
                <w:color w:val="auto"/>
              </w:rPr>
              <w:t>19,032</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2,160</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7,939</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22,515</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Extensions and discoveries</w:t>
            </w:r>
          </w:p>
        </w:tc>
        <w:tc>
          <w:tcPr>
            <w:tcW w:w="3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36,867</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4,845</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19,529</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44,967</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Purchase of reserves-in-place</w:t>
            </w:r>
          </w:p>
        </w:tc>
        <w:tc>
          <w:tcPr>
            <w:tcW w:w="3040" w:type="dxa"/>
            <w:vAlign w:val="bottom"/>
            <w:gridSpan w:val="2"/>
          </w:tcPr>
          <w:p>
            <w:pPr>
              <w:jc w:val="right"/>
              <w:ind w:right="50"/>
              <w:spacing w:after="0"/>
              <w:rPr>
                <w:sz w:val="20"/>
                <w:szCs w:val="20"/>
                <w:color w:val="auto"/>
              </w:rPr>
            </w:pPr>
            <w:r>
              <w:rPr>
                <w:rFonts w:ascii="Arial" w:cs="Arial" w:eastAsia="Arial" w:hAnsi="Arial"/>
                <w:sz w:val="18"/>
                <w:szCs w:val="18"/>
                <w:color w:val="auto"/>
              </w:rPr>
              <w:t>973</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631</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2,910</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2,089</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Sales of minerals-in-place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Revisions of previous estimates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(1,807)</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842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(1,657)</w:t>
            </w:r>
          </w:p>
        </w:tc>
      </w:tr>
      <w:tr>
        <w:trPr>
          <w:trHeight w:val="216"/>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Production</w:t>
            </w:r>
          </w:p>
        </w:tc>
        <w:tc>
          <w:tcPr>
            <w:tcW w:w="17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Proved Reserves on December 31, 2021</w:t>
            </w:r>
          </w:p>
        </w:tc>
        <w:tc>
          <w:tcPr>
            <w:tcW w:w="3040" w:type="dxa"/>
            <w:vAlign w:val="bottom"/>
            <w:gridSpan w:val="2"/>
          </w:tcPr>
          <w:p>
            <w:pPr>
              <w:jc w:val="right"/>
              <w:ind w:right="50"/>
              <w:spacing w:after="0"/>
              <w:rPr>
                <w:sz w:val="20"/>
                <w:szCs w:val="20"/>
                <w:color w:val="auto"/>
              </w:rPr>
            </w:pPr>
            <w:r>
              <w:rPr>
                <w:rFonts w:ascii="Arial" w:cs="Arial" w:eastAsia="Arial" w:hAnsi="Arial"/>
                <w:sz w:val="18"/>
                <w:szCs w:val="18"/>
                <w:color w:val="auto"/>
              </w:rPr>
              <w:t>51,825</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7,378</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30,061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64,213</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Extensions and discoveries</w:t>
            </w:r>
          </w:p>
        </w:tc>
        <w:tc>
          <w:tcPr>
            <w:tcW w:w="3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47,677</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6,162</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24,887</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57,987</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Purchase of reserves-in-place</w:t>
            </w:r>
          </w:p>
        </w:tc>
        <w:tc>
          <w:tcPr>
            <w:tcW w:w="3040" w:type="dxa"/>
            <w:vAlign w:val="bottom"/>
            <w:gridSpan w:val="2"/>
          </w:tcPr>
          <w:p>
            <w:pPr>
              <w:jc w:val="right"/>
              <w:ind w:right="50"/>
              <w:spacing w:after="0"/>
              <w:rPr>
                <w:sz w:val="20"/>
                <w:szCs w:val="20"/>
                <w:color w:val="auto"/>
              </w:rPr>
            </w:pPr>
            <w:r>
              <w:rPr>
                <w:rFonts w:ascii="Arial" w:cs="Arial" w:eastAsia="Arial" w:hAnsi="Arial"/>
                <w:sz w:val="18"/>
                <w:szCs w:val="18"/>
                <w:color w:val="auto"/>
              </w:rPr>
              <w:t>13,031</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3,467</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14,448</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18,906</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Revisions of previous estimates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Production</w:t>
            </w:r>
          </w:p>
        </w:tc>
        <w:tc>
          <w:tcPr>
            <w:tcW w:w="17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(7,562)</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w:t>
            </w:r>
          </w:p>
        </w:tc>
      </w:tr>
      <w:tr>
        <w:trPr>
          <w:trHeight w:val="25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Proved Reserves on December 31, 2022</w:t>
            </w:r>
          </w:p>
        </w:tc>
        <w:tc>
          <w:tcPr>
            <w:tcW w:w="3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98,816</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14,369</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58,638</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122,958</w:t>
            </w:r>
          </w:p>
        </w:tc>
      </w:tr>
      <w:tr>
        <w:trPr>
          <w:trHeight w:val="413"/>
        </w:trPr>
        <w:tc>
          <w:tcPr>
            <w:tcW w:w="420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rPr>
              <w:t>103</w:t>
            </w: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115"/>
        </w:trPr>
        <w:tc>
          <w:tcPr>
            <w:tcW w:w="420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109" w:name="page110"/>
    <w:bookmarkEnd w:id="109"/>
    <w:p>
      <w:pPr>
        <w:jc w:val="both"/>
        <w:ind w:firstLine="450"/>
        <w:spacing w:after="0" w:line="269" w:lineRule="auto"/>
        <w:rPr>
          <w:sz w:val="20"/>
          <w:szCs w:val="20"/>
          <w:color w:val="auto"/>
        </w:rPr>
      </w:pPr>
      <w:r>
        <w:rPr>
          <w:rFonts w:ascii="Arial" w:cs="Arial" w:eastAsia="Arial" w:hAnsi="Arial"/>
          <w:sz w:val="17"/>
          <w:szCs w:val="17"/>
          <w:color w:val="auto"/>
        </w:rPr>
        <w:t>On December 31, 2022, the Company had approximately 122,958 MBoe of proved reserves. For the year ended December 31, 2022, extensions and discoveries increased proved reserves by 57,987 MBoe as a result of: (i) drilling 37 gross (32.1 net) exploratory/extension wells that were on production as of December 31, 2022, (ii) 16 gross (14.8 net) exploratory/extension wells that were in the final stages of completion as of December 31, 2022, and (iii) the addition of 80 gross (75.2 net) PUDs. The Company also acquired 18,906 MBoe of reserves as part of its acquisition activities during the year ended December 31, 2022. Downward revisions of previous estimates of 9,211 MBoe for the year ended December 31, 2022 were primarily the result of negative revisions of 10,418 MBoe due to technical revisions attributable to decreased well performance and adjustments to our PUD estimates, partially offset by positive revisions of approximately 1,116 MBoe related to increases in crude oil, NGL and natural gas realized prices and positive revisions of approximately 91 MBoe primarily due to increased forecasted operating expenses. The aforementioned net increase in proved reserves was partially offset by 8,937 MBoe in production during the year ended December 31, 2022. The Company’s current development plan reflects allocation of capital with a focus on efficiencies, recoveries and rates of return.</w:t>
      </w:r>
    </w:p>
    <w:p>
      <w:pPr>
        <w:spacing w:after="0" w:line="185" w:lineRule="exact"/>
        <w:rPr>
          <w:sz w:val="20"/>
          <w:szCs w:val="20"/>
          <w:color w:val="auto"/>
        </w:rPr>
      </w:pPr>
    </w:p>
    <w:p>
      <w:pPr>
        <w:jc w:val="both"/>
        <w:ind w:firstLine="450"/>
        <w:spacing w:after="0" w:line="288" w:lineRule="auto"/>
        <w:rPr>
          <w:sz w:val="20"/>
          <w:szCs w:val="20"/>
          <w:color w:val="auto"/>
        </w:rPr>
      </w:pPr>
      <w:r>
        <w:rPr>
          <w:rFonts w:ascii="Arial" w:cs="Arial" w:eastAsia="Arial" w:hAnsi="Arial"/>
          <w:sz w:val="16"/>
          <w:szCs w:val="16"/>
          <w:color w:val="auto"/>
        </w:rPr>
        <w:t>On December 31, 2021, the Company had approximately 64,213 MBoe of proved reserves. For the year ended December 31, 2021, extensions and discoveries increased proved reserves by 44,967 MBoe as a result of: (i) drilling 22 gross (17.8 net) exploratory wells that were on production as of December 31, 2021, (ii) 15 gross (11.0 net) exploratory wells that were in the final stages of completion as of December 31, 2021, and (iii) the addition of 53 gross (41.5 net) PUDs. The Company also acquired 2,089 MBoe of reserves as part of its acquisition activities and sold assets with proved reserves totaling 305 MBoe during the year ended December 31, 2021 in an acreage trade with an industry partner. Downward revisions of previous estimates of 1,657 MBoe for the year ended December 31, 2021 were primarily the result of: (i) negative revisions of 2,529 MBoe due to technical revisions attributable to decreased well performance and adjustments to our PUD estimates, (ii) negative revisions of approximately 85 MBoe primarily due to increased forecasted operating expenses and (iii) partially offset by positive revisions of approximately 957 MBoe related to increases in crude oil, NGL and natural gas realized prices. The aforementioned net increase in proved reserves was partially offset by 3,396 MBoe in production during the year ended December 31, 2021. The Company’s current development plan reflects allocation of capital with a focus on efficiencies, recoveries and rates of return.</w:t>
      </w:r>
    </w:p>
    <w:p>
      <w:pPr>
        <w:spacing w:after="0" w:line="168"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7"/>
          <w:szCs w:val="17"/>
          <w:color w:val="auto"/>
        </w:rPr>
        <w:t>On December 31, 2020, the Company had approximately 22,515 MBoe of proved reserves. Effective August 21, 2020, the HighPeak business combination included estimated proved reserves totaling 10,274 MBoe. For the period from August 22, 2020 to December 31, 2020, extensions and discoveries increased proved reserves by 14,279 MBoe as a result of: (i) drilling 3 gross (3.0 net) exploratory wells that were on production as of December 31, 2020, (ii) 9 gross (8.9 net) exploratory wells that were in the final stages of completion as of December 31, 2020, and (iii) the addition of 15 gross (12.4 net) PUDs. Downward revisions of previous estimates of 1,603 MBoe for the period from August 22, 2020 to December 31, 2020 were primarily the result of: (i) negative revisions of 1,112 MBoe due to technical revisions attributable to decreased well performance and adjustments to our PUD estimates, (ii) negative revisions of 409 MBoe related to PUDs removed from the development program, (iii) negative revisions of approximately 98 MBoe primarily due to decreases in crude oil, NGL and natural gas prices and increased price differentials and (iv) partially offset by positive revisions of approximately 16 MBoe related to decreased forecasted operating expenses. The net increase in proved reserves was partially offset by 435 MBoe in production during the period from August 22, 2020 to December 31, 2020.</w:t>
      </w:r>
    </w:p>
    <w:p>
      <w:pPr>
        <w:spacing w:after="0" w:line="185" w:lineRule="exact"/>
        <w:rPr>
          <w:sz w:val="20"/>
          <w:szCs w:val="20"/>
          <w:color w:val="auto"/>
        </w:rPr>
      </w:pPr>
    </w:p>
    <w:p>
      <w:pPr>
        <w:jc w:val="both"/>
        <w:ind w:firstLine="450"/>
        <w:spacing w:after="0" w:line="270" w:lineRule="auto"/>
        <w:rPr>
          <w:sz w:val="20"/>
          <w:szCs w:val="20"/>
          <w:color w:val="auto"/>
        </w:rPr>
      </w:pPr>
      <w:r>
        <w:rPr>
          <w:rFonts w:ascii="Arial" w:cs="Arial" w:eastAsia="Arial" w:hAnsi="Arial"/>
          <w:sz w:val="17"/>
          <w:szCs w:val="17"/>
          <w:color w:val="auto"/>
        </w:rPr>
        <w:t>On August 21, 2020, the Company had approximately 10,274 MBoe of proved reserves. During the period from December 31, 2019 to August 21, 2020, the Company acquired interests in three (3) producing vertical wells near its area of operation which included estimated proved reserves totaling 50 MBoe. For the period from December 31, 2019 to August 21, 2020, extensions and discoveries increased proved reserves by 1,117 MBoe as a result of: (i) drilling 3 gross (3.0 net) exploratory wells that were on production as of August 21, 2020. Revisions of previous estimates of 2,120 MBoe for the period from December 31, 2019 to August 21, 2020 were primarily the result of: (i) negative revisions totaling approximately 1,975 MBoe due to technical revisions attributable to decreased well performance of offset horizontal wells resulting in lessoned projected performance, (ii) negative revisions of approximately 173 MBoe primarily due to decreases in crude oil, NGL and natural gas prices and increased price differentials, and (iii) partially offset by positive revisions of 28 MBoe due to decreased forecasted operating expenses. Adding to the net decrease in proved reserves was 270 MBoe in production during the period from December 31, 2019 to August 21, 2020.</w:t>
      </w:r>
    </w:p>
    <w:p>
      <w:pPr>
        <w:spacing w:after="0" w:line="181"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following table sets forth the Company’s estimated quantities of proved developed and proved undeveloped crude oil, NGL and natural gas reserves: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3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3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3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5980" w:type="dxa"/>
            <w:vAlign w:val="bottom"/>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Successor</w:t>
            </w:r>
          </w:p>
        </w:tc>
        <w:tc>
          <w:tcPr>
            <w:tcW w:w="100" w:type="dxa"/>
            <w:vAlign w:val="bottom"/>
            <w:tcBorders>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Predecessor</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Proved Developed Reserves (1)</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980" w:type="dxa"/>
            <w:vAlign w:val="bottom"/>
          </w:tcPr>
          <w:p>
            <w:pPr>
              <w:ind w:left="900"/>
              <w:spacing w:after="0"/>
              <w:rPr>
                <w:sz w:val="20"/>
                <w:szCs w:val="20"/>
                <w:color w:val="auto"/>
              </w:rPr>
            </w:pPr>
            <w:r>
              <w:rPr>
                <w:rFonts w:ascii="Arial" w:cs="Arial" w:eastAsia="Arial" w:hAnsi="Arial"/>
                <w:sz w:val="18"/>
                <w:szCs w:val="18"/>
                <w:color w:val="auto"/>
              </w:rPr>
              <w:t>Crude oil (MBbl)</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47,845</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22,610</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8,730</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4,091</w:t>
            </w:r>
          </w:p>
        </w:tc>
      </w:tr>
      <w:tr>
        <w:trPr>
          <w:trHeight w:val="216"/>
        </w:trPr>
        <w:tc>
          <w:tcPr>
            <w:tcW w:w="59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NGL (MBbl)</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7,968</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3,540</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957</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r>
      <w:tr>
        <w:trPr>
          <w:trHeight w:val="216"/>
        </w:trPr>
        <w:tc>
          <w:tcPr>
            <w:tcW w:w="5980" w:type="dxa"/>
            <w:vAlign w:val="bottom"/>
          </w:tcPr>
          <w:p>
            <w:pPr>
              <w:ind w:left="900"/>
              <w:spacing w:after="0"/>
              <w:rPr>
                <w:sz w:val="20"/>
                <w:szCs w:val="20"/>
                <w:color w:val="auto"/>
              </w:rPr>
            </w:pPr>
            <w:r>
              <w:rPr>
                <w:rFonts w:ascii="Arial" w:cs="Arial" w:eastAsia="Arial" w:hAnsi="Arial"/>
                <w:sz w:val="18"/>
                <w:szCs w:val="18"/>
                <w:color w:val="auto"/>
              </w:rPr>
              <w:t>Natural gas (MMcf)</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32,669</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14,611</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1,952</w:t>
            </w:r>
          </w:p>
        </w:tc>
      </w:tr>
      <w:tr>
        <w:trPr>
          <w:trHeight w:val="249"/>
        </w:trPr>
        <w:tc>
          <w:tcPr>
            <w:tcW w:w="59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(MBoe)</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61,258</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28,585</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10,282</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4,964</w:t>
            </w:r>
          </w:p>
        </w:tc>
      </w:tr>
      <w:tr>
        <w:trPr>
          <w:trHeight w:val="196"/>
        </w:trPr>
        <w:tc>
          <w:tcPr>
            <w:tcW w:w="59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Proved Undeveloped Reserves</w:t>
            </w: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6"/>
        </w:trPr>
        <w:tc>
          <w:tcPr>
            <w:tcW w:w="59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Crude oil (MBbl)</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50,971</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29,215</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10,302</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5,281</w:t>
            </w:r>
          </w:p>
        </w:tc>
      </w:tr>
      <w:tr>
        <w:trPr>
          <w:trHeight w:val="216"/>
        </w:trPr>
        <w:tc>
          <w:tcPr>
            <w:tcW w:w="5980" w:type="dxa"/>
            <w:vAlign w:val="bottom"/>
          </w:tcPr>
          <w:p>
            <w:pPr>
              <w:ind w:left="900"/>
              <w:spacing w:after="0"/>
              <w:rPr>
                <w:sz w:val="20"/>
                <w:szCs w:val="20"/>
                <w:color w:val="auto"/>
              </w:rPr>
            </w:pPr>
            <w:r>
              <w:rPr>
                <w:rFonts w:ascii="Arial" w:cs="Arial" w:eastAsia="Arial" w:hAnsi="Arial"/>
                <w:sz w:val="18"/>
                <w:szCs w:val="18"/>
                <w:color w:val="auto"/>
              </w:rPr>
              <w:t>NGL (MBbl)</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6,401</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3,838</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1,203</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801</w:t>
            </w:r>
          </w:p>
        </w:tc>
      </w:tr>
      <w:tr>
        <w:trPr>
          <w:trHeight w:val="216"/>
        </w:trPr>
        <w:tc>
          <w:tcPr>
            <w:tcW w:w="59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Natural gas (MMcf)</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25,969</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15,450</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4,367</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r>
      <w:tr>
        <w:trPr>
          <w:trHeight w:val="210"/>
        </w:trPr>
        <w:tc>
          <w:tcPr>
            <w:tcW w:w="5980" w:type="dxa"/>
            <w:vAlign w:val="bottom"/>
          </w:tcPr>
          <w:p>
            <w:pPr>
              <w:ind w:left="900"/>
              <w:spacing w:after="0"/>
              <w:rPr>
                <w:sz w:val="20"/>
                <w:szCs w:val="20"/>
                <w:color w:val="auto"/>
              </w:rPr>
            </w:pPr>
            <w:r>
              <w:rPr>
                <w:rFonts w:ascii="Arial" w:cs="Arial" w:eastAsia="Arial" w:hAnsi="Arial"/>
                <w:sz w:val="18"/>
                <w:szCs w:val="18"/>
                <w:color w:val="auto"/>
              </w:rPr>
              <w:t>Total (MBoe)</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61,700</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35,628</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12,233</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6,533</w:t>
            </w:r>
          </w:p>
        </w:tc>
      </w:tr>
      <w:tr>
        <w:trPr>
          <w:trHeight w:val="20"/>
        </w:trPr>
        <w:tc>
          <w:tcPr>
            <w:tcW w:w="59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Proved Reserves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5980" w:type="dxa"/>
            <w:vAlign w:val="bottom"/>
          </w:tcPr>
          <w:p>
            <w:pPr>
              <w:ind w:left="900"/>
              <w:spacing w:after="0"/>
              <w:rPr>
                <w:sz w:val="20"/>
                <w:szCs w:val="20"/>
                <w:color w:val="auto"/>
              </w:rPr>
            </w:pPr>
            <w:r>
              <w:rPr>
                <w:rFonts w:ascii="Arial" w:cs="Arial" w:eastAsia="Arial" w:hAnsi="Arial"/>
                <w:sz w:val="18"/>
                <w:szCs w:val="18"/>
                <w:color w:val="auto"/>
              </w:rPr>
              <w:t>Crude oil (MBbl)</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98,816</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51,825</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19,032</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9,372</w:t>
            </w:r>
          </w:p>
        </w:tc>
      </w:tr>
      <w:tr>
        <w:trPr>
          <w:trHeight w:val="216"/>
        </w:trPr>
        <w:tc>
          <w:tcPr>
            <w:tcW w:w="59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NGL (MBbl)</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14,369</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7,378</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2,160</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1,349</w:t>
            </w:r>
          </w:p>
        </w:tc>
      </w:tr>
      <w:tr>
        <w:trPr>
          <w:trHeight w:val="216"/>
        </w:trPr>
        <w:tc>
          <w:tcPr>
            <w:tcW w:w="5980" w:type="dxa"/>
            <w:vAlign w:val="bottom"/>
          </w:tcPr>
          <w:p>
            <w:pPr>
              <w:ind w:left="900"/>
              <w:spacing w:after="0"/>
              <w:rPr>
                <w:sz w:val="20"/>
                <w:szCs w:val="20"/>
                <w:color w:val="auto"/>
              </w:rPr>
            </w:pPr>
            <w:r>
              <w:rPr>
                <w:rFonts w:ascii="Arial" w:cs="Arial" w:eastAsia="Arial" w:hAnsi="Arial"/>
                <w:sz w:val="18"/>
                <w:szCs w:val="18"/>
                <w:color w:val="auto"/>
              </w:rPr>
              <w:t>Natural gas (MMcf)</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58,638</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30,061</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7,939</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4,654</w:t>
            </w:r>
          </w:p>
        </w:tc>
      </w:tr>
      <w:tr>
        <w:trPr>
          <w:trHeight w:val="249"/>
        </w:trPr>
        <w:tc>
          <w:tcPr>
            <w:tcW w:w="59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(MBoe)</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122,958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64,213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22,515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11,497</w:t>
            </w:r>
          </w:p>
        </w:tc>
      </w:tr>
    </w:tbl>
    <w:p>
      <w:pPr>
        <w:spacing w:after="0" w:line="202" w:lineRule="exact"/>
        <w:rPr>
          <w:sz w:val="20"/>
          <w:szCs w:val="20"/>
          <w:color w:val="auto"/>
        </w:rPr>
      </w:pPr>
    </w:p>
    <w:p>
      <w:pPr>
        <w:ind w:left="660" w:right="220" w:hanging="328"/>
        <w:spacing w:after="0" w:line="34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As of December 31, 2022, 2021, 2020 and 2019, proved developed reserves includes proved developed non-producing reserves of 7,417, 6,884, 4,517 and 3,101 MBbl of crude oil, 927, 793, 517 and 447 MBbl of NGL and 3,641, 3,222, 1,912 and 1,454 MMcf of natural gas,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592" w:gutter="0" w:footer="0" w:header="0"/>
        </w:sectPr>
      </w:pPr>
    </w:p>
    <w:bookmarkStart w:id="110" w:name="page111"/>
    <w:bookmarkEnd w:id="110"/>
    <w:p>
      <w:pPr>
        <w:ind w:firstLine="450"/>
        <w:spacing w:after="0" w:line="277" w:lineRule="auto"/>
        <w:rPr>
          <w:sz w:val="20"/>
          <w:szCs w:val="20"/>
          <w:color w:val="auto"/>
        </w:rPr>
      </w:pPr>
      <w:r>
        <w:rPr>
          <w:rFonts w:ascii="Arial" w:cs="Arial" w:eastAsia="Arial" w:hAnsi="Arial"/>
          <w:sz w:val="18"/>
          <w:szCs w:val="18"/>
          <w:color w:val="auto"/>
        </w:rPr>
        <w:t>On December 31, 2022, the Company’s estimated PUD reserves were approximately 61,700 MBoe, a 26,072 MBoe increase over the reserve estimate at December 31, 2020 of 35,628 MBoe. The following table includes the changes in PUD reserves for 2022 (in MBoe):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Beginning proved undeveloped reserves on December 31, 2021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35,628</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ind w:left="500"/>
              <w:spacing w:after="0"/>
              <w:rPr>
                <w:sz w:val="20"/>
                <w:szCs w:val="20"/>
                <w:color w:val="auto"/>
              </w:rPr>
            </w:pPr>
            <w:r>
              <w:rPr>
                <w:rFonts w:ascii="Arial" w:cs="Arial" w:eastAsia="Arial" w:hAnsi="Arial"/>
                <w:sz w:val="18"/>
                <w:szCs w:val="18"/>
                <w:color w:val="auto"/>
              </w:rPr>
              <w:t>Undeveloped reserves transferred to proved developed</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(15,446)</w:t>
            </w:r>
          </w:p>
        </w:tc>
      </w:tr>
      <w:tr>
        <w:trPr>
          <w:trHeight w:val="216"/>
        </w:trPr>
        <w:tc>
          <w:tcPr>
            <w:tcW w:w="9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Revisions</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(3,178)</w:t>
            </w:r>
          </w:p>
        </w:tc>
      </w:tr>
      <w:tr>
        <w:trPr>
          <w:trHeight w:val="216"/>
        </w:trPr>
        <w:tc>
          <w:tcPr>
            <w:tcW w:w="9680" w:type="dxa"/>
            <w:vAlign w:val="bottom"/>
          </w:tcPr>
          <w:p>
            <w:pPr>
              <w:ind w:left="500"/>
              <w:spacing w:after="0"/>
              <w:rPr>
                <w:sz w:val="20"/>
                <w:szCs w:val="20"/>
                <w:color w:val="auto"/>
              </w:rPr>
            </w:pPr>
            <w:r>
              <w:rPr>
                <w:rFonts w:ascii="Arial" w:cs="Arial" w:eastAsia="Arial" w:hAnsi="Arial"/>
                <w:sz w:val="18"/>
                <w:szCs w:val="18"/>
                <w:color w:val="auto"/>
              </w:rPr>
              <w:t>Purchase of reserves-in-place</w:t>
            </w:r>
          </w:p>
        </w:tc>
        <w:tc>
          <w:tcPr>
            <w:tcW w:w="1460" w:type="dxa"/>
            <w:vAlign w:val="bottom"/>
          </w:tcPr>
          <w:p>
            <w:pPr>
              <w:jc w:val="right"/>
              <w:spacing w:after="0"/>
              <w:rPr>
                <w:sz w:val="20"/>
                <w:szCs w:val="20"/>
                <w:color w:val="auto"/>
              </w:rPr>
            </w:pPr>
            <w:r>
              <w:rPr>
                <w:rFonts w:ascii="Arial" w:cs="Arial" w:eastAsia="Arial" w:hAnsi="Arial"/>
                <w:sz w:val="18"/>
                <w:szCs w:val="18"/>
                <w:color w:val="auto"/>
              </w:rPr>
              <w:t>7,302</w:t>
            </w:r>
          </w:p>
        </w:tc>
        <w:tc>
          <w:tcPr>
            <w:tcW w:w="100" w:type="dxa"/>
            <w:vAlign w:val="bottom"/>
          </w:tcPr>
          <w:p>
            <w:pPr>
              <w:spacing w:after="0"/>
              <w:rPr>
                <w:sz w:val="18"/>
                <w:szCs w:val="18"/>
                <w:color w:val="auto"/>
              </w:rPr>
            </w:pPr>
          </w:p>
        </w:tc>
      </w:tr>
      <w:tr>
        <w:trPr>
          <w:trHeight w:val="216"/>
        </w:trPr>
        <w:tc>
          <w:tcPr>
            <w:tcW w:w="9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Extensions and discoveries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680" w:type="dxa"/>
            <w:vAlign w:val="bottom"/>
          </w:tcPr>
          <w:p>
            <w:pPr>
              <w:spacing w:after="0"/>
              <w:rPr>
                <w:sz w:val="20"/>
                <w:szCs w:val="20"/>
                <w:color w:val="auto"/>
              </w:rPr>
            </w:pPr>
            <w:r>
              <w:rPr>
                <w:rFonts w:ascii="Arial" w:cs="Arial" w:eastAsia="Arial" w:hAnsi="Arial"/>
                <w:sz w:val="18"/>
                <w:szCs w:val="18"/>
                <w:color w:val="auto"/>
              </w:rPr>
              <w:t>Ending proved undeveloped reserves on December 31, 2022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61,700</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Standardized Measure of Discounted Future Net Cash Flows</w:t>
      </w:r>
    </w:p>
    <w:p>
      <w:pPr>
        <w:spacing w:after="0" w:line="22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following table reflects the Company’s standardized measure of discounted future net cash flows relating from its proved crude oil, natural gas and NGL reserves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09"/>
        </w:trPr>
        <w:tc>
          <w:tcPr>
            <w:tcW w:w="5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Future cash inflows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10,159,310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3,668,535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740,859</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Future production costs</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(2,289,852)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(824,865)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(217,025)</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Future development costs (3)</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(117,887)</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Future income tax expense</w:t>
            </w:r>
          </w:p>
        </w:tc>
        <w:tc>
          <w:tcPr>
            <w:tcW w:w="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(1,102,156)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(431,737)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(25,824)</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Future net cash flows</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5,783,570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1,979,563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380,123</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Discount to present value at 10% annual rate</w:t>
            </w:r>
          </w:p>
        </w:tc>
        <w:tc>
          <w:tcPr>
            <w:tcW w:w="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(2,367,062)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(860,754)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(157,931)</w:t>
            </w:r>
          </w:p>
        </w:tc>
      </w:tr>
      <w:tr>
        <w:trPr>
          <w:trHeight w:val="22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Standardized measure of discounted future net cash flows (3)</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3,416,508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1,118,809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222,192</w:t>
            </w:r>
          </w:p>
        </w:tc>
      </w:tr>
      <w:tr>
        <w:trPr>
          <w:trHeight w:val="20"/>
        </w:trPr>
        <w:tc>
          <w:tcPr>
            <w:tcW w:w="53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following table reflects the principal changes in the standardized measure of discounted future net cash flows attributable to the Company’s proved reserves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10"/>
        </w:trPr>
        <w:tc>
          <w:tcPr>
            <w:tcW w:w="6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2020(2)</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Standardized measure of discounted future net cash flows, beginning of year</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1,118,809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222,192</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140,021</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Sales of crude oil and natural gas, net of production costs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(647,647)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(184,325)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(15,648)</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Extensions and discoveries, net of future development costs (3)</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1,785,822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987,689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172,478</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changes in prices and production costs</w:t>
            </w: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909,053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272,889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(50,728)</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estimated future development costs (3)</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6,466</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Purchases of minerals-in-place</w:t>
            </w: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499,478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31,353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600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Sales of reserves-in-place</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Revisions of previous quantity estimates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(354,868)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(40,466)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(41,646)</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Accretion of discount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134,338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23,419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14,134</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changes in income taxes (1)</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(315,478)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(212,574)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(10,675)</w:t>
            </w:r>
          </w:p>
        </w:tc>
      </w:tr>
      <w:tr>
        <w:trPr>
          <w:trHeight w:val="216"/>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changes in timing of production and other</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310,648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35,250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7,190</w:t>
            </w:r>
          </w:p>
        </w:tc>
      </w:tr>
      <w:tr>
        <w:trPr>
          <w:trHeight w:val="209"/>
        </w:trPr>
        <w:tc>
          <w:tcPr>
            <w:tcW w:w="6260" w:type="dxa"/>
            <w:vAlign w:val="bottom"/>
          </w:tcPr>
          <w:p>
            <w:pPr>
              <w:spacing w:after="0"/>
              <w:rPr>
                <w:sz w:val="20"/>
                <w:szCs w:val="20"/>
                <w:color w:val="auto"/>
              </w:rPr>
            </w:pPr>
            <w:r>
              <w:rPr>
                <w:rFonts w:ascii="Arial" w:cs="Arial" w:eastAsia="Arial" w:hAnsi="Arial"/>
                <w:sz w:val="18"/>
                <w:szCs w:val="18"/>
                <w:color w:val="auto"/>
              </w:rPr>
              <w:t>Standardized measure of discounted future net cash flows, end of year (3)</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3,416,508</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1,118,809</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222,192</w:t>
            </w:r>
          </w:p>
        </w:tc>
      </w:tr>
      <w:tr>
        <w:trPr>
          <w:trHeight w:val="20"/>
        </w:trPr>
        <w:tc>
          <w:tcPr>
            <w:tcW w:w="6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5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Effective with the HighPeak business combination that closed on August 21, 2020, the crude oil and natural gas properties became owned by HighPeak Energy, which is treated as a corporation for U.S. federal income tax purposes. As such, the “Net change in income taxes” in the table above for the year ended December 31, 2020 reflects the change in tax status applicable to the operations of the crude oil and natural gas properties. Prior to the HighPeak business combination, the Predecessor was treated as a partnership for U.S. federal income tax purposes. Accordingly, federal taxable income and losses relating to the operation of the crude oil and natural gas properties were reported on the income tax returns of the Predecessor’s partners. The Predecessor was subject to margin / franchise taxes in Texas, which is reflected as “Net change in income taxes” in the table above.</w:t>
      </w:r>
    </w:p>
    <w:p>
      <w:pPr>
        <w:spacing w:after="0" w:line="5" w:lineRule="exact"/>
        <w:rPr>
          <w:rFonts w:ascii="Arial" w:cs="Arial" w:eastAsia="Arial" w:hAnsi="Arial"/>
          <w:sz w:val="18"/>
          <w:szCs w:val="18"/>
          <w:color w:val="auto"/>
        </w:rPr>
      </w:pPr>
    </w:p>
    <w:p>
      <w:pPr>
        <w:ind w:left="660" w:right="20" w:hanging="328"/>
        <w:spacing w:after="0" w:line="265"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year ended December 31, 2020 in the table above reflects the change in standardized measure from that of HPK LP, our Predecessor, as of December 31, 2019 to that of the Company as of December 31, 2020 and amounts are combined for the period from January 1, 2020 to August 21, 2020 of HPK LP and from August 22, 2020 to December 31, 2020 of the Company. There was no third-party reserve report prepared as of August 21, 2020 from which to compute a standardized measure from as of that date. We believe the table above accurately reflects the change in standardized measure for the Predecessor and Successor in a meaningful context.</w:t>
      </w:r>
    </w:p>
    <w:p>
      <w:pPr>
        <w:ind w:left="660" w:right="100" w:hanging="328"/>
        <w:spacing w:after="0" w:line="25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standardized measure of discounted future net cash flows reflects, within the category for future development costs, all estimated future costs that will be incurred to settle our asset retirement obligations, including costs for dismantlement, restoration, and abandonment of the existing wells (including both active and inactive wells on leases and future proved undeveloped locations), in each case in compliance with FASB ASC 932-235-50-36.</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year covered by this Annual Report. Based on such evaluation, HighPeak Energy’s principal executive officer and principal financial officer have concluded that as of such date, its disclosure controls and procedures were effective. The Company’s disclosure controls and procedures are designed to provide reasonable assurance that the information required to be disclosed by it in reports that it files under the Exchange Act is accumulated and communicated to management, including the Company’s principal executive officer and principal financial officer, as appropriate, to allow timely decisions regarding required disclosure and is recorded, processed, summarized, and reported within the time periods specified in the rules and forms of the SEC.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There have been no changes to the Company’s internal control over financial reporting (as defined in Rule 13a-15(f) under the Exchange Act) that occurred during the three months ended December 31, 2022 that have materially affected, or are reasonably likely to materially affect,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w:t>
      </w:r>
      <w:r>
        <w:rPr>
          <w:rFonts w:ascii="Arial" w:cs="Arial" w:eastAsia="Arial" w:hAnsi="Arial"/>
          <w:sz w:val="18"/>
          <w:szCs w:val="18"/>
          <w:color w:val="auto"/>
        </w:rPr>
        <w:t>’</w:t>
      </w:r>
      <w:r>
        <w:rPr>
          <w:rFonts w:ascii="Arial" w:cs="Arial" w:eastAsia="Arial" w:hAnsi="Arial"/>
          <w:sz w:val="18"/>
          <w:szCs w:val="18"/>
          <w:i w:val="1"/>
          <w:iCs w:val="1"/>
          <w:color w:val="auto"/>
        </w:rPr>
        <w:t>s Annual Report on Internal Control over Financial Reporting</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Management is responsible for designing, implementing, and maintaining adequate internal control over financial reporting, as such term is defined in Rules 13a-15(f) and 15d-15(f) under the Exchange Act.</w:t>
      </w:r>
    </w:p>
    <w:p>
      <w:pPr>
        <w:spacing w:after="0" w:line="170"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color w:val="auto"/>
        </w:rPr>
        <w:t>As required by Rule 13a-15 under the Exchange Act, management, with the participation of our principal executive and principal financial officers, assessed the effectiveness of the Company’s internal control over financial reporting as of December 31, 2022, using the criteria in Internal Control-Integrated Framework (2013) issued by the Committee of Sponsoring Organizations of the Treadway Commission (COSO). Based on this evaluation, management believes that the Company’s internal control over financial reporting was effective as of December 31,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Item 10 will be incorporated by reference pursuant to Regulation 14A under the Exchange Act. We expect to file a definitive proxy statement with the SEC within 120 days after the close of the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16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Weaver and Tidwell, L.L.P., Fort Worth, TX, PCAOB ID No. 410.</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ind w:right="8480" w:firstLine="8"/>
        <w:spacing w:after="0" w:line="532" w:lineRule="auto"/>
        <w:tabs>
          <w:tab w:leader="none" w:pos="364"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Listing of Financial Statements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are included in “Item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Partners’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 Supplementary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to this Annual Report required to be filed pursuant to Item 15(b) are listed below.</w:t>
      </w:r>
    </w:p>
    <w:p>
      <w:pPr>
        <w:spacing w:after="0" w:line="2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Financial Statement Schedules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Financial statement schedules have been omitted because they either are not required, not applicable, or the information required to be presented is included in the Company’s financial statements and related notes.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6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9960" w:type="dxa"/>
            <w:vAlign w:val="bottom"/>
            <w:gridSpan w:val="10"/>
            <w:vMerge w:val="restart"/>
          </w:tcPr>
          <w:p>
            <w:pPr>
              <w:ind w:left="45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6"/>
        </w:trPr>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9960" w:type="dxa"/>
            <w:vAlign w:val="bottom"/>
            <w:tcBorders>
              <w:bottom w:val="single" w:sz="8" w:color="auto"/>
            </w:tcBorders>
            <w:gridSpan w:val="10"/>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2.1+</w:t>
            </w:r>
          </w:p>
        </w:tc>
        <w:tc>
          <w:tcPr>
            <w:tcW w:w="9960" w:type="dxa"/>
            <w:vAlign w:val="bottom"/>
            <w:gridSpan w:val="10"/>
          </w:tcPr>
          <w:p>
            <w:pPr>
              <w:spacing w:after="0"/>
              <w:rPr>
                <w:rFonts w:ascii="Arial" w:cs="Arial" w:eastAsia="Arial" w:hAnsi="Arial"/>
                <w:sz w:val="18"/>
                <w:szCs w:val="18"/>
                <w:color w:val="0000EE"/>
                <w:w w:val="97"/>
              </w:rPr>
            </w:pPr>
            <w:hyperlink r:id="rId125">
              <w:r>
                <w:rPr>
                  <w:rFonts w:ascii="Arial" w:cs="Arial" w:eastAsia="Arial" w:hAnsi="Arial"/>
                  <w:sz w:val="18"/>
                  <w:szCs w:val="18"/>
                  <w:color w:val="0000EE"/>
                  <w:w w:val="97"/>
                </w:rPr>
                <w:t>Business Combination Agreement, dated as of May 4, 2020, by and among Pure Acquisition Corp., HighPeak Energy, Inc., Pure</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Acquisition Merger Sub, Inc., HighPeak Energy, LP, HighPeak Energy II, LP, HighPeak Energy III, LP, HPK Energy, LLC, and, solely for</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3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limited purposes specified therein, HighPeak Energy Management, LLC (incorporated by reference to Annex A to the Company’s</w:t>
              </w:r>
            </w:hyperlink>
          </w:p>
        </w:tc>
        <w:tc>
          <w:tcPr>
            <w:tcW w:w="6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81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Registration Statement on Form S-4 and Form S-1 (File No. 333-235313) filed with the SEC on August 5, 2020).</w:t>
              </w:r>
            </w:hyperlink>
          </w:p>
        </w:tc>
        <w:tc>
          <w:tcPr>
            <w:tcW w:w="18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2.2</w:t>
            </w:r>
          </w:p>
        </w:tc>
        <w:tc>
          <w:tcPr>
            <w:tcW w:w="9960" w:type="dxa"/>
            <w:vAlign w:val="bottom"/>
            <w:gridSpan w:val="10"/>
          </w:tcPr>
          <w:p>
            <w:pPr>
              <w:spacing w:after="0"/>
              <w:rPr>
                <w:rFonts w:ascii="Arial" w:cs="Arial" w:eastAsia="Arial" w:hAnsi="Arial"/>
                <w:sz w:val="18"/>
                <w:szCs w:val="18"/>
                <w:color w:val="0000EE"/>
                <w:w w:val="94"/>
              </w:rPr>
            </w:pPr>
            <w:hyperlink r:id="rId126">
              <w:r>
                <w:rPr>
                  <w:rFonts w:ascii="Arial" w:cs="Arial" w:eastAsia="Arial" w:hAnsi="Arial"/>
                  <w:sz w:val="18"/>
                  <w:szCs w:val="18"/>
                  <w:color w:val="0000EE"/>
                  <w:w w:val="94"/>
                </w:rPr>
                <w:t>First Amendment to Business Combination Agreement, dated as of June 12, 2020, by and among, Pure Acquisition Corp., HighPeak</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40" w:type="dxa"/>
            <w:vAlign w:val="bottom"/>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7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Energy, Inc., Pure Acquisition Merger Sub, Inc., HighPeak Energy, LP, HighPeak Energy II, LP, HighPeak Energy III, LP, HPK Energy,</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5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LLC and HighPeak Energy Management, LLC (incorporated by reference to Annex A-I to the Company’s Registration Statement on</w:t>
              </w:r>
            </w:hyperlink>
          </w:p>
        </w:tc>
        <w:tc>
          <w:tcPr>
            <w:tcW w:w="4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0"/>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Form S-4 and Form S-1 (File No. 333-235313) filed with the SEC on August 5, 2020).</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40" w:type="dxa"/>
            <w:vAlign w:val="bottom"/>
            <w:shd w:val="clear" w:color="auto" w:fill="0000EE"/>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2.3</w:t>
            </w:r>
          </w:p>
        </w:tc>
        <w:tc>
          <w:tcPr>
            <w:tcW w:w="9640" w:type="dxa"/>
            <w:vAlign w:val="bottom"/>
            <w:tcBorders>
              <w:bottom w:val="single" w:sz="8" w:color="0000EE"/>
            </w:tcBorders>
            <w:gridSpan w:val="8"/>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Second Amendment to Business Combination Agreement, dated as of July 1, 2020, by and among, Pure Acquisition Corp., HighPeak</w:t>
              </w:r>
            </w:hyperlink>
          </w:p>
        </w:tc>
        <w:tc>
          <w:tcPr>
            <w:tcW w:w="3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7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Energy, Inc., Pure Acquisition Merger Sub, Inc., HighPeak Energy, LP, HighPeak Energy II, LP, HighPeak Energy III, LP, HPK Energy,</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6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LLC and HighPeak Energy Management, LLC (incorporated by reference to Annex A-II to the Company’s Registration Statement on</w:t>
              </w:r>
            </w:hyperlink>
          </w:p>
        </w:tc>
        <w:tc>
          <w:tcPr>
            <w:tcW w:w="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0"/>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Form S-4 and Form S-1 (File No. 333-235313) filed with the SEC on August 5, 2020).</w:t>
              </w:r>
            </w:hyperlink>
          </w:p>
        </w:tc>
        <w:tc>
          <w:tcPr>
            <w:tcW w:w="0" w:type="dxa"/>
            <w:vAlign w:val="bottom"/>
          </w:tcPr>
          <w:p>
            <w:pPr>
              <w:spacing w:after="0"/>
              <w:rPr>
                <w:sz w:val="1"/>
                <w:szCs w:val="1"/>
                <w:color w:val="auto"/>
              </w:rPr>
            </w:pPr>
          </w:p>
        </w:tc>
      </w:tr>
      <w:tr>
        <w:trPr>
          <w:trHeight w:val="452"/>
        </w:trPr>
        <w:tc>
          <w:tcPr>
            <w:tcW w:w="1280" w:type="dxa"/>
            <w:vAlign w:val="bottom"/>
          </w:tcPr>
          <w:p>
            <w:pPr>
              <w:spacing w:after="0"/>
              <w:rPr>
                <w:sz w:val="24"/>
                <w:szCs w:val="24"/>
                <w:color w:val="auto"/>
              </w:rPr>
            </w:pPr>
          </w:p>
        </w:tc>
        <w:tc>
          <w:tcPr>
            <w:tcW w:w="6240" w:type="dxa"/>
            <w:vAlign w:val="bottom"/>
            <w:tcBorders>
              <w:top w:val="single" w:sz="8" w:color="0000EE"/>
            </w:tcBorders>
          </w:tcPr>
          <w:p>
            <w:pPr>
              <w:ind w:left="4200"/>
              <w:spacing w:after="0"/>
              <w:rPr>
                <w:sz w:val="20"/>
                <w:szCs w:val="20"/>
                <w:color w:val="auto"/>
              </w:rPr>
            </w:pPr>
            <w:r>
              <w:rPr>
                <w:rFonts w:ascii="Arial" w:cs="Arial" w:eastAsia="Arial" w:hAnsi="Arial"/>
                <w:sz w:val="18"/>
                <w:szCs w:val="18"/>
                <w:color w:val="auto"/>
              </w:rPr>
              <w:t>107</w:t>
            </w:r>
          </w:p>
        </w:tc>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24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2.4</w:t>
            </w:r>
          </w:p>
        </w:tc>
        <w:tc>
          <w:tcPr>
            <w:tcW w:w="10200" w:type="dxa"/>
            <w:vAlign w:val="bottom"/>
            <w:tcBorders>
              <w:bottom w:val="single" w:sz="8" w:color="0000EE"/>
            </w:tcBorders>
            <w:gridSpan w:val="35"/>
          </w:tcPr>
          <w:p>
            <w:pPr>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Third Amendment to Business Combination Agreement, dated as of July 24, 2020, by and among, Pure Acquisition Corp., HighPeak Energy,</w:t>
              </w:r>
            </w:hyperlink>
          </w:p>
        </w:tc>
      </w:tr>
      <w:tr>
        <w:trPr>
          <w:trHeight w:val="196"/>
        </w:trPr>
        <w:tc>
          <w:tcPr>
            <w:tcW w:w="1020" w:type="dxa"/>
            <w:vAlign w:val="bottom"/>
          </w:tcPr>
          <w:p>
            <w:pPr>
              <w:spacing w:after="0"/>
              <w:rPr>
                <w:sz w:val="17"/>
                <w:szCs w:val="17"/>
                <w:color w:val="auto"/>
              </w:rPr>
            </w:pPr>
          </w:p>
        </w:tc>
        <w:tc>
          <w:tcPr>
            <w:tcW w:w="98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Inc., Pure Acquisition Merger Sub, Inc., HighPeak Energy, LP, HighPeak Energy II, LP, HighPeak Energy III, LP, HPK Energy, LLC and</w:t>
              </w:r>
            </w:hyperlink>
          </w:p>
        </w:tc>
        <w:tc>
          <w:tcPr>
            <w:tcW w:w="320" w:type="dxa"/>
            <w:vAlign w:val="bottom"/>
            <w:gridSpan w:val="1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00" w:type="dxa"/>
            <w:vAlign w:val="bottom"/>
            <w:gridSpan w:val="35"/>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HighPeak Energy Management, LLC (incorporated by reference to Annex A-III to the Company’s Registration Statement on Form S-4 and</w:t>
              </w:r>
            </w:hyperlink>
          </w:p>
        </w:tc>
      </w:tr>
      <w:tr>
        <w:trPr>
          <w:trHeight w:val="196"/>
        </w:trPr>
        <w:tc>
          <w:tcPr>
            <w:tcW w:w="1020" w:type="dxa"/>
            <w:vAlign w:val="bottom"/>
          </w:tcPr>
          <w:p>
            <w:pPr>
              <w:spacing w:after="0"/>
              <w:rPr>
                <w:sz w:val="17"/>
                <w:szCs w:val="17"/>
                <w:color w:val="auto"/>
              </w:rPr>
            </w:pPr>
          </w:p>
        </w:tc>
        <w:tc>
          <w:tcPr>
            <w:tcW w:w="52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Form S-1 (File No. 333-235313) filed with the SEC on August 5, 2020).</w:t>
              </w:r>
            </w:hyperlink>
          </w:p>
        </w:tc>
        <w:tc>
          <w:tcPr>
            <w:tcW w:w="4800" w:type="dxa"/>
            <w:vAlign w:val="bottom"/>
            <w:tcBorders>
              <w:top w:val="single" w:sz="8" w:color="0000EE"/>
            </w:tcBorders>
            <w:gridSpan w:val="18"/>
          </w:tcPr>
          <w:p>
            <w:pPr>
              <w:spacing w:after="0"/>
              <w:rPr>
                <w:sz w:val="17"/>
                <w:szCs w:val="17"/>
                <w:color w:val="auto"/>
              </w:rPr>
            </w:pPr>
          </w:p>
        </w:tc>
        <w:tc>
          <w:tcPr>
            <w:tcW w:w="180" w:type="dxa"/>
            <w:vAlign w:val="bottom"/>
            <w:gridSpan w:val="9"/>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2.5#</w:t>
            </w:r>
          </w:p>
        </w:tc>
        <w:tc>
          <w:tcPr>
            <w:tcW w:w="10060" w:type="dxa"/>
            <w:vAlign w:val="bottom"/>
            <w:tcBorders>
              <w:bottom w:val="single" w:sz="8" w:color="0000EE"/>
            </w:tcBorders>
            <w:gridSpan w:val="28"/>
          </w:tcPr>
          <w:p>
            <w:pPr>
              <w:spacing w:after="0"/>
              <w:rPr>
                <w:rFonts w:ascii="Arial" w:cs="Arial" w:eastAsia="Arial" w:hAnsi="Arial"/>
                <w:sz w:val="18"/>
                <w:szCs w:val="18"/>
                <w:color w:val="0000EE"/>
                <w:w w:val="89"/>
              </w:rPr>
            </w:pPr>
            <w:hyperlink r:id="rId129">
              <w:r>
                <w:rPr>
                  <w:rFonts w:ascii="Arial" w:cs="Arial" w:eastAsia="Arial" w:hAnsi="Arial"/>
                  <w:sz w:val="18"/>
                  <w:szCs w:val="18"/>
                  <w:color w:val="0000EE"/>
                  <w:w w:val="89"/>
                </w:rPr>
                <w:t>Purchase and Sale Agreement, dated as of February 15, 2022, by and among HighPeak Energy, Inc., HighPeak Energy Assets, LLC, Alamo</w:t>
              </w:r>
            </w:hyperlink>
          </w:p>
        </w:tc>
        <w:tc>
          <w:tcPr>
            <w:tcW w:w="14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160" w:type="dxa"/>
            <w:vAlign w:val="bottom"/>
            <w:tcBorders>
              <w:bottom w:val="single" w:sz="8" w:color="0000EE"/>
            </w:tcBorders>
            <w:gridSpan w:val="33"/>
          </w:tcPr>
          <w:p>
            <w:pPr>
              <w:spacing w:after="0" w:line="196" w:lineRule="exact"/>
              <w:rPr>
                <w:rFonts w:ascii="Arial" w:cs="Arial" w:eastAsia="Arial" w:hAnsi="Arial"/>
                <w:sz w:val="18"/>
                <w:szCs w:val="18"/>
                <w:color w:val="0000EE"/>
                <w:w w:val="93"/>
              </w:rPr>
            </w:pPr>
            <w:hyperlink r:id="rId129">
              <w:r>
                <w:rPr>
                  <w:rFonts w:ascii="Arial" w:cs="Arial" w:eastAsia="Arial" w:hAnsi="Arial"/>
                  <w:sz w:val="18"/>
                  <w:szCs w:val="18"/>
                  <w:color w:val="0000EE"/>
                  <w:w w:val="93"/>
                </w:rPr>
                <w:t>Borden County II, LLC, Alamo Borden County III, LLC and Alamo Borden County IV, LLC (incorporated by reference to Exhibit 2.1 to the</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2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Company’s Current Report on Form 8-K (File No. 001-39464) filed with the SEC on June 23, 2022).</w:t>
              </w:r>
            </w:hyperlink>
          </w:p>
        </w:tc>
        <w:tc>
          <w:tcPr>
            <w:tcW w:w="2920" w:type="dxa"/>
            <w:vAlign w:val="bottom"/>
            <w:gridSpan w:val="22"/>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2.6#</w:t>
            </w:r>
          </w:p>
        </w:tc>
        <w:tc>
          <w:tcPr>
            <w:tcW w:w="9680" w:type="dxa"/>
            <w:vAlign w:val="bottom"/>
            <w:tcBorders>
              <w:bottom w:val="single" w:sz="8" w:color="0000EE"/>
            </w:tcBorders>
            <w:gridSpan w:val="19"/>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Put/Call Agreement, dated as of February 15, 2022, by and among HighPeak Energy, Inc. HighPeak Energy Assets, LLC, Alamo Frac</w:t>
              </w:r>
            </w:hyperlink>
          </w:p>
        </w:tc>
        <w:tc>
          <w:tcPr>
            <w:tcW w:w="520" w:type="dxa"/>
            <w:vAlign w:val="bottom"/>
            <w:gridSpan w:val="1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0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r:id="rId130">
              <w:r>
                <w:rPr>
                  <w:rFonts w:ascii="Arial" w:cs="Arial" w:eastAsia="Arial" w:hAnsi="Arial"/>
                  <w:sz w:val="18"/>
                  <w:szCs w:val="18"/>
                  <w:color w:val="0000EE"/>
                  <w:w w:val="93"/>
                </w:rPr>
                <w:t>Holdings, LLC, Alamo Exploration and Production, LLC, Crocket Operating LLC, Alamo Borden County II, LLC, Alamo Borden County</w:t>
              </w:r>
            </w:hyperlink>
          </w:p>
        </w:tc>
        <w:tc>
          <w:tcPr>
            <w:tcW w:w="200" w:type="dxa"/>
            <w:vAlign w:val="bottom"/>
            <w:gridSpan w:val="10"/>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00" w:type="dxa"/>
            <w:vAlign w:val="bottom"/>
            <w:gridSpan w:val="35"/>
          </w:tcPr>
          <w:p>
            <w:pPr>
              <w:spacing w:after="0" w:line="196" w:lineRule="exact"/>
              <w:rPr>
                <w:rFonts w:ascii="Arial" w:cs="Arial" w:eastAsia="Arial" w:hAnsi="Arial"/>
                <w:sz w:val="18"/>
                <w:szCs w:val="18"/>
                <w:color w:val="0000EE"/>
                <w:w w:val="93"/>
              </w:rPr>
            </w:pPr>
            <w:hyperlink r:id="rId130">
              <w:r>
                <w:rPr>
                  <w:rFonts w:ascii="Arial" w:cs="Arial" w:eastAsia="Arial" w:hAnsi="Arial"/>
                  <w:sz w:val="18"/>
                  <w:szCs w:val="18"/>
                  <w:color w:val="0000EE"/>
                  <w:w w:val="93"/>
                </w:rPr>
                <w:t>III, LLC, Alamo Borden County IV, LLC and the other parties signatory thereto (incorporated by reference to Exhibit 2.3 to the Company’s</w:t>
              </w:r>
            </w:hyperlink>
          </w:p>
        </w:tc>
      </w:tr>
      <w:tr>
        <w:trPr>
          <w:trHeight w:val="196"/>
        </w:trPr>
        <w:tc>
          <w:tcPr>
            <w:tcW w:w="1020" w:type="dxa"/>
            <w:vAlign w:val="bottom"/>
          </w:tcPr>
          <w:p>
            <w:pPr>
              <w:spacing w:after="0"/>
              <w:rPr>
                <w:sz w:val="17"/>
                <w:szCs w:val="17"/>
                <w:color w:val="auto"/>
              </w:rPr>
            </w:pPr>
          </w:p>
        </w:tc>
        <w:tc>
          <w:tcPr>
            <w:tcW w:w="100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Current Report on Form 8-K (File No. 001-39464) filed with the SEC on June 23, 2022).</w:t>
              </w:r>
            </w:hyperlink>
          </w:p>
        </w:tc>
        <w:tc>
          <w:tcPr>
            <w:tcW w:w="160" w:type="dxa"/>
            <w:vAlign w:val="bottom"/>
            <w:gridSpan w:val="8"/>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2.7#</w:t>
            </w:r>
          </w:p>
        </w:tc>
        <w:tc>
          <w:tcPr>
            <w:tcW w:w="10100" w:type="dxa"/>
            <w:vAlign w:val="bottom"/>
            <w:tcBorders>
              <w:bottom w:val="single" w:sz="8" w:color="0000EE"/>
            </w:tcBorders>
            <w:gridSpan w:val="30"/>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Purchase and Sale Agreement, dated as of April 26, 2022, by and among HighPeak Energy, Inc., HighPeak Energy Assets, LLC, Hannathon</w:t>
              </w:r>
            </w:hyperlink>
          </w:p>
        </w:tc>
        <w:tc>
          <w:tcPr>
            <w:tcW w:w="10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16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Petroleum, LLC and other sellers party thereto (incorporated by reference to Exhibit 2.1 to the Company’s Current Report on Form 8-K (File</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00" w:type="dxa"/>
            <w:vAlign w:val="bottom"/>
            <w:gridSpan w:val="35"/>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No. 001-39464) filed with the SEC on June 30, 2022).</w:t>
              </w:r>
            </w:hyperlink>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2.8#</w:t>
            </w:r>
          </w:p>
        </w:tc>
        <w:tc>
          <w:tcPr>
            <w:tcW w:w="10200" w:type="dxa"/>
            <w:vAlign w:val="bottom"/>
            <w:gridSpan w:val="35"/>
          </w:tcPr>
          <w:p>
            <w:pPr>
              <w:spacing w:after="0"/>
              <w:rPr>
                <w:rFonts w:ascii="Arial" w:cs="Arial" w:eastAsia="Arial" w:hAnsi="Arial"/>
                <w:sz w:val="18"/>
                <w:szCs w:val="18"/>
                <w:color w:val="0000EE"/>
                <w:w w:val="92"/>
              </w:rPr>
            </w:pPr>
            <w:hyperlink r:id="rId132">
              <w:r>
                <w:rPr>
                  <w:rFonts w:ascii="Arial" w:cs="Arial" w:eastAsia="Arial" w:hAnsi="Arial"/>
                  <w:sz w:val="18"/>
                  <w:szCs w:val="18"/>
                  <w:color w:val="0000EE"/>
                  <w:w w:val="92"/>
                </w:rPr>
                <w:t>Purchase and Sale Agreement, dated as of June 3, 2022, by and among HighPeak Energy Assets, LLC and Alamo Borden County 1, LLC</w:t>
              </w:r>
            </w:hyperlink>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0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(incorporated by reference to Exhibit 2.2 to the Company’s Current Report on Form 8-K (File No. 001-39464) filed with the SEC on June 23,</w:t>
              </w:r>
            </w:hyperlink>
          </w:p>
        </w:tc>
      </w:tr>
      <w:tr>
        <w:trPr>
          <w:trHeight w:val="196"/>
        </w:trPr>
        <w:tc>
          <w:tcPr>
            <w:tcW w:w="10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32">
              <w:r>
                <w:rPr>
                  <w:rFonts w:ascii="Arial" w:cs="Arial" w:eastAsia="Arial" w:hAnsi="Arial"/>
                  <w:sz w:val="18"/>
                  <w:szCs w:val="18"/>
                  <w:color w:val="0000EE"/>
                  <w:w w:val="86"/>
                </w:rPr>
                <w:t>2022).</w:t>
              </w:r>
            </w:hyperlink>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9880" w:type="dxa"/>
            <w:vAlign w:val="bottom"/>
            <w:tcBorders>
              <w:bottom w:val="single" w:sz="8" w:color="0000EE"/>
            </w:tcBorders>
            <w:gridSpan w:val="21"/>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Amended and Restated Certificate of Incorporation of HighPeak Energy, Inc. (incorporated by reference to Exhibit 3.1 to the Company’s</w:t>
              </w:r>
            </w:hyperlink>
          </w:p>
        </w:tc>
        <w:tc>
          <w:tcPr>
            <w:tcW w:w="320" w:type="dxa"/>
            <w:vAlign w:val="bottom"/>
            <w:gridSpan w:val="1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6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Current Report on Form 8-K (File No. 001-39464) filed with the SEC on August 27, 2020).</w:t>
              </w:r>
            </w:hyperlink>
          </w:p>
        </w:tc>
        <w:tc>
          <w:tcPr>
            <w:tcW w:w="3600" w:type="dxa"/>
            <w:vAlign w:val="bottom"/>
            <w:gridSpan w:val="23"/>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10200" w:type="dxa"/>
            <w:vAlign w:val="bottom"/>
            <w:tcBorders>
              <w:bottom w:val="single" w:sz="8" w:color="0000EE"/>
            </w:tcBorders>
            <w:gridSpan w:val="35"/>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Amended and Restated Bylaws of HighPeak Energy, Inc. (incorporated by reference to Exhibit 3.1 to the Company’s Current Report on Form</w:t>
              </w:r>
            </w:hyperlink>
          </w:p>
        </w:tc>
      </w:tr>
      <w:tr>
        <w:trPr>
          <w:trHeight w:val="196"/>
        </w:trPr>
        <w:tc>
          <w:tcPr>
            <w:tcW w:w="1020" w:type="dxa"/>
            <w:vAlign w:val="bottom"/>
          </w:tcPr>
          <w:p>
            <w:pPr>
              <w:spacing w:after="0"/>
              <w:rPr>
                <w:sz w:val="17"/>
                <w:szCs w:val="17"/>
                <w:color w:val="auto"/>
              </w:rPr>
            </w:pPr>
          </w:p>
        </w:tc>
        <w:tc>
          <w:tcPr>
            <w:tcW w:w="49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8-K (File No. 001-39464) filed with the SEC on November 9, 2020).</w:t>
              </w:r>
            </w:hyperlink>
          </w:p>
        </w:tc>
        <w:tc>
          <w:tcPr>
            <w:tcW w:w="5240" w:type="dxa"/>
            <w:vAlign w:val="bottom"/>
            <w:gridSpan w:val="28"/>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9680" w:type="dxa"/>
            <w:vAlign w:val="bottom"/>
            <w:tcBorders>
              <w:bottom w:val="single" w:sz="8" w:color="0000EE"/>
            </w:tcBorders>
            <w:gridSpan w:val="19"/>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Registration Rights Agreement, dated as of August 21, 2020, by and among HighPeak Energy, Inc., HighPeak Pure Acquisition, LLC,</w:t>
              </w:r>
            </w:hyperlink>
          </w:p>
        </w:tc>
        <w:tc>
          <w:tcPr>
            <w:tcW w:w="520" w:type="dxa"/>
            <w:vAlign w:val="bottom"/>
            <w:gridSpan w:val="1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00" w:type="dxa"/>
            <w:vAlign w:val="bottom"/>
            <w:gridSpan w:val="35"/>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HighPeak Energy, LP, HighPeak Energy II, LP, HighPeak Energy III, LP and certain other security holders named therein (incorporated by</w:t>
              </w:r>
            </w:hyperlink>
          </w:p>
        </w:tc>
      </w:tr>
      <w:tr>
        <w:trPr>
          <w:trHeight w:val="196"/>
        </w:trPr>
        <w:tc>
          <w:tcPr>
            <w:tcW w:w="102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reference to Exhibit 4.4 to the Company’s Current Report on Form 8-K (File No. 001-39464) filed with the SEC on August 27, 2020).</w:t>
              </w:r>
            </w:hyperlink>
          </w:p>
        </w:tc>
        <w:tc>
          <w:tcPr>
            <w:tcW w:w="320" w:type="dxa"/>
            <w:vAlign w:val="bottom"/>
            <w:tcBorders>
              <w:top w:val="single" w:sz="8" w:color="0000EE"/>
            </w:tcBorders>
            <w:gridSpan w:val="6"/>
          </w:tcPr>
          <w:p>
            <w:pPr>
              <w:spacing w:after="0"/>
              <w:rPr>
                <w:sz w:val="17"/>
                <w:szCs w:val="17"/>
                <w:color w:val="auto"/>
              </w:rPr>
            </w:pPr>
          </w:p>
        </w:tc>
        <w:tc>
          <w:tcPr>
            <w:tcW w:w="220" w:type="dxa"/>
            <w:vAlign w:val="bottom"/>
            <w:gridSpan w:val="11"/>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4.2</w:t>
            </w:r>
          </w:p>
        </w:tc>
        <w:tc>
          <w:tcPr>
            <w:tcW w:w="10000" w:type="dxa"/>
            <w:vAlign w:val="bottom"/>
            <w:tcBorders>
              <w:bottom w:val="single" w:sz="8" w:color="0000EE"/>
            </w:tcBorders>
            <w:gridSpan w:val="25"/>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Stockholders’ Agreement, dated as of August 21, 2020, by and among HighPeak Energy, Inc., HighPeak Pure Acquisition, LLC, HighPeak</w:t>
              </w:r>
            </w:hyperlink>
          </w:p>
        </w:tc>
        <w:tc>
          <w:tcPr>
            <w:tcW w:w="20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12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Energy, LP, HighPeak Energy II, LP, HighPeak Energy III, LP, Jack Hightower and certain directors of Pure Acquisition Corp. (incorporated</w:t>
              </w:r>
            </w:hyperlink>
          </w:p>
        </w:tc>
        <w:tc>
          <w:tcPr>
            <w:tcW w:w="8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00" w:type="dxa"/>
            <w:vAlign w:val="bottom"/>
            <w:gridSpan w:val="35"/>
          </w:tcPr>
          <w:p>
            <w:pPr>
              <w:spacing w:after="0" w:line="196" w:lineRule="exact"/>
              <w:rPr>
                <w:rFonts w:ascii="Arial" w:cs="Arial" w:eastAsia="Arial" w:hAnsi="Arial"/>
                <w:sz w:val="18"/>
                <w:szCs w:val="18"/>
                <w:color w:val="0000EE"/>
                <w:w w:val="94"/>
              </w:rPr>
            </w:pPr>
            <w:hyperlink r:id="rId136">
              <w:r>
                <w:rPr>
                  <w:rFonts w:ascii="Arial" w:cs="Arial" w:eastAsia="Arial" w:hAnsi="Arial"/>
                  <w:sz w:val="18"/>
                  <w:szCs w:val="18"/>
                  <w:color w:val="0000EE"/>
                  <w:w w:val="94"/>
                </w:rPr>
                <w:t>by reference to Exhibit 4.3 to the Company’s Current Report on Form 8-K (File No. 001-39464) filed with the SEC on August 27, 2020).</w:t>
              </w:r>
            </w:hyperlink>
          </w:p>
        </w:tc>
      </w:tr>
      <w:tr>
        <w:trPr>
          <w:trHeight w:val="20"/>
        </w:trPr>
        <w:tc>
          <w:tcPr>
            <w:tcW w:w="10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4.3</w:t>
            </w:r>
          </w:p>
        </w:tc>
        <w:tc>
          <w:tcPr>
            <w:tcW w:w="10080" w:type="dxa"/>
            <w:vAlign w:val="bottom"/>
            <w:tcBorders>
              <w:bottom w:val="single" w:sz="8" w:color="0000EE"/>
            </w:tcBorders>
            <w:gridSpan w:val="29"/>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Amendment and Assignment to Warrant Agreement, dated as of August 21, 2020, by and among Pure Acquisition Corp., Continental Stock</w:t>
              </w:r>
            </w:hyperlink>
          </w:p>
        </w:tc>
        <w:tc>
          <w:tcPr>
            <w:tcW w:w="12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14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Transfer &amp; Trust Company and HighPeak Energy, Inc. (incorporated by reference to Exhibit 4.2 to the Company’s Registration Statement on</w:t>
              </w:r>
            </w:hyperlink>
          </w:p>
        </w:tc>
        <w:tc>
          <w:tcPr>
            <w:tcW w:w="6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00" w:type="dxa"/>
            <w:vAlign w:val="bottom"/>
            <w:gridSpan w:val="35"/>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Form S-4 and Form S-1 (File No. 333-235313) filed with the SEC on August 5, 2020).</w:t>
              </w:r>
            </w:hyperlink>
          </w:p>
        </w:tc>
      </w:tr>
      <w:tr>
        <w:trPr>
          <w:trHeight w:val="20"/>
        </w:trPr>
        <w:tc>
          <w:tcPr>
            <w:tcW w:w="10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4.4</w:t>
            </w:r>
          </w:p>
        </w:tc>
        <w:tc>
          <w:tcPr>
            <w:tcW w:w="9880" w:type="dxa"/>
            <w:vAlign w:val="bottom"/>
            <w:tcBorders>
              <w:bottom w:val="single" w:sz="8" w:color="0000EE"/>
            </w:tcBorders>
            <w:gridSpan w:val="21"/>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Description of Securities Registered Under Section 12 of the Securities Exchange Act of 1934, as amended (incorporated by reference to</w:t>
              </w:r>
            </w:hyperlink>
          </w:p>
        </w:tc>
        <w:tc>
          <w:tcPr>
            <w:tcW w:w="320" w:type="dxa"/>
            <w:vAlign w:val="bottom"/>
            <w:gridSpan w:val="1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00" w:type="dxa"/>
            <w:vAlign w:val="bottom"/>
            <w:gridSpan w:val="35"/>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Exhibit 4.4 of the Company's Annual Report on Form 10-K for the year ended December 31, 2020 (File No. 001-39464)).</w:t>
              </w:r>
            </w:hyperlink>
          </w:p>
        </w:tc>
      </w:tr>
      <w:tr>
        <w:trPr>
          <w:trHeight w:val="20"/>
        </w:trPr>
        <w:tc>
          <w:tcPr>
            <w:tcW w:w="10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2900" w:type="dxa"/>
            <w:vAlign w:val="bottom"/>
            <w:gridSpan w:val="5"/>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4.5</w:t>
            </w:r>
          </w:p>
        </w:tc>
        <w:tc>
          <w:tcPr>
            <w:tcW w:w="9800" w:type="dxa"/>
            <w:vAlign w:val="bottom"/>
            <w:tcBorders>
              <w:bottom w:val="single" w:sz="8" w:color="0000EE"/>
            </w:tcBorders>
            <w:gridSpan w:val="20"/>
          </w:tcPr>
          <w:p>
            <w:pPr>
              <w:spacing w:after="0"/>
              <w:rPr>
                <w:rFonts w:ascii="Arial" w:cs="Arial" w:eastAsia="Arial" w:hAnsi="Arial"/>
                <w:sz w:val="18"/>
                <w:szCs w:val="18"/>
                <w:color w:val="0000EE"/>
                <w:w w:val="89"/>
              </w:rPr>
            </w:pPr>
            <w:hyperlink r:id="rId139">
              <w:r>
                <w:rPr>
                  <w:rFonts w:ascii="Arial" w:cs="Arial" w:eastAsia="Arial" w:hAnsi="Arial"/>
                  <w:sz w:val="18"/>
                  <w:szCs w:val="18"/>
                  <w:color w:val="0000EE"/>
                  <w:w w:val="89"/>
                </w:rPr>
                <w:t>Indenture dated as of February 16, 2022, among HighPeak Energy, Inc., as issuer, the guarantors party thereto and UMB Bank, National</w:t>
              </w:r>
            </w:hyperlink>
          </w:p>
        </w:tc>
        <w:tc>
          <w:tcPr>
            <w:tcW w:w="400" w:type="dxa"/>
            <w:vAlign w:val="bottom"/>
            <w:gridSpan w:val="1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00" w:type="dxa"/>
            <w:vAlign w:val="bottom"/>
            <w:gridSpan w:val="35"/>
          </w:tcPr>
          <w:p>
            <w:pPr>
              <w:spacing w:after="0" w:line="196" w:lineRule="exact"/>
              <w:rPr>
                <w:rFonts w:ascii="Arial" w:cs="Arial" w:eastAsia="Arial" w:hAnsi="Arial"/>
                <w:sz w:val="18"/>
                <w:szCs w:val="18"/>
                <w:color w:val="0000EE"/>
                <w:w w:val="93"/>
              </w:rPr>
            </w:pPr>
            <w:hyperlink r:id="rId139">
              <w:r>
                <w:rPr>
                  <w:rFonts w:ascii="Arial" w:cs="Arial" w:eastAsia="Arial" w:hAnsi="Arial"/>
                  <w:sz w:val="18"/>
                  <w:szCs w:val="18"/>
                  <w:color w:val="0000EE"/>
                  <w:w w:val="93"/>
                </w:rPr>
                <w:t>Association, as trustee (incorporated by reference to the Company’s Current Report on Form 8-K (File No. 001-39464) filed February 22,</w:t>
              </w:r>
            </w:hyperlink>
          </w:p>
        </w:tc>
      </w:tr>
      <w:tr>
        <w:trPr>
          <w:trHeight w:val="196"/>
        </w:trPr>
        <w:tc>
          <w:tcPr>
            <w:tcW w:w="10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39">
              <w:r>
                <w:rPr>
                  <w:rFonts w:ascii="Arial" w:cs="Arial" w:eastAsia="Arial" w:hAnsi="Arial"/>
                  <w:sz w:val="18"/>
                  <w:szCs w:val="18"/>
                  <w:color w:val="0000EE"/>
                  <w:w w:val="86"/>
                </w:rPr>
                <w:t>2022).</w:t>
              </w:r>
            </w:hyperlink>
          </w:p>
        </w:tc>
        <w:tc>
          <w:tcPr>
            <w:tcW w:w="8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4.6</w:t>
            </w:r>
          </w:p>
        </w:tc>
        <w:tc>
          <w:tcPr>
            <w:tcW w:w="10200" w:type="dxa"/>
            <w:vAlign w:val="bottom"/>
            <w:gridSpan w:val="35"/>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Supplement No. 1 to Indenture dated as of November 9, 2022, by and among HighPeak Energy, Inc., as issuer, the guarantors party thereto</w:t>
              </w:r>
            </w:hyperlink>
          </w:p>
        </w:tc>
      </w:tr>
      <w:tr>
        <w:trPr>
          <w:trHeight w:val="196"/>
        </w:trPr>
        <w:tc>
          <w:tcPr>
            <w:tcW w:w="1020" w:type="dxa"/>
            <w:vAlign w:val="bottom"/>
          </w:tcPr>
          <w:p>
            <w:pPr>
              <w:spacing w:after="0"/>
              <w:rPr>
                <w:sz w:val="17"/>
                <w:szCs w:val="17"/>
                <w:color w:val="auto"/>
              </w:rPr>
            </w:pPr>
          </w:p>
        </w:tc>
        <w:tc>
          <w:tcPr>
            <w:tcW w:w="996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and UMB Bank, National Association, as trustee (incorporated by reference to the Company’s Current Report on Form 8-K (File No. 001-</w:t>
              </w:r>
            </w:hyperlink>
          </w:p>
        </w:tc>
        <w:tc>
          <w:tcPr>
            <w:tcW w:w="20" w:type="dxa"/>
            <w:vAlign w:val="bottom"/>
            <w:tcBorders>
              <w:top w:val="single" w:sz="8" w:color="0000EE"/>
            </w:tcBorders>
          </w:tcPr>
          <w:p>
            <w:pPr>
              <w:spacing w:after="0"/>
              <w:rPr>
                <w:sz w:val="17"/>
                <w:szCs w:val="17"/>
                <w:color w:val="auto"/>
              </w:rPr>
            </w:pPr>
          </w:p>
        </w:tc>
        <w:tc>
          <w:tcPr>
            <w:tcW w:w="220" w:type="dxa"/>
            <w:vAlign w:val="bottom"/>
            <w:gridSpan w:val="11"/>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00" w:type="dxa"/>
            <w:vAlign w:val="bottom"/>
            <w:gridSpan w:val="35"/>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39464) filed November 10, 2022).</w:t>
              </w:r>
            </w:hyperlink>
          </w:p>
        </w:tc>
      </w:tr>
      <w:tr>
        <w:trPr>
          <w:trHeight w:val="20"/>
        </w:trPr>
        <w:tc>
          <w:tcPr>
            <w:tcW w:w="10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4.7</w:t>
            </w:r>
          </w:p>
        </w:tc>
        <w:tc>
          <w:tcPr>
            <w:tcW w:w="10200" w:type="dxa"/>
            <w:vAlign w:val="bottom"/>
            <w:gridSpan w:val="35"/>
          </w:tcPr>
          <w:p>
            <w:pPr>
              <w:spacing w:after="0"/>
              <w:rPr>
                <w:rFonts w:ascii="Arial" w:cs="Arial" w:eastAsia="Arial" w:hAnsi="Arial"/>
                <w:sz w:val="18"/>
                <w:szCs w:val="18"/>
                <w:color w:val="0000EE"/>
                <w:w w:val="94"/>
              </w:rPr>
            </w:pPr>
            <w:hyperlink r:id="rId141">
              <w:r>
                <w:rPr>
                  <w:rFonts w:ascii="Arial" w:cs="Arial" w:eastAsia="Arial" w:hAnsi="Arial"/>
                  <w:sz w:val="18"/>
                  <w:szCs w:val="18"/>
                  <w:color w:val="0000EE"/>
                  <w:w w:val="94"/>
                </w:rPr>
                <w:t>Indenture dated as of November 8, 2022, by and among HighPeak Energy, Inc., as issuer, the guarantors party thereto and UMB Bank,</w:t>
              </w:r>
            </w:hyperlink>
          </w:p>
        </w:tc>
      </w:tr>
      <w:tr>
        <w:trPr>
          <w:trHeight w:val="196"/>
        </w:trPr>
        <w:tc>
          <w:tcPr>
            <w:tcW w:w="1020" w:type="dxa"/>
            <w:vAlign w:val="bottom"/>
          </w:tcPr>
          <w:p>
            <w:pPr>
              <w:spacing w:after="0"/>
              <w:rPr>
                <w:sz w:val="17"/>
                <w:szCs w:val="17"/>
                <w:color w:val="auto"/>
              </w:rPr>
            </w:pPr>
          </w:p>
        </w:tc>
        <w:tc>
          <w:tcPr>
            <w:tcW w:w="96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National Association, as trustee (incorporated by reference to the Company’s Current Report on Form 8-K (File No. 001-39464) filed</w:t>
              </w:r>
            </w:hyperlink>
          </w:p>
        </w:tc>
        <w:tc>
          <w:tcPr>
            <w:tcW w:w="60" w:type="dxa"/>
            <w:vAlign w:val="bottom"/>
            <w:tcBorders>
              <w:top w:val="single" w:sz="8" w:color="0000EE"/>
            </w:tcBorders>
            <w:gridSpan w:val="2"/>
          </w:tcPr>
          <w:p>
            <w:pPr>
              <w:spacing w:after="0"/>
              <w:rPr>
                <w:sz w:val="17"/>
                <w:szCs w:val="17"/>
                <w:color w:val="auto"/>
              </w:rPr>
            </w:pPr>
          </w:p>
        </w:tc>
        <w:tc>
          <w:tcPr>
            <w:tcW w:w="520" w:type="dxa"/>
            <w:vAlign w:val="bottom"/>
            <w:gridSpan w:val="1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5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41">
              <w:r>
                <w:rPr>
                  <w:rFonts w:ascii="Arial" w:cs="Arial" w:eastAsia="Arial" w:hAnsi="Arial"/>
                  <w:sz w:val="18"/>
                  <w:szCs w:val="18"/>
                  <w:color w:val="0000EE"/>
                  <w:w w:val="89"/>
                </w:rPr>
                <w:t>November 10, 2022).</w:t>
              </w:r>
            </w:hyperlink>
          </w:p>
        </w:tc>
        <w:tc>
          <w:tcPr>
            <w:tcW w:w="8660" w:type="dxa"/>
            <w:vAlign w:val="bottom"/>
            <w:gridSpan w:val="32"/>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4.8</w:t>
            </w:r>
          </w:p>
        </w:tc>
        <w:tc>
          <w:tcPr>
            <w:tcW w:w="10200" w:type="dxa"/>
            <w:vAlign w:val="bottom"/>
            <w:gridSpan w:val="35"/>
          </w:tcPr>
          <w:p>
            <w:pPr>
              <w:spacing w:after="0"/>
              <w:rPr>
                <w:rFonts w:ascii="Arial" w:cs="Arial" w:eastAsia="Arial" w:hAnsi="Arial"/>
                <w:sz w:val="18"/>
                <w:szCs w:val="18"/>
                <w:color w:val="0000EE"/>
                <w:w w:val="91"/>
              </w:rPr>
            </w:pPr>
            <w:hyperlink r:id="rId142">
              <w:r>
                <w:rPr>
                  <w:rFonts w:ascii="Arial" w:cs="Arial" w:eastAsia="Arial" w:hAnsi="Arial"/>
                  <w:sz w:val="18"/>
                  <w:szCs w:val="18"/>
                  <w:color w:val="0000EE"/>
                  <w:w w:val="91"/>
                </w:rPr>
                <w:t>Indenture dated December 12, 2022, by and among HighPeak Energy, Inc., as issuer, the guarantors party thereto and UMB Bank, National</w:t>
              </w:r>
            </w:hyperlink>
          </w:p>
        </w:tc>
      </w:tr>
      <w:tr>
        <w:trPr>
          <w:trHeight w:val="196"/>
        </w:trPr>
        <w:tc>
          <w:tcPr>
            <w:tcW w:w="1020" w:type="dxa"/>
            <w:vAlign w:val="bottom"/>
          </w:tcPr>
          <w:p>
            <w:pPr>
              <w:spacing w:after="0"/>
              <w:rPr>
                <w:sz w:val="17"/>
                <w:szCs w:val="17"/>
                <w:color w:val="auto"/>
              </w:rPr>
            </w:pPr>
          </w:p>
        </w:tc>
        <w:tc>
          <w:tcPr>
            <w:tcW w:w="1002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Association, as trustee (incorporated by reference to the Company’s Current Report on Form 8-K (File No. 001-39464) filed December 12,</w:t>
              </w:r>
            </w:hyperlink>
          </w:p>
        </w:tc>
        <w:tc>
          <w:tcPr>
            <w:tcW w:w="180" w:type="dxa"/>
            <w:vAlign w:val="bottom"/>
            <w:gridSpan w:val="9"/>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42">
              <w:r>
                <w:rPr>
                  <w:rFonts w:ascii="Arial" w:cs="Arial" w:eastAsia="Arial" w:hAnsi="Arial"/>
                  <w:sz w:val="18"/>
                  <w:szCs w:val="18"/>
                  <w:color w:val="0000EE"/>
                  <w:w w:val="86"/>
                </w:rPr>
                <w:t>2022).</w:t>
              </w:r>
            </w:hyperlink>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4.9#</w:t>
            </w:r>
          </w:p>
        </w:tc>
        <w:tc>
          <w:tcPr>
            <w:tcW w:w="10200" w:type="dxa"/>
            <w:vAlign w:val="bottom"/>
            <w:gridSpan w:val="35"/>
          </w:tcPr>
          <w:p>
            <w:pPr>
              <w:spacing w:after="0"/>
              <w:rPr>
                <w:rFonts w:ascii="Arial" w:cs="Arial" w:eastAsia="Arial" w:hAnsi="Arial"/>
                <w:sz w:val="18"/>
                <w:szCs w:val="18"/>
                <w:color w:val="0000EE"/>
                <w:w w:val="93"/>
              </w:rPr>
            </w:pPr>
            <w:hyperlink r:id="rId143">
              <w:r>
                <w:rPr>
                  <w:rFonts w:ascii="Arial" w:cs="Arial" w:eastAsia="Arial" w:hAnsi="Arial"/>
                  <w:sz w:val="18"/>
                  <w:szCs w:val="18"/>
                  <w:color w:val="0000EE"/>
                  <w:w w:val="93"/>
                </w:rPr>
                <w:t>Registration Rights Agreement, dated as of June 27, 2022, by and among HighPeak Energy, Inc., Hannathon Petroleum, LLC, the parties</w:t>
              </w:r>
            </w:hyperlink>
          </w:p>
        </w:tc>
      </w:tr>
      <w:tr>
        <w:trPr>
          <w:trHeight w:val="196"/>
        </w:trPr>
        <w:tc>
          <w:tcPr>
            <w:tcW w:w="1020" w:type="dxa"/>
            <w:vAlign w:val="bottom"/>
          </w:tcPr>
          <w:p>
            <w:pPr>
              <w:spacing w:after="0"/>
              <w:rPr>
                <w:sz w:val="17"/>
                <w:szCs w:val="17"/>
                <w:color w:val="auto"/>
              </w:rPr>
            </w:pPr>
          </w:p>
        </w:tc>
        <w:tc>
          <w:tcPr>
            <w:tcW w:w="9880" w:type="dxa"/>
            <w:vAlign w:val="bottom"/>
            <w:tcBorders>
              <w:top w:val="single" w:sz="8" w:color="0000EE"/>
            </w:tcBorders>
            <w:gridSpan w:val="21"/>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listed as signatories hetero in their capacities as holders of Registrable Securities, and any Transferees thereof which hold Registrable</w:t>
              </w:r>
            </w:hyperlink>
          </w:p>
        </w:tc>
        <w:tc>
          <w:tcPr>
            <w:tcW w:w="320" w:type="dxa"/>
            <w:vAlign w:val="bottom"/>
            <w:gridSpan w:val="1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342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8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Securities (incorporated by reference to Exhibit 4.1 to the Company’s Current Report on Form 8-K (File No. 001-39464) filed with the SEC</w:t>
              </w:r>
            </w:hyperlink>
          </w:p>
        </w:tc>
        <w:tc>
          <w:tcPr>
            <w:tcW w:w="12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43">
              <w:r>
                <w:rPr>
                  <w:rFonts w:ascii="Arial" w:cs="Arial" w:eastAsia="Arial" w:hAnsi="Arial"/>
                  <w:sz w:val="18"/>
                  <w:szCs w:val="18"/>
                  <w:color w:val="0000EE"/>
                  <w:w w:val="87"/>
                </w:rPr>
                <w:t>on June 30, 2022).</w:t>
              </w:r>
            </w:hyperlink>
          </w:p>
        </w:tc>
        <w:tc>
          <w:tcPr>
            <w:tcW w:w="8860" w:type="dxa"/>
            <w:vAlign w:val="bottom"/>
            <w:gridSpan w:val="33"/>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0060" w:type="dxa"/>
            <w:vAlign w:val="bottom"/>
            <w:tcBorders>
              <w:bottom w:val="single" w:sz="8" w:color="0000EE"/>
            </w:tcBorders>
            <w:gridSpan w:val="28"/>
          </w:tcPr>
          <w:p>
            <w:pPr>
              <w:spacing w:after="0"/>
              <w:rPr>
                <w:rFonts w:ascii="Arial" w:cs="Arial" w:eastAsia="Arial" w:hAnsi="Arial"/>
                <w:sz w:val="18"/>
                <w:szCs w:val="18"/>
                <w:color w:val="0000EE"/>
                <w:w w:val="88"/>
              </w:rPr>
            </w:pPr>
            <w:hyperlink r:id="rId144">
              <w:r>
                <w:rPr>
                  <w:rFonts w:ascii="Arial" w:cs="Arial" w:eastAsia="Arial" w:hAnsi="Arial"/>
                  <w:sz w:val="18"/>
                  <w:szCs w:val="18"/>
                  <w:color w:val="0000EE"/>
                  <w:w w:val="88"/>
                </w:rPr>
                <w:t>Amended and Restated Forward Purchase Agreement, dated as July 24, 2020, by and among HighPeak Energy, Inc., the Purchasers therein,</w:t>
              </w:r>
            </w:hyperlink>
          </w:p>
        </w:tc>
        <w:tc>
          <w:tcPr>
            <w:tcW w:w="14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18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HighPeak Energy Partners, LP and, solely for the purposes specified therein, Pure Acquisition Corp (incorporated by reference to Annex F to</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3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the Company’s Registration Statement on Form S-4 and Form S-1 (File No. 333-235313) filed with the SEC on August 5, 2020).</w:t>
              </w:r>
            </w:hyperlink>
          </w:p>
        </w:tc>
        <w:tc>
          <w:tcPr>
            <w:tcW w:w="900" w:type="dxa"/>
            <w:vAlign w:val="bottom"/>
            <w:gridSpan w:val="20"/>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10200" w:type="dxa"/>
            <w:vAlign w:val="bottom"/>
            <w:gridSpan w:val="35"/>
          </w:tcPr>
          <w:p>
            <w:pPr>
              <w:spacing w:after="0"/>
              <w:rPr>
                <w:sz w:val="20"/>
                <w:szCs w:val="20"/>
                <w:color w:val="auto"/>
              </w:rPr>
            </w:pPr>
            <w:r>
              <w:rPr>
                <w:rFonts w:ascii="Arial" w:cs="Arial" w:eastAsia="Arial" w:hAnsi="Arial"/>
                <w:sz w:val="18"/>
                <w:szCs w:val="18"/>
                <w:color w:val="0000EE"/>
              </w:rPr>
              <w:t>HighPeak Energy, Inc. Second Amended and Restated Long Term Incentive Plan.</w:t>
            </w:r>
          </w:p>
        </w:tc>
      </w:tr>
      <w:tr>
        <w:trPr>
          <w:trHeight w:val="20"/>
        </w:trPr>
        <w:tc>
          <w:tcPr>
            <w:tcW w:w="1020" w:type="dxa"/>
            <w:vAlign w:val="bottom"/>
          </w:tcPr>
          <w:p>
            <w:pPr>
              <w:spacing w:after="0" w:line="20" w:lineRule="exact"/>
              <w:rPr>
                <w:sz w:val="1"/>
                <w:szCs w:val="1"/>
                <w:color w:val="auto"/>
              </w:rPr>
            </w:pPr>
          </w:p>
        </w:tc>
        <w:tc>
          <w:tcPr>
            <w:tcW w:w="3500" w:type="dxa"/>
            <w:vAlign w:val="bottom"/>
            <w:gridSpan w:val="5"/>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4120" w:type="dxa"/>
            <w:vAlign w:val="bottom"/>
            <w:gridSpan w:val="16"/>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10000" w:type="dxa"/>
            <w:vAlign w:val="bottom"/>
            <w:tcBorders>
              <w:bottom w:val="single" w:sz="8" w:color="0000EE"/>
            </w:tcBorders>
            <w:gridSpan w:val="25"/>
          </w:tcPr>
          <w:p>
            <w:pPr>
              <w:spacing w:after="0"/>
              <w:rPr>
                <w:rFonts w:ascii="Arial" w:cs="Arial" w:eastAsia="Arial" w:hAnsi="Arial"/>
                <w:sz w:val="18"/>
                <w:szCs w:val="18"/>
                <w:color w:val="0000EE"/>
                <w:w w:val="91"/>
              </w:rPr>
            </w:pPr>
            <w:hyperlink r:id="rId145">
              <w:r>
                <w:rPr>
                  <w:rFonts w:ascii="Arial" w:cs="Arial" w:eastAsia="Arial" w:hAnsi="Arial"/>
                  <w:sz w:val="18"/>
                  <w:szCs w:val="18"/>
                  <w:color w:val="0000EE"/>
                  <w:w w:val="91"/>
                </w:rPr>
                <w:t>Form of Stock Option Agreement (incorporated by reference to Exhibit 10.4 to the Company’s Current Report on Form 8-K (File No. 001-</w:t>
              </w:r>
            </w:hyperlink>
          </w:p>
        </w:tc>
        <w:tc>
          <w:tcPr>
            <w:tcW w:w="20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5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39464) filed with the SEC on August 27, 2020).</w:t>
              </w:r>
            </w:hyperlink>
          </w:p>
        </w:tc>
        <w:tc>
          <w:tcPr>
            <w:tcW w:w="6700" w:type="dxa"/>
            <w:vAlign w:val="bottom"/>
            <w:gridSpan w:val="30"/>
          </w:tcPr>
          <w:p>
            <w:pPr>
              <w:spacing w:after="0"/>
              <w:rPr>
                <w:sz w:val="17"/>
                <w:szCs w:val="17"/>
                <w:color w:val="auto"/>
              </w:rPr>
            </w:pPr>
          </w:p>
        </w:tc>
      </w:tr>
      <w:tr>
        <w:trPr>
          <w:trHeight w:val="452"/>
        </w:trPr>
        <w:tc>
          <w:tcPr>
            <w:tcW w:w="1020" w:type="dxa"/>
            <w:vAlign w:val="bottom"/>
          </w:tcPr>
          <w:p>
            <w:pPr>
              <w:spacing w:after="0"/>
              <w:rPr>
                <w:sz w:val="24"/>
                <w:szCs w:val="24"/>
                <w:color w:val="auto"/>
              </w:rPr>
            </w:pPr>
          </w:p>
        </w:tc>
        <w:tc>
          <w:tcPr>
            <w:tcW w:w="4960" w:type="dxa"/>
            <w:vAlign w:val="bottom"/>
            <w:gridSpan w:val="7"/>
          </w:tcPr>
          <w:p>
            <w:pPr>
              <w:ind w:left="446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20"/>
          </w:cols>
          <w:pgMar w:left="320" w:top="567" w:right="359" w:bottom="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200" w:type="dxa"/>
            <w:vAlign w:val="bottom"/>
            <w:tcBorders>
              <w:bottom w:val="single" w:sz="8" w:color="0000EE"/>
            </w:tcBorders>
            <w:gridSpan w:val="29"/>
          </w:tcPr>
          <w:p>
            <w:pPr>
              <w:spacing w:after="0"/>
              <w:rPr>
                <w:rFonts w:ascii="Arial" w:cs="Arial" w:eastAsia="Arial" w:hAnsi="Arial"/>
                <w:sz w:val="18"/>
                <w:szCs w:val="18"/>
                <w:color w:val="0000EE"/>
                <w:w w:val="92"/>
              </w:rPr>
            </w:pPr>
            <w:hyperlink r:id="rId147">
              <w:r>
                <w:rPr>
                  <w:rFonts w:ascii="Arial" w:cs="Arial" w:eastAsia="Arial" w:hAnsi="Arial"/>
                  <w:sz w:val="18"/>
                  <w:szCs w:val="18"/>
                  <w:color w:val="0000EE"/>
                  <w:w w:val="92"/>
                </w:rPr>
                <w:t>Form of Indemnification Agreement (incorporated by reference to Exhibit 10.1 to the Company’s Current Report on Form 8-K (File No. 001-</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30"/>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39464) filed with the SEC on November 9, 2020).</w:t>
              </w:r>
            </w:hyperlink>
          </w:p>
        </w:tc>
      </w:tr>
      <w:tr>
        <w:trPr>
          <w:trHeight w:val="20"/>
        </w:trPr>
        <w:tc>
          <w:tcPr>
            <w:tcW w:w="10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10000" w:type="dxa"/>
            <w:vAlign w:val="bottom"/>
            <w:tcBorders>
              <w:bottom w:val="single" w:sz="8" w:color="0000EE"/>
            </w:tcBorders>
            <w:gridSpan w:val="25"/>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Credit Agreement, dated as of December 17, 2020, among HighPeak Energy, Inc., as Borrower, Fifth Third Bank, National Association, as</w:t>
              </w:r>
            </w:hyperlink>
          </w:p>
        </w:tc>
        <w:tc>
          <w:tcPr>
            <w:tcW w:w="22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30"/>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administrative agent, and the Lenders party thereto (incorporated by reference to Exhibit 10.1 to the Company’s Current Report on Form 8-K</w:t>
              </w:r>
            </w:hyperlink>
          </w:p>
        </w:tc>
      </w:tr>
      <w:tr>
        <w:trPr>
          <w:trHeight w:val="196"/>
        </w:trPr>
        <w:tc>
          <w:tcPr>
            <w:tcW w:w="1020" w:type="dxa"/>
            <w:vAlign w:val="bottom"/>
          </w:tcPr>
          <w:p>
            <w:pPr>
              <w:spacing w:after="0"/>
              <w:rPr>
                <w:sz w:val="17"/>
                <w:szCs w:val="17"/>
                <w:color w:val="auto"/>
              </w:rPr>
            </w:pPr>
          </w:p>
        </w:tc>
        <w:tc>
          <w:tcPr>
            <w:tcW w:w="101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(File No. 001-39464) filed with the SEC on December 18, 2020).</w:t>
              </w:r>
            </w:hyperlink>
          </w:p>
        </w:tc>
        <w:tc>
          <w:tcPr>
            <w:tcW w:w="6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10.6</w:t>
            </w:r>
          </w:p>
        </w:tc>
        <w:tc>
          <w:tcPr>
            <w:tcW w:w="10220" w:type="dxa"/>
            <w:vAlign w:val="bottom"/>
            <w:gridSpan w:val="30"/>
          </w:tcPr>
          <w:p>
            <w:pPr>
              <w:spacing w:after="0"/>
              <w:rPr>
                <w:rFonts w:ascii="Arial" w:cs="Arial" w:eastAsia="Arial" w:hAnsi="Arial"/>
                <w:sz w:val="18"/>
                <w:szCs w:val="18"/>
                <w:color w:val="0000EE"/>
                <w:w w:val="94"/>
              </w:rPr>
            </w:pPr>
            <w:hyperlink r:id="rId149">
              <w:r>
                <w:rPr>
                  <w:rFonts w:ascii="Arial" w:cs="Arial" w:eastAsia="Arial" w:hAnsi="Arial"/>
                  <w:sz w:val="18"/>
                  <w:szCs w:val="18"/>
                  <w:color w:val="0000EE"/>
                  <w:w w:val="94"/>
                </w:rPr>
                <w:t>First Amendment to Credit Agreement, dated as of June 23, 2021, by and among HighPeak Energy, Inc., as Borrower, Fifth Third Bank,</w:t>
              </w:r>
            </w:hyperlink>
          </w:p>
        </w:tc>
      </w:tr>
      <w:tr>
        <w:trPr>
          <w:trHeight w:val="196"/>
        </w:trPr>
        <w:tc>
          <w:tcPr>
            <w:tcW w:w="1020" w:type="dxa"/>
            <w:vAlign w:val="bottom"/>
          </w:tcPr>
          <w:p>
            <w:pPr>
              <w:spacing w:after="0"/>
              <w:rPr>
                <w:sz w:val="17"/>
                <w:szCs w:val="17"/>
                <w:color w:val="auto"/>
              </w:rPr>
            </w:pPr>
          </w:p>
        </w:tc>
        <w:tc>
          <w:tcPr>
            <w:tcW w:w="9800" w:type="dxa"/>
            <w:vAlign w:val="bottom"/>
            <w:tcBorders>
              <w:top w:val="single" w:sz="8" w:color="0000EE"/>
            </w:tcBorders>
            <w:gridSpan w:val="20"/>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National Association, as administrative agent, the Guarantors, the Existing Lender and the New Lenders party thereto (incorporated by</w:t>
              </w:r>
            </w:hyperlink>
          </w:p>
        </w:tc>
        <w:tc>
          <w:tcPr>
            <w:tcW w:w="420" w:type="dxa"/>
            <w:vAlign w:val="bottom"/>
            <w:gridSpan w:val="10"/>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5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reference to Exhibit 10.1 to the Company’s Current Report on Form 8-K (File No. 001-39464) filed with the SEC on June 24, 2021).</w:t>
              </w:r>
            </w:hyperlink>
          </w:p>
        </w:tc>
        <w:tc>
          <w:tcPr>
            <w:tcW w:w="140" w:type="dxa"/>
            <w:vAlign w:val="bottom"/>
            <w:tcBorders>
              <w:top w:val="single" w:sz="8" w:color="0000EE"/>
            </w:tcBorders>
            <w:gridSpan w:val="3"/>
          </w:tcPr>
          <w:p>
            <w:pPr>
              <w:spacing w:after="0"/>
              <w:rPr>
                <w:sz w:val="17"/>
                <w:szCs w:val="17"/>
                <w:color w:val="auto"/>
              </w:rPr>
            </w:pPr>
          </w:p>
        </w:tc>
        <w:tc>
          <w:tcPr>
            <w:tcW w:w="520" w:type="dxa"/>
            <w:vAlign w:val="bottom"/>
            <w:gridSpan w:val="11"/>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10.7</w:t>
            </w:r>
          </w:p>
        </w:tc>
        <w:tc>
          <w:tcPr>
            <w:tcW w:w="10220" w:type="dxa"/>
            <w:vAlign w:val="bottom"/>
            <w:gridSpan w:val="30"/>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Second Amendment to Credit Agreement, dated as of October 1, 2021, by and among HighPeak Energy, Inc., as Borrower, Fifth Third Bank,</w:t>
              </w:r>
            </w:hyperlink>
          </w:p>
        </w:tc>
      </w:tr>
      <w:tr>
        <w:trPr>
          <w:trHeight w:val="196"/>
        </w:trPr>
        <w:tc>
          <w:tcPr>
            <w:tcW w:w="1020" w:type="dxa"/>
            <w:vAlign w:val="bottom"/>
          </w:tcPr>
          <w:p>
            <w:pPr>
              <w:spacing w:after="0"/>
              <w:rPr>
                <w:sz w:val="17"/>
                <w:szCs w:val="17"/>
                <w:color w:val="auto"/>
              </w:rPr>
            </w:pPr>
          </w:p>
        </w:tc>
        <w:tc>
          <w:tcPr>
            <w:tcW w:w="1014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National Association, as administrative agent, the Guarantors, and the Lenders party thereto (incorporated by reference to Exhibit 10.1 to the</w:t>
              </w:r>
            </w:hyperlink>
          </w:p>
        </w:tc>
        <w:tc>
          <w:tcPr>
            <w:tcW w:w="20" w:type="dxa"/>
            <w:vAlign w:val="bottom"/>
            <w:tcBorders>
              <w:top w:val="single" w:sz="8" w:color="0000EE"/>
            </w:tcBorders>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4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Company’s Current Report on Form 8-K (File No. 001-39464) filed with the SEC on October 4, 2021).</w:t>
              </w:r>
            </w:hyperlink>
          </w:p>
        </w:tc>
        <w:tc>
          <w:tcPr>
            <w:tcW w:w="2780" w:type="dxa"/>
            <w:vAlign w:val="bottom"/>
            <w:gridSpan w:val="18"/>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10.8</w:t>
            </w:r>
          </w:p>
        </w:tc>
        <w:tc>
          <w:tcPr>
            <w:tcW w:w="9580" w:type="dxa"/>
            <w:vAlign w:val="bottom"/>
            <w:tcBorders>
              <w:bottom w:val="single" w:sz="8" w:color="0000EE"/>
            </w:tcBorders>
            <w:gridSpan w:val="17"/>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Third Amendment to Credit Agreement, dated as of February 9, 2022, among HighPeak Energy, Inc., as Borrower, Fifth Third Bank,</w:t>
              </w:r>
            </w:hyperlink>
          </w:p>
        </w:tc>
        <w:tc>
          <w:tcPr>
            <w:tcW w:w="640" w:type="dxa"/>
            <w:vAlign w:val="bottom"/>
            <w:gridSpan w:val="1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30"/>
          </w:tcPr>
          <w:p>
            <w:pPr>
              <w:spacing w:after="0" w:line="196" w:lineRule="exact"/>
              <w:rPr>
                <w:rFonts w:ascii="Arial" w:cs="Arial" w:eastAsia="Arial" w:hAnsi="Arial"/>
                <w:sz w:val="18"/>
                <w:szCs w:val="18"/>
                <w:color w:val="0000EE"/>
                <w:w w:val="94"/>
              </w:rPr>
            </w:pPr>
            <w:hyperlink r:id="rId151">
              <w:r>
                <w:rPr>
                  <w:rFonts w:ascii="Arial" w:cs="Arial" w:eastAsia="Arial" w:hAnsi="Arial"/>
                  <w:sz w:val="18"/>
                  <w:szCs w:val="18"/>
                  <w:color w:val="0000EE"/>
                  <w:w w:val="94"/>
                </w:rPr>
                <w:t>National Association, as administrative agent, and the Lenders party thereto (incorporated by reference to Exhibit 10.1 to the Company’s</w:t>
              </w:r>
            </w:hyperlink>
          </w:p>
        </w:tc>
      </w:tr>
      <w:tr>
        <w:trPr>
          <w:trHeight w:val="196"/>
        </w:trPr>
        <w:tc>
          <w:tcPr>
            <w:tcW w:w="1020" w:type="dxa"/>
            <w:vAlign w:val="bottom"/>
          </w:tcPr>
          <w:p>
            <w:pPr>
              <w:spacing w:after="0"/>
              <w:rPr>
                <w:sz w:val="17"/>
                <w:szCs w:val="17"/>
                <w:color w:val="auto"/>
              </w:rPr>
            </w:pPr>
          </w:p>
        </w:tc>
        <w:tc>
          <w:tcPr>
            <w:tcW w:w="98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Current Report on Form 8-K (File No. 001-39464) filed with the SEC on February 14, 2022).</w:t>
              </w:r>
            </w:hyperlink>
          </w:p>
        </w:tc>
        <w:tc>
          <w:tcPr>
            <w:tcW w:w="380" w:type="dxa"/>
            <w:vAlign w:val="bottom"/>
            <w:gridSpan w:val="9"/>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10.9</w:t>
            </w:r>
          </w:p>
        </w:tc>
        <w:tc>
          <w:tcPr>
            <w:tcW w:w="9960" w:type="dxa"/>
            <w:vAlign w:val="bottom"/>
            <w:tcBorders>
              <w:bottom w:val="single" w:sz="8" w:color="0000EE"/>
            </w:tcBorders>
            <w:gridSpan w:val="24"/>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Fourth Amendment to Credit Agreement, dated as of June 27, 2022, by and among HighPeak Energy, Inc., as Borrower, Fifth Third Bank,</w:t>
              </w:r>
            </w:hyperlink>
          </w:p>
        </w:tc>
        <w:tc>
          <w:tcPr>
            <w:tcW w:w="26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30"/>
          </w:tcPr>
          <w:p>
            <w:pPr>
              <w:spacing w:after="0" w:line="196" w:lineRule="exact"/>
              <w:rPr>
                <w:rFonts w:ascii="Arial" w:cs="Arial" w:eastAsia="Arial" w:hAnsi="Arial"/>
                <w:sz w:val="18"/>
                <w:szCs w:val="18"/>
                <w:color w:val="0000EE"/>
                <w:w w:val="94"/>
              </w:rPr>
            </w:pPr>
            <w:hyperlink r:id="rId152">
              <w:r>
                <w:rPr>
                  <w:rFonts w:ascii="Arial" w:cs="Arial" w:eastAsia="Arial" w:hAnsi="Arial"/>
                  <w:sz w:val="18"/>
                  <w:szCs w:val="18"/>
                  <w:color w:val="0000EE"/>
                  <w:w w:val="94"/>
                </w:rPr>
                <w:t>National Association, as administrative agent, and the Lenders party thereto (incorporated by reference to Exhibit 10.1 to the Company’s</w:t>
              </w:r>
            </w:hyperlink>
          </w:p>
        </w:tc>
      </w:tr>
      <w:tr>
        <w:trPr>
          <w:trHeight w:val="196"/>
        </w:trPr>
        <w:tc>
          <w:tcPr>
            <w:tcW w:w="1020" w:type="dxa"/>
            <w:vAlign w:val="bottom"/>
          </w:tcPr>
          <w:p>
            <w:pPr>
              <w:spacing w:after="0"/>
              <w:rPr>
                <w:sz w:val="17"/>
                <w:szCs w:val="17"/>
                <w:color w:val="auto"/>
              </w:rPr>
            </w:pPr>
          </w:p>
        </w:tc>
        <w:tc>
          <w:tcPr>
            <w:tcW w:w="98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Current Report on Form 8-K (File No. 001-39464) filed with the SEC on June 30, 2022).</w:t>
              </w:r>
            </w:hyperlink>
          </w:p>
        </w:tc>
        <w:tc>
          <w:tcPr>
            <w:tcW w:w="380" w:type="dxa"/>
            <w:vAlign w:val="bottom"/>
            <w:gridSpan w:val="9"/>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10.10</w:t>
            </w:r>
          </w:p>
        </w:tc>
        <w:tc>
          <w:tcPr>
            <w:tcW w:w="10220" w:type="dxa"/>
            <w:vAlign w:val="bottom"/>
            <w:tcBorders>
              <w:bottom w:val="single" w:sz="8" w:color="0000EE"/>
            </w:tcBorders>
            <w:gridSpan w:val="30"/>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Fifth Amendment to Credit Agreement, dated as of October 14, 2022, among HighPeak Energy, Inc., as Borrower, Fifth Third Bank, National</w:t>
              </w:r>
            </w:hyperlink>
          </w:p>
        </w:tc>
      </w:tr>
      <w:tr>
        <w:trPr>
          <w:trHeight w:val="196"/>
        </w:trPr>
        <w:tc>
          <w:tcPr>
            <w:tcW w:w="1020" w:type="dxa"/>
            <w:vAlign w:val="bottom"/>
          </w:tcPr>
          <w:p>
            <w:pPr>
              <w:spacing w:after="0"/>
              <w:rPr>
                <w:sz w:val="17"/>
                <w:szCs w:val="17"/>
                <w:color w:val="auto"/>
              </w:rPr>
            </w:pPr>
          </w:p>
        </w:tc>
        <w:tc>
          <w:tcPr>
            <w:tcW w:w="99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Association, as the existing administrative agent, Wells Fargo Bank, National Association, as the new administrative agent, the guarantors</w:t>
              </w:r>
            </w:hyperlink>
          </w:p>
        </w:tc>
        <w:tc>
          <w:tcPr>
            <w:tcW w:w="280" w:type="dxa"/>
            <w:vAlign w:val="bottom"/>
            <w:gridSpan w:val="7"/>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30"/>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party thereto and the lenders party thereto (incorporated by reference to Exhibit 10.1 to the Company’s Current Report on Form 8-K (File No.</w:t>
              </w:r>
            </w:hyperlink>
          </w:p>
        </w:tc>
      </w:tr>
      <w:tr>
        <w:trPr>
          <w:trHeight w:val="196"/>
        </w:trPr>
        <w:tc>
          <w:tcPr>
            <w:tcW w:w="1020" w:type="dxa"/>
            <w:vAlign w:val="bottom"/>
          </w:tcPr>
          <w:p>
            <w:pPr>
              <w:spacing w:after="0"/>
              <w:rPr>
                <w:sz w:val="17"/>
                <w:szCs w:val="17"/>
                <w:color w:val="auto"/>
              </w:rPr>
            </w:pPr>
          </w:p>
        </w:tc>
        <w:tc>
          <w:tcPr>
            <w:tcW w:w="102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001-39464) filed with the SEC on October 18, 2022).</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w:t>
            </w:r>
          </w:p>
        </w:tc>
        <w:tc>
          <w:tcPr>
            <w:tcW w:w="10220" w:type="dxa"/>
            <w:vAlign w:val="bottom"/>
            <w:gridSpan w:val="30"/>
          </w:tcPr>
          <w:p>
            <w:pPr>
              <w:spacing w:after="0"/>
              <w:rPr>
                <w:rFonts w:ascii="Arial" w:cs="Arial" w:eastAsia="Arial" w:hAnsi="Arial"/>
                <w:sz w:val="18"/>
                <w:szCs w:val="18"/>
                <w:color w:val="0000EE"/>
                <w:w w:val="95"/>
              </w:rPr>
            </w:pPr>
            <w:hyperlink r:id="rId154">
              <w:r>
                <w:rPr>
                  <w:rFonts w:ascii="Arial" w:cs="Arial" w:eastAsia="Arial" w:hAnsi="Arial"/>
                  <w:sz w:val="18"/>
                  <w:szCs w:val="18"/>
                  <w:color w:val="0000EE"/>
                  <w:w w:val="95"/>
                </w:rPr>
                <w:t>Sixth Amendment to Credit Agreement, dated as of October 31, 2022, among HighPeak Energy, Inc., as Borrower, Wells Fargo Bank,</w:t>
              </w:r>
            </w:hyperlink>
          </w:p>
        </w:tc>
      </w:tr>
      <w:tr>
        <w:trPr>
          <w:trHeight w:val="20"/>
        </w:trPr>
        <w:tc>
          <w:tcPr>
            <w:tcW w:w="10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30"/>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National Association, as administrative agent, the guarantors party thereto and the lenders party thereto (incorporated by reference to Exhibit</w:t>
              </w:r>
            </w:hyperlink>
          </w:p>
        </w:tc>
      </w:tr>
      <w:tr>
        <w:trPr>
          <w:trHeight w:val="196"/>
        </w:trPr>
        <w:tc>
          <w:tcPr>
            <w:tcW w:w="1020" w:type="dxa"/>
            <w:vAlign w:val="bottom"/>
          </w:tcPr>
          <w:p>
            <w:pPr>
              <w:spacing w:after="0"/>
              <w:rPr>
                <w:sz w:val="17"/>
                <w:szCs w:val="17"/>
                <w:color w:val="auto"/>
              </w:rPr>
            </w:pPr>
          </w:p>
        </w:tc>
        <w:tc>
          <w:tcPr>
            <w:tcW w:w="101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Current Report on Form 8-K (File No. 001-39464) filed with the SEC on November 4, 2022).</w:t>
              </w:r>
            </w:hyperlink>
          </w:p>
        </w:tc>
        <w:tc>
          <w:tcPr>
            <w:tcW w:w="80" w:type="dxa"/>
            <w:vAlign w:val="bottom"/>
            <w:gridSpan w:val="3"/>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10.12*</w:t>
            </w:r>
          </w:p>
        </w:tc>
        <w:tc>
          <w:tcPr>
            <w:tcW w:w="992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0"/>
              </w:rPr>
              <w:t>Seventh Amendment to Credit Agreement, dated as of December 9, 2022, among HighPeak Energy, Inc., as Borrower, Wells Fargo Bank,</w:t>
            </w:r>
          </w:p>
        </w:tc>
        <w:tc>
          <w:tcPr>
            <w:tcW w:w="30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5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9"/>
              </w:rPr>
              <w:t>National Association, as administrative agent, the guarantors and the lenders party thereto.</w:t>
            </w:r>
          </w:p>
        </w:tc>
        <w:tc>
          <w:tcPr>
            <w:tcW w:w="3700" w:type="dxa"/>
            <w:vAlign w:val="bottom"/>
            <w:gridSpan w:val="20"/>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10.13</w:t>
            </w:r>
          </w:p>
        </w:tc>
        <w:tc>
          <w:tcPr>
            <w:tcW w:w="10220" w:type="dxa"/>
            <w:vAlign w:val="bottom"/>
            <w:tcBorders>
              <w:bottom w:val="single" w:sz="8" w:color="0000EE"/>
            </w:tcBorders>
            <w:gridSpan w:val="30"/>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Form of Dividend Equivalent Award Agreement (incorporated by reference to Exhibit 10.8 to the Company’s Quarterly Report on Form 10-Q</w:t>
              </w:r>
            </w:hyperlink>
          </w:p>
        </w:tc>
      </w:tr>
      <w:tr>
        <w:trPr>
          <w:trHeight w:val="196"/>
        </w:trPr>
        <w:tc>
          <w:tcPr>
            <w:tcW w:w="1020" w:type="dxa"/>
            <w:vAlign w:val="bottom"/>
          </w:tcPr>
          <w:p>
            <w:pPr>
              <w:spacing w:after="0"/>
              <w:rPr>
                <w:sz w:val="17"/>
                <w:szCs w:val="17"/>
                <w:color w:val="auto"/>
              </w:rPr>
            </w:pPr>
          </w:p>
        </w:tc>
        <w:tc>
          <w:tcPr>
            <w:tcW w:w="44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(File No. 001-39464) filed with the SEC on August 9, 2021).</w:t>
              </w:r>
            </w:hyperlink>
          </w:p>
        </w:tc>
        <w:tc>
          <w:tcPr>
            <w:tcW w:w="5820" w:type="dxa"/>
            <w:vAlign w:val="bottom"/>
            <w:gridSpan w:val="24"/>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10.14</w:t>
            </w:r>
          </w:p>
        </w:tc>
        <w:tc>
          <w:tcPr>
            <w:tcW w:w="10220" w:type="dxa"/>
            <w:vAlign w:val="bottom"/>
            <w:gridSpan w:val="30"/>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Form of Restricted Stock Award Agreement (incorporated by reference to Exhibit 99.2 to the Company’s Registration Statement on Form S-8</w:t>
              </w:r>
            </w:hyperlink>
          </w:p>
        </w:tc>
      </w:tr>
      <w:tr>
        <w:trPr>
          <w:trHeight w:val="196"/>
        </w:trPr>
        <w:tc>
          <w:tcPr>
            <w:tcW w:w="1020" w:type="dxa"/>
            <w:vAlign w:val="bottom"/>
          </w:tcPr>
          <w:p>
            <w:pPr>
              <w:spacing w:after="0"/>
              <w:rPr>
                <w:sz w:val="17"/>
                <w:szCs w:val="17"/>
                <w:color w:val="auto"/>
              </w:rPr>
            </w:pPr>
          </w:p>
        </w:tc>
        <w:tc>
          <w:tcPr>
            <w:tcW w:w="102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(File No. 333-249888) filed with the SEC on November 5, 2020).</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1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10.15</w:t>
            </w:r>
          </w:p>
        </w:tc>
        <w:tc>
          <w:tcPr>
            <w:tcW w:w="10040" w:type="dxa"/>
            <w:vAlign w:val="bottom"/>
            <w:tcBorders>
              <w:bottom w:val="single" w:sz="8" w:color="0000EE"/>
            </w:tcBorders>
            <w:gridSpan w:val="26"/>
          </w:tcPr>
          <w:p>
            <w:pP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Form of Cash Award Agreement (incorporated by reference to Exhibit 10.12 to the Company’s Annua Report on Form 10-K (File No. 001-</w:t>
              </w:r>
            </w:hyperlink>
          </w:p>
        </w:tc>
        <w:tc>
          <w:tcPr>
            <w:tcW w:w="18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3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39464) filed with the SEC on March 7, 2022).</w:t>
              </w:r>
            </w:hyperlink>
          </w:p>
        </w:tc>
        <w:tc>
          <w:tcPr>
            <w:tcW w:w="6900" w:type="dxa"/>
            <w:vAlign w:val="bottom"/>
            <w:gridSpan w:val="28"/>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10.16</w:t>
            </w:r>
          </w:p>
        </w:tc>
        <w:tc>
          <w:tcPr>
            <w:tcW w:w="10220" w:type="dxa"/>
            <w:vAlign w:val="bottom"/>
            <w:gridSpan w:val="30"/>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Form of Subscription Agreement, by and among HighPeak Energy, Inc. and the purchaser party thereto (incorporated by reference to Exhibit</w:t>
              </w:r>
            </w:hyperlink>
          </w:p>
        </w:tc>
      </w:tr>
      <w:tr>
        <w:trPr>
          <w:trHeight w:val="196"/>
        </w:trPr>
        <w:tc>
          <w:tcPr>
            <w:tcW w:w="1020" w:type="dxa"/>
            <w:vAlign w:val="bottom"/>
          </w:tcPr>
          <w:p>
            <w:pPr>
              <w:spacing w:after="0"/>
              <w:rPr>
                <w:sz w:val="17"/>
                <w:szCs w:val="17"/>
                <w:color w:val="auto"/>
              </w:rPr>
            </w:pPr>
          </w:p>
        </w:tc>
        <w:tc>
          <w:tcPr>
            <w:tcW w:w="82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Company’s Current Report on Form 8-K (File No. 001-39464) filed with the SEC on August 24, 2022).</w:t>
              </w:r>
            </w:hyperlink>
          </w:p>
        </w:tc>
        <w:tc>
          <w:tcPr>
            <w:tcW w:w="1860" w:type="dxa"/>
            <w:vAlign w:val="bottom"/>
            <w:tcBorders>
              <w:top w:val="single" w:sz="8" w:color="0000EE"/>
            </w:tcBorders>
            <w:gridSpan w:val="13"/>
          </w:tcPr>
          <w:p>
            <w:pPr>
              <w:spacing w:after="0"/>
              <w:rPr>
                <w:sz w:val="17"/>
                <w:szCs w:val="17"/>
                <w:color w:val="auto"/>
              </w:rPr>
            </w:pPr>
          </w:p>
        </w:tc>
        <w:tc>
          <w:tcPr>
            <w:tcW w:w="80" w:type="dxa"/>
            <w:vAlign w:val="bottom"/>
            <w:gridSpan w:val="3"/>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10220" w:type="dxa"/>
            <w:vAlign w:val="bottom"/>
            <w:gridSpan w:val="30"/>
          </w:tcPr>
          <w:p>
            <w:pPr>
              <w:spacing w:after="0"/>
              <w:rPr>
                <w:sz w:val="20"/>
                <w:szCs w:val="20"/>
                <w:color w:val="auto"/>
              </w:rPr>
            </w:pPr>
            <w:r>
              <w:rPr>
                <w:rFonts w:ascii="Arial" w:cs="Arial" w:eastAsia="Arial" w:hAnsi="Arial"/>
                <w:sz w:val="18"/>
                <w:szCs w:val="18"/>
                <w:color w:val="0000EE"/>
              </w:rPr>
              <w:t>List of Subsidiaries.</w:t>
            </w:r>
          </w:p>
        </w:tc>
      </w:tr>
      <w:tr>
        <w:trPr>
          <w:trHeight w:val="20"/>
        </w:trPr>
        <w:tc>
          <w:tcPr>
            <w:tcW w:w="10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660" w:type="dxa"/>
            <w:vAlign w:val="bottom"/>
            <w:gridSpan w:val="10"/>
          </w:tcPr>
          <w:p>
            <w:pPr>
              <w:spacing w:after="0" w:line="20" w:lineRule="exact"/>
              <w:rPr>
                <w:sz w:val="1"/>
                <w:szCs w:val="1"/>
                <w:color w:val="auto"/>
              </w:rPr>
            </w:pPr>
          </w:p>
        </w:tc>
        <w:tc>
          <w:tcPr>
            <w:tcW w:w="2080" w:type="dxa"/>
            <w:vAlign w:val="bottom"/>
            <w:gridSpan w:val="17"/>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81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1"/>
              </w:rPr>
              <w:t>Consent of Weaver and Tidwell, L.L.P., independent registered public accounting firm for HighPeak Energy, Inc.</w:t>
            </w:r>
          </w:p>
        </w:tc>
        <w:tc>
          <w:tcPr>
            <w:tcW w:w="2080" w:type="dxa"/>
            <w:vAlign w:val="bottom"/>
            <w:gridSpan w:val="17"/>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23.2*</w:t>
            </w:r>
          </w:p>
        </w:tc>
        <w:tc>
          <w:tcPr>
            <w:tcW w:w="34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Consent of Cawley, Gillespie &amp; Associates, Inc.</w:t>
            </w:r>
          </w:p>
        </w:tc>
        <w:tc>
          <w:tcPr>
            <w:tcW w:w="6740" w:type="dxa"/>
            <w:vAlign w:val="bottom"/>
            <w:gridSpan w:val="27"/>
          </w:tcPr>
          <w:p>
            <w:pPr>
              <w:spacing w:after="0"/>
              <w:rPr>
                <w:sz w:val="24"/>
                <w:szCs w:val="24"/>
                <w:color w:val="auto"/>
              </w:rPr>
            </w:pPr>
          </w:p>
        </w:tc>
      </w:tr>
      <w:tr>
        <w:trPr>
          <w:trHeight w:val="453"/>
        </w:trPr>
        <w:tc>
          <w:tcPr>
            <w:tcW w:w="1020" w:type="dxa"/>
            <w:vAlign w:val="bottom"/>
          </w:tcPr>
          <w:p>
            <w:pPr>
              <w:spacing w:after="0"/>
              <w:rPr>
                <w:sz w:val="24"/>
                <w:szCs w:val="24"/>
                <w:color w:val="auto"/>
              </w:rPr>
            </w:pPr>
          </w:p>
        </w:tc>
        <w:tc>
          <w:tcPr>
            <w:tcW w:w="6400" w:type="dxa"/>
            <w:vAlign w:val="bottom"/>
            <w:gridSpan w:val="9"/>
          </w:tcPr>
          <w:p>
            <w:pPr>
              <w:ind w:left="446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97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Certification of the Company’s Chief Executive Officer Pursuant to Section 302 of the Sarbanes Oxley Act of 2002 (18 U.S.C. Section</w:t>
            </w:r>
          </w:p>
        </w:tc>
      </w:tr>
      <w:tr>
        <w:trPr>
          <w:trHeight w:val="176"/>
        </w:trPr>
        <w:tc>
          <w:tcPr>
            <w:tcW w:w="1380" w:type="dxa"/>
            <w:vAlign w:val="bottom"/>
          </w:tcPr>
          <w:p>
            <w:pPr>
              <w:spacing w:after="0"/>
              <w:rPr>
                <w:sz w:val="15"/>
                <w:szCs w:val="15"/>
                <w:color w:val="auto"/>
              </w:rPr>
            </w:pPr>
          </w:p>
        </w:tc>
        <w:tc>
          <w:tcPr>
            <w:tcW w:w="42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86"/>
              </w:rPr>
              <w:t>7241)</w:t>
            </w:r>
          </w:p>
        </w:tc>
        <w:tc>
          <w:tcPr>
            <w:tcW w:w="17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9720" w:type="dxa"/>
            <w:vAlign w:val="bottom"/>
            <w:gridSpan w:val="9"/>
          </w:tcPr>
          <w:p>
            <w:pPr>
              <w:spacing w:after="0"/>
              <w:rPr>
                <w:sz w:val="20"/>
                <w:szCs w:val="20"/>
                <w:color w:val="auto"/>
              </w:rPr>
            </w:pPr>
            <w:r>
              <w:rPr>
                <w:rFonts w:ascii="Arial" w:cs="Arial" w:eastAsia="Arial" w:hAnsi="Arial"/>
                <w:sz w:val="18"/>
                <w:szCs w:val="18"/>
                <w:color w:val="0000EE"/>
                <w:w w:val="92"/>
              </w:rPr>
              <w:t>Certification of the Company’s Chief Financial Officer Pursuant to Section 302 of the Sarbanes Oxley Act of 2002 (18 U.S.C. Section</w:t>
            </w:r>
          </w:p>
        </w:tc>
      </w:tr>
      <w:tr>
        <w:trPr>
          <w:trHeight w:val="176"/>
        </w:trPr>
        <w:tc>
          <w:tcPr>
            <w:tcW w:w="138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spacing w:after="0" w:line="176" w:lineRule="exact"/>
              <w:rPr>
                <w:sz w:val="20"/>
                <w:szCs w:val="20"/>
                <w:color w:val="auto"/>
              </w:rPr>
            </w:pPr>
            <w:r>
              <w:rPr>
                <w:rFonts w:ascii="Arial" w:cs="Arial" w:eastAsia="Arial" w:hAnsi="Arial"/>
                <w:sz w:val="18"/>
                <w:szCs w:val="18"/>
                <w:color w:val="0000EE"/>
                <w:w w:val="86"/>
              </w:rPr>
              <w:t>7241)</w:t>
            </w:r>
          </w:p>
        </w:tc>
        <w:tc>
          <w:tcPr>
            <w:tcW w:w="1760" w:type="dxa"/>
            <w:vAlign w:val="bottom"/>
            <w:tcBorders>
              <w:top w:val="single" w:sz="8" w:color="0000EE"/>
            </w:tcBorders>
          </w:tcPr>
          <w:p>
            <w:pPr>
              <w:spacing w:after="0"/>
              <w:rPr>
                <w:sz w:val="15"/>
                <w:szCs w:val="15"/>
                <w:color w:val="auto"/>
              </w:rPr>
            </w:pPr>
          </w:p>
        </w:tc>
        <w:tc>
          <w:tcPr>
            <w:tcW w:w="2340" w:type="dxa"/>
            <w:vAlign w:val="bottom"/>
            <w:tcBorders>
              <w:top w:val="single" w:sz="8" w:color="0000EE"/>
            </w:tcBorders>
          </w:tcPr>
          <w:p>
            <w:pPr>
              <w:spacing w:after="0"/>
              <w:rPr>
                <w:sz w:val="15"/>
                <w:szCs w:val="15"/>
                <w:color w:val="auto"/>
              </w:rPr>
            </w:pPr>
          </w:p>
        </w:tc>
        <w:tc>
          <w:tcPr>
            <w:tcW w:w="15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32.1**</w:t>
            </w:r>
          </w:p>
        </w:tc>
        <w:tc>
          <w:tcPr>
            <w:tcW w:w="97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Certification of the Company’s Chief Executive Officer Pursuant to Section 906 of the Sarbanes Oxley Act of 2002 (18 U.S.C. Section</w:t>
            </w:r>
          </w:p>
        </w:tc>
      </w:tr>
      <w:tr>
        <w:trPr>
          <w:trHeight w:val="196"/>
        </w:trPr>
        <w:tc>
          <w:tcPr>
            <w:tcW w:w="138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6"/>
              </w:rPr>
              <w:t>1350)</w:t>
            </w:r>
          </w:p>
        </w:tc>
        <w:tc>
          <w:tcPr>
            <w:tcW w:w="17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32.2**</w:t>
            </w:r>
          </w:p>
        </w:tc>
        <w:tc>
          <w:tcPr>
            <w:tcW w:w="9720" w:type="dxa"/>
            <w:vAlign w:val="bottom"/>
            <w:gridSpan w:val="9"/>
          </w:tcPr>
          <w:p>
            <w:pPr>
              <w:spacing w:after="0"/>
              <w:rPr>
                <w:sz w:val="20"/>
                <w:szCs w:val="20"/>
                <w:color w:val="auto"/>
              </w:rPr>
            </w:pPr>
            <w:r>
              <w:rPr>
                <w:rFonts w:ascii="Arial" w:cs="Arial" w:eastAsia="Arial" w:hAnsi="Arial"/>
                <w:sz w:val="18"/>
                <w:szCs w:val="18"/>
                <w:color w:val="0000EE"/>
                <w:w w:val="92"/>
              </w:rPr>
              <w:t>Certification of the Company’s Chief Financial Officer Pursuant to Section 906 of the Sarbanes Oxley Act of 2002 (18 U.S.C. Section</w:t>
            </w:r>
          </w:p>
        </w:tc>
      </w:tr>
      <w:tr>
        <w:trPr>
          <w:trHeight w:val="196"/>
        </w:trPr>
        <w:tc>
          <w:tcPr>
            <w:tcW w:w="13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6"/>
              </w:rPr>
              <w:t>1350)</w:t>
            </w:r>
          </w:p>
        </w:tc>
        <w:tc>
          <w:tcPr>
            <w:tcW w:w="176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99.1*</w:t>
            </w:r>
          </w:p>
        </w:tc>
        <w:tc>
          <w:tcPr>
            <w:tcW w:w="9720" w:type="dxa"/>
            <w:vAlign w:val="bottom"/>
            <w:gridSpan w:val="9"/>
          </w:tcPr>
          <w:p>
            <w:pPr>
              <w:spacing w:after="0"/>
              <w:rPr>
                <w:sz w:val="20"/>
                <w:szCs w:val="20"/>
                <w:color w:val="auto"/>
              </w:rPr>
            </w:pPr>
            <w:r>
              <w:rPr>
                <w:rFonts w:ascii="Arial" w:cs="Arial" w:eastAsia="Arial" w:hAnsi="Arial"/>
                <w:sz w:val="18"/>
                <w:szCs w:val="18"/>
                <w:color w:val="0000EE"/>
              </w:rPr>
              <w:t>Reserve Report of HighPeak Energy as of December 31, 2022.</w:t>
            </w:r>
          </w:p>
        </w:tc>
      </w:tr>
      <w:tr>
        <w:trPr>
          <w:trHeight w:val="20"/>
        </w:trPr>
        <w:tc>
          <w:tcPr>
            <w:tcW w:w="1380" w:type="dxa"/>
            <w:vAlign w:val="bottom"/>
          </w:tcPr>
          <w:p>
            <w:pPr>
              <w:spacing w:after="0" w:line="20" w:lineRule="exact"/>
              <w:rPr>
                <w:sz w:val="1"/>
                <w:szCs w:val="1"/>
                <w:color w:val="auto"/>
              </w:rPr>
            </w:pPr>
          </w:p>
        </w:tc>
        <w:tc>
          <w:tcPr>
            <w:tcW w:w="4520" w:type="dxa"/>
            <w:vAlign w:val="bottom"/>
            <w:gridSpan w:val="3"/>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99.2</w:t>
            </w:r>
          </w:p>
        </w:tc>
        <w:tc>
          <w:tcPr>
            <w:tcW w:w="9720" w:type="dxa"/>
            <w:vAlign w:val="bottom"/>
            <w:gridSpan w:val="9"/>
          </w:tcPr>
          <w:p>
            <w:pPr>
              <w:spacing w:after="0"/>
              <w:rPr>
                <w:rFonts w:ascii="Arial" w:cs="Arial" w:eastAsia="Arial" w:hAnsi="Arial"/>
                <w:sz w:val="18"/>
                <w:szCs w:val="18"/>
                <w:color w:val="0000EE"/>
                <w:w w:val="92"/>
              </w:rPr>
            </w:pPr>
            <w:hyperlink r:id="rId24">
              <w:r>
                <w:rPr>
                  <w:rFonts w:ascii="Arial" w:cs="Arial" w:eastAsia="Arial" w:hAnsi="Arial"/>
                  <w:sz w:val="18"/>
                  <w:szCs w:val="18"/>
                  <w:color w:val="0000EE"/>
                  <w:w w:val="92"/>
                </w:rPr>
                <w:t>Reserve Report of HighPeak Energy as of December 31, 2021 (incorporated by reference to Exhibit 99.2 to the Company’s Current</w:t>
              </w:r>
            </w:hyperlink>
          </w:p>
        </w:tc>
      </w:tr>
      <w:tr>
        <w:trPr>
          <w:trHeight w:val="196"/>
        </w:trPr>
        <w:tc>
          <w:tcPr>
            <w:tcW w:w="1380" w:type="dxa"/>
            <w:vAlign w:val="bottom"/>
          </w:tcPr>
          <w:p>
            <w:pPr>
              <w:spacing w:after="0"/>
              <w:rPr>
                <w:sz w:val="17"/>
                <w:szCs w:val="17"/>
                <w:color w:val="auto"/>
              </w:rPr>
            </w:pPr>
          </w:p>
        </w:tc>
        <w:tc>
          <w:tcPr>
            <w:tcW w:w="6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24">
              <w:r>
                <w:rPr>
                  <w:rFonts w:ascii="Arial" w:cs="Arial" w:eastAsia="Arial" w:hAnsi="Arial"/>
                  <w:sz w:val="18"/>
                  <w:szCs w:val="18"/>
                  <w:color w:val="0000EE"/>
                  <w:w w:val="92"/>
                </w:rPr>
                <w:t>Report on Form 8-K (File No. 001-39464) filed with the SEC on February 9, 2022).</w:t>
              </w:r>
            </w:hyperlink>
          </w:p>
        </w:tc>
        <w:tc>
          <w:tcPr>
            <w:tcW w:w="3400" w:type="dxa"/>
            <w:vAlign w:val="bottom"/>
            <w:tcBorders>
              <w:top w:val="single" w:sz="8" w:color="0000EE"/>
            </w:tcBorders>
            <w:gridSpan w:val="2"/>
          </w:tcPr>
          <w:p>
            <w:pPr>
              <w:spacing w:after="0"/>
              <w:rPr>
                <w:sz w:val="17"/>
                <w:szCs w:val="17"/>
                <w:color w:val="auto"/>
              </w:rPr>
            </w:pPr>
          </w:p>
        </w:tc>
        <w:tc>
          <w:tcPr>
            <w:tcW w:w="260" w:type="dxa"/>
            <w:vAlign w:val="bottom"/>
            <w:gridSpan w:val="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99.3</w:t>
            </w:r>
          </w:p>
        </w:tc>
        <w:tc>
          <w:tcPr>
            <w:tcW w:w="9720" w:type="dxa"/>
            <w:vAlign w:val="bottom"/>
            <w:gridSpan w:val="9"/>
          </w:tcPr>
          <w:p>
            <w:pPr>
              <w:spacing w:after="0"/>
              <w:rPr>
                <w:rFonts w:ascii="Arial" w:cs="Arial" w:eastAsia="Arial" w:hAnsi="Arial"/>
                <w:sz w:val="18"/>
                <w:szCs w:val="18"/>
                <w:color w:val="0000EE"/>
                <w:w w:val="93"/>
              </w:rPr>
            </w:pPr>
            <w:hyperlink r:id="rId25">
              <w:r>
                <w:rPr>
                  <w:rFonts w:ascii="Arial" w:cs="Arial" w:eastAsia="Arial" w:hAnsi="Arial"/>
                  <w:sz w:val="18"/>
                  <w:szCs w:val="18"/>
                  <w:color w:val="0000EE"/>
                  <w:w w:val="93"/>
                </w:rPr>
                <w:t>Reserve Report of HighPeak Energy as of December 31, 2020 (incorporated by reference to Exhibit 99.1 to the Company’s Annual</w:t>
              </w:r>
            </w:hyperlink>
          </w:p>
        </w:tc>
      </w:tr>
      <w:tr>
        <w:trPr>
          <w:trHeight w:val="196"/>
        </w:trPr>
        <w:tc>
          <w:tcPr>
            <w:tcW w:w="1380" w:type="dxa"/>
            <w:vAlign w:val="bottom"/>
          </w:tcPr>
          <w:p>
            <w:pPr>
              <w:spacing w:after="0"/>
              <w:rPr>
                <w:sz w:val="17"/>
                <w:szCs w:val="17"/>
                <w:color w:val="auto"/>
              </w:rPr>
            </w:pPr>
          </w:p>
        </w:tc>
        <w:tc>
          <w:tcPr>
            <w:tcW w:w="94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Report on Form 10-K (File No. 001-39464) filed with the SEC on March 15, 2021).</w:t>
              </w:r>
            </w:hyperlink>
          </w:p>
        </w:tc>
        <w:tc>
          <w:tcPr>
            <w:tcW w:w="280" w:type="dxa"/>
            <w:vAlign w:val="bottom"/>
            <w:gridSpan w:val="3"/>
          </w:tcPr>
          <w:p>
            <w:pPr>
              <w:spacing w:after="0"/>
              <w:rPr>
                <w:sz w:val="17"/>
                <w:szCs w:val="17"/>
                <w:color w:val="auto"/>
              </w:rPr>
            </w:pPr>
          </w:p>
        </w:tc>
      </w:tr>
      <w:tr>
        <w:trPr>
          <w:trHeight w:val="453"/>
        </w:trPr>
        <w:tc>
          <w:tcPr>
            <w:tcW w:w="1380" w:type="dxa"/>
            <w:vAlign w:val="bottom"/>
          </w:tcPr>
          <w:p>
            <w:pPr>
              <w:spacing w:after="0"/>
              <w:rPr>
                <w:sz w:val="20"/>
                <w:szCs w:val="20"/>
                <w:color w:val="auto"/>
              </w:rPr>
            </w:pPr>
            <w:r>
              <w:rPr>
                <w:rFonts w:ascii="Arial" w:cs="Arial" w:eastAsia="Arial" w:hAnsi="Arial"/>
                <w:sz w:val="18"/>
                <w:szCs w:val="18"/>
                <w:color w:val="auto"/>
              </w:rPr>
              <w:t>101.INS**</w:t>
            </w:r>
          </w:p>
        </w:tc>
        <w:tc>
          <w:tcPr>
            <w:tcW w:w="60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Inline XBRL Instance Document</w:t>
            </w:r>
          </w:p>
        </w:tc>
        <w:tc>
          <w:tcPr>
            <w:tcW w:w="3680" w:type="dxa"/>
            <w:vAlign w:val="bottom"/>
            <w:gridSpan w:val="5"/>
          </w:tcPr>
          <w:p>
            <w:pPr>
              <w:spacing w:after="0"/>
              <w:rPr>
                <w:sz w:val="24"/>
                <w:szCs w:val="24"/>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101.SCH**</w:t>
            </w:r>
          </w:p>
        </w:tc>
        <w:tc>
          <w:tcPr>
            <w:tcW w:w="972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101.CAL**</w:t>
            </w:r>
          </w:p>
        </w:tc>
        <w:tc>
          <w:tcPr>
            <w:tcW w:w="972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101.DEF**</w:t>
            </w:r>
          </w:p>
        </w:tc>
        <w:tc>
          <w:tcPr>
            <w:tcW w:w="972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101.LAB**</w:t>
            </w:r>
          </w:p>
        </w:tc>
        <w:tc>
          <w:tcPr>
            <w:tcW w:w="972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101.PRE**</w:t>
            </w:r>
          </w:p>
        </w:tc>
        <w:tc>
          <w:tcPr>
            <w:tcW w:w="972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104</w:t>
            </w:r>
          </w:p>
        </w:tc>
        <w:tc>
          <w:tcPr>
            <w:tcW w:w="972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03"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Certain schedules, annexes or exhibits have been omitted pursuant to Item 601(a)(5) of Regulation S-K, but will be furnished supplementally to</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 upon request.</w:t>
      </w:r>
    </w:p>
    <w:p>
      <w:pPr>
        <w:spacing w:after="0" w:line="6" w:lineRule="exact"/>
        <w:rPr>
          <w:sz w:val="20"/>
          <w:szCs w:val="20"/>
          <w:color w:val="auto"/>
        </w:rPr>
      </w:pPr>
    </w:p>
    <w:p>
      <w:pPr>
        <w:ind w:left="660" w:right="40" w:hanging="652"/>
        <w:spacing w:after="0" w:line="278" w:lineRule="auto"/>
        <w:tabs>
          <w:tab w:leader="none" w:pos="660" w:val="left"/>
        </w:tabs>
        <w:numPr>
          <w:ilvl w:val="0"/>
          <w:numId w:val="67"/>
        </w:numPr>
        <w:rPr>
          <w:rFonts w:ascii="Arial" w:cs="Arial" w:eastAsia="Arial" w:hAnsi="Arial"/>
          <w:sz w:val="19"/>
          <w:szCs w:val="19"/>
          <w:color w:val="auto"/>
        </w:rPr>
      </w:pPr>
      <w:r>
        <w:rPr>
          <w:rFonts w:ascii="Arial" w:cs="Arial" w:eastAsia="Arial" w:hAnsi="Arial"/>
          <w:sz w:val="16"/>
          <w:szCs w:val="16"/>
          <w:color w:val="auto"/>
        </w:rPr>
        <w:t>Pursuant to Regulation S-K, Item 601(b)(2), the Exhibits and Schedules to the Purchase Agreement referenced in Exhibit 2.1, Exhibit 2.2, Exhibit 2.3, Exhibit 2.4 and Exhibit 4.5, respectively, above, have not been filed. The registrant agrees to furnish supplementally a copy of any omitted Exhibit or Schedule to the SEC upon request; provided, however, that the registrant may request confidential treatment of omitted items.</w:t>
      </w:r>
    </w:p>
    <w:p>
      <w:pPr>
        <w:spacing w:after="0" w:line="173" w:lineRule="exact"/>
        <w:rPr>
          <w:rFonts w:ascii="Arial" w:cs="Arial" w:eastAsia="Arial" w:hAnsi="Arial"/>
          <w:sz w:val="19"/>
          <w:szCs w:val="19"/>
          <w:color w:val="auto"/>
        </w:rPr>
      </w:pPr>
    </w:p>
    <w:p>
      <w:pPr>
        <w:ind w:left="660"/>
        <w:spacing w:after="0" w:line="259" w:lineRule="auto"/>
        <w:rPr>
          <w:rFonts w:ascii="Arial" w:cs="Arial" w:eastAsia="Arial" w:hAnsi="Arial"/>
          <w:sz w:val="19"/>
          <w:szCs w:val="19"/>
          <w:color w:val="auto"/>
        </w:rPr>
      </w:pPr>
      <w:r>
        <w:rPr>
          <w:rFonts w:ascii="Arial" w:cs="Arial" w:eastAsia="Arial" w:hAnsi="Arial"/>
          <w:sz w:val="18"/>
          <w:szCs w:val="18"/>
          <w:color w:val="auto"/>
        </w:rPr>
        <w:t>Further, certain portions of these exhibits have been omitted and include a prominent statement on the first page that certain identified information has been excluded from the exhibit because it is both (i) not material and (ii) is the type that the registrant treats as private or confidential as required by Item 601(b)(2)(ii) of Regulation S-K. Information that was omitted has been noted in the exhibit with a placeholder identified by the mark “[***]” to indicate where omissions have been made.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67" w:right="37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6860" w:type="dxa"/>
            <w:vAlign w:val="bottom"/>
            <w:gridSpan w:val="2"/>
          </w:tcPr>
          <w:p>
            <w:pPr>
              <w:ind w:left="2260"/>
              <w:spacing w:after="0"/>
              <w:rPr>
                <w:sz w:val="20"/>
                <w:szCs w:val="20"/>
                <w:color w:val="auto"/>
              </w:rPr>
            </w:pPr>
            <w:r>
              <w:rPr>
                <w:rFonts w:ascii="Arial" w:cs="Arial" w:eastAsia="Arial" w:hAnsi="Arial"/>
                <w:sz w:val="18"/>
                <w:szCs w:val="18"/>
                <w:color w:val="auto"/>
              </w:rPr>
              <w:t>HIGHPEAK ENERGY, INC.</w:t>
            </w:r>
          </w:p>
        </w:tc>
        <w:tc>
          <w:tcPr>
            <w:tcW w:w="1100" w:type="dxa"/>
            <w:vAlign w:val="bottom"/>
          </w:tcPr>
          <w:p>
            <w:pPr>
              <w:spacing w:after="0"/>
              <w:rPr>
                <w:sz w:val="20"/>
                <w:szCs w:val="20"/>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March 6, 2023</w:t>
            </w:r>
          </w:p>
        </w:tc>
        <w:tc>
          <w:tcPr>
            <w:tcW w:w="2640" w:type="dxa"/>
            <w:vAlign w:val="bottom"/>
          </w:tcPr>
          <w:p>
            <w:pPr>
              <w:ind w:left="226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Steven Tholen</w:t>
            </w:r>
          </w:p>
        </w:tc>
        <w:tc>
          <w:tcPr>
            <w:tcW w:w="1100" w:type="dxa"/>
            <w:vAlign w:val="bottom"/>
          </w:tcPr>
          <w:p>
            <w:pPr>
              <w:spacing w:after="0"/>
              <w:rPr>
                <w:sz w:val="24"/>
                <w:szCs w:val="24"/>
                <w:color w:val="auto"/>
              </w:rPr>
            </w:pPr>
          </w:p>
        </w:tc>
      </w:tr>
      <w:tr>
        <w:trPr>
          <w:trHeight w:val="195"/>
        </w:trPr>
        <w:tc>
          <w:tcPr>
            <w:tcW w:w="32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220" w:type="dxa"/>
            <w:vAlign w:val="bottom"/>
          </w:tcPr>
          <w:p>
            <w:pPr>
              <w:ind w:left="160"/>
              <w:spacing w:after="0" w:line="195" w:lineRule="exact"/>
              <w:rPr>
                <w:sz w:val="20"/>
                <w:szCs w:val="20"/>
                <w:color w:val="auto"/>
              </w:rPr>
            </w:pPr>
            <w:r>
              <w:rPr>
                <w:rFonts w:ascii="Arial" w:cs="Arial" w:eastAsia="Arial" w:hAnsi="Arial"/>
                <w:sz w:val="18"/>
                <w:szCs w:val="18"/>
                <w:color w:val="auto"/>
              </w:rPr>
              <w:t>Steven Tholen</w:t>
            </w:r>
          </w:p>
        </w:tc>
        <w:tc>
          <w:tcPr>
            <w:tcW w:w="1100" w:type="dxa"/>
            <w:vAlign w:val="bottom"/>
          </w:tcPr>
          <w:p>
            <w:pPr>
              <w:spacing w:after="0"/>
              <w:rPr>
                <w:sz w:val="16"/>
                <w:szCs w:val="16"/>
                <w:color w:val="auto"/>
              </w:rPr>
            </w:pPr>
          </w:p>
        </w:tc>
      </w:tr>
      <w:tr>
        <w:trPr>
          <w:trHeight w:val="230"/>
        </w:trPr>
        <w:tc>
          <w:tcPr>
            <w:tcW w:w="32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Chief Financial Officer</w:t>
            </w:r>
          </w:p>
        </w:tc>
        <w:tc>
          <w:tcPr>
            <w:tcW w:w="1100" w:type="dxa"/>
            <w:vAlign w:val="bottom"/>
          </w:tcPr>
          <w:p>
            <w:pPr>
              <w:spacing w:after="0"/>
              <w:rPr>
                <w:sz w:val="20"/>
                <w:szCs w:val="20"/>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March 6, 2023</w:t>
            </w:r>
          </w:p>
        </w:tc>
        <w:tc>
          <w:tcPr>
            <w:tcW w:w="2640" w:type="dxa"/>
            <w:vAlign w:val="bottom"/>
          </w:tcPr>
          <w:p>
            <w:pPr>
              <w:ind w:left="226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Keith Forbes</w:t>
            </w:r>
          </w:p>
        </w:tc>
        <w:tc>
          <w:tcPr>
            <w:tcW w:w="1100" w:type="dxa"/>
            <w:vAlign w:val="bottom"/>
          </w:tcPr>
          <w:p>
            <w:pPr>
              <w:spacing w:after="0"/>
              <w:rPr>
                <w:sz w:val="24"/>
                <w:szCs w:val="24"/>
                <w:color w:val="auto"/>
              </w:rPr>
            </w:pPr>
          </w:p>
        </w:tc>
      </w:tr>
      <w:tr>
        <w:trPr>
          <w:trHeight w:val="195"/>
        </w:trPr>
        <w:tc>
          <w:tcPr>
            <w:tcW w:w="32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220" w:type="dxa"/>
            <w:vAlign w:val="bottom"/>
          </w:tcPr>
          <w:p>
            <w:pPr>
              <w:ind w:left="160"/>
              <w:spacing w:after="0" w:line="195" w:lineRule="exact"/>
              <w:rPr>
                <w:sz w:val="20"/>
                <w:szCs w:val="20"/>
                <w:color w:val="auto"/>
              </w:rPr>
            </w:pPr>
            <w:r>
              <w:rPr>
                <w:rFonts w:ascii="Arial" w:cs="Arial" w:eastAsia="Arial" w:hAnsi="Arial"/>
                <w:sz w:val="18"/>
                <w:szCs w:val="18"/>
                <w:color w:val="auto"/>
              </w:rPr>
              <w:t>Keith Forbes</w:t>
            </w:r>
          </w:p>
        </w:tc>
        <w:tc>
          <w:tcPr>
            <w:tcW w:w="1100" w:type="dxa"/>
            <w:vAlign w:val="bottom"/>
          </w:tcPr>
          <w:p>
            <w:pPr>
              <w:spacing w:after="0"/>
              <w:rPr>
                <w:sz w:val="16"/>
                <w:szCs w:val="16"/>
                <w:color w:val="auto"/>
              </w:rPr>
            </w:pPr>
          </w:p>
        </w:tc>
      </w:tr>
      <w:tr>
        <w:trPr>
          <w:trHeight w:val="230"/>
        </w:trPr>
        <w:tc>
          <w:tcPr>
            <w:tcW w:w="32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Vice President, Controller</w:t>
            </w:r>
          </w:p>
        </w:tc>
        <w:tc>
          <w:tcPr>
            <w:tcW w:w="1100" w:type="dxa"/>
            <w:vAlign w:val="bottom"/>
          </w:tcPr>
          <w:p>
            <w:pPr>
              <w:spacing w:after="0"/>
              <w:rPr>
                <w:sz w:val="20"/>
                <w:szCs w:val="20"/>
                <w:color w:val="auto"/>
              </w:rPr>
            </w:pPr>
          </w:p>
        </w:tc>
      </w:tr>
      <w:tr>
        <w:trPr>
          <w:trHeight w:val="648"/>
        </w:trPr>
        <w:tc>
          <w:tcPr>
            <w:tcW w:w="3280" w:type="dxa"/>
            <w:vAlign w:val="bottom"/>
          </w:tcPr>
          <w:p>
            <w:pPr>
              <w:spacing w:after="0"/>
              <w:rPr>
                <w:sz w:val="24"/>
                <w:szCs w:val="24"/>
                <w:color w:val="auto"/>
              </w:rPr>
            </w:pP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111</w:t>
            </w:r>
          </w:p>
        </w:tc>
        <w:tc>
          <w:tcPr>
            <w:tcW w:w="4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17" w:name="page118"/>
    <w:bookmarkEnd w:id="117"/>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584" w:right="339" w:bottom="1440" w:gutter="0" w:footer="0" w:header="0"/>
        </w:sectPr>
      </w:pP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142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142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Jack Hightower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142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Tholen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KEITH FORBES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142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Keith Forbes</w:t>
      </w:r>
    </w:p>
    <w:p>
      <w:pPr>
        <w:spacing w:after="0" w:line="224" w:lineRule="exact"/>
        <w:rPr>
          <w:sz w:val="20"/>
          <w:szCs w:val="20"/>
          <w:color w:val="auto"/>
        </w:rPr>
      </w:pPr>
    </w:p>
    <w:p>
      <w:pPr>
        <w:ind w:right="1160"/>
        <w:spacing w:after="0" w:line="324" w:lineRule="auto"/>
        <w:rPr>
          <w:sz w:val="20"/>
          <w:szCs w:val="20"/>
          <w:color w:val="auto"/>
        </w:rPr>
      </w:pPr>
      <w:r>
        <w:rPr>
          <w:rFonts w:ascii="Arial" w:cs="Arial" w:eastAsia="Arial" w:hAnsi="Arial"/>
          <w:sz w:val="17"/>
          <w:szCs w:val="17"/>
          <w:color w:val="auto"/>
        </w:rPr>
        <w:t>/s/ JAY M. CHERNOSKY Jay M. Chernosky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20231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14" w:lineRule="exact"/>
        <w:rPr>
          <w:sz w:val="20"/>
          <w:szCs w:val="20"/>
          <w:color w:val="auto"/>
        </w:rPr>
      </w:pPr>
    </w:p>
    <w:p>
      <w:pPr>
        <w:ind w:right="1000"/>
        <w:spacing w:after="0" w:line="324" w:lineRule="auto"/>
        <w:rPr>
          <w:sz w:val="20"/>
          <w:szCs w:val="20"/>
          <w:color w:val="auto"/>
        </w:rPr>
      </w:pPr>
      <w:r>
        <w:rPr>
          <w:rFonts w:ascii="Arial" w:cs="Arial" w:eastAsia="Arial" w:hAnsi="Arial"/>
          <w:sz w:val="17"/>
          <w:szCs w:val="17"/>
          <w:color w:val="auto"/>
        </w:rPr>
        <w:t>/s/ KEITH A. COVINGTON Keith A.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20231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 SHARON FULGHAM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231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Sharon Fulgham</w:t>
      </w:r>
    </w:p>
    <w:p>
      <w:pPr>
        <w:spacing w:after="0" w:line="224" w:lineRule="exact"/>
        <w:rPr>
          <w:sz w:val="20"/>
          <w:szCs w:val="20"/>
          <w:color w:val="auto"/>
        </w:rPr>
      </w:pPr>
    </w:p>
    <w:p>
      <w:pPr>
        <w:ind w:right="1140"/>
        <w:spacing w:after="0" w:line="324" w:lineRule="auto"/>
        <w:rPr>
          <w:sz w:val="20"/>
          <w:szCs w:val="20"/>
          <w:color w:val="auto"/>
        </w:rPr>
      </w:pPr>
      <w:r>
        <w:rPr>
          <w:rFonts w:ascii="Arial" w:cs="Arial" w:eastAsia="Arial" w:hAnsi="Arial"/>
          <w:sz w:val="17"/>
          <w:szCs w:val="17"/>
          <w:color w:val="auto"/>
        </w:rPr>
        <w:t>/s/ MICHAEL H. GUSTIN Michael H. Gustin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20231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14" w:lineRule="exact"/>
        <w:rPr>
          <w:sz w:val="20"/>
          <w:szCs w:val="20"/>
          <w:color w:val="auto"/>
        </w:rPr>
      </w:pPr>
    </w:p>
    <w:p>
      <w:pPr>
        <w:ind w:right="1180"/>
        <w:spacing w:after="0" w:line="324" w:lineRule="auto"/>
        <w:rPr>
          <w:sz w:val="20"/>
          <w:szCs w:val="20"/>
          <w:color w:val="auto"/>
        </w:rPr>
      </w:pPr>
      <w:r>
        <w:rPr>
          <w:rFonts w:ascii="Arial" w:cs="Arial" w:eastAsia="Arial" w:hAnsi="Arial"/>
          <w:sz w:val="17"/>
          <w:szCs w:val="17"/>
          <w:color w:val="auto"/>
        </w:rPr>
        <w:t>/s/ MICHAEL L. HOLLIS Michael L. Hollis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20231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 LARRY C. OLDHAM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231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Larry C. Oldham</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Borders>
              <w:bottom w:val="single" w:sz="8" w:color="auto"/>
            </w:tcBorders>
          </w:tcPr>
          <w:p>
            <w:pPr>
              <w:ind w:left="2260"/>
              <w:spacing w:after="0"/>
              <w:rPr>
                <w:sz w:val="20"/>
                <w:szCs w:val="20"/>
                <w:color w:val="auto"/>
              </w:rPr>
            </w:pPr>
            <w:r>
              <w:rPr>
                <w:rFonts w:ascii="Arial" w:cs="Arial" w:eastAsia="Arial" w:hAnsi="Arial"/>
                <w:sz w:val="18"/>
                <w:szCs w:val="18"/>
                <w:color w:val="auto"/>
              </w:rPr>
              <w:t>Title</w:t>
            </w:r>
          </w:p>
        </w:tc>
        <w:tc>
          <w:tcPr>
            <w:tcW w:w="66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411"/>
        </w:trPr>
        <w:tc>
          <w:tcPr>
            <w:tcW w:w="4820" w:type="dxa"/>
            <w:vAlign w:val="bottom"/>
          </w:tcPr>
          <w:p>
            <w:pPr>
              <w:spacing w:after="0"/>
              <w:rPr>
                <w:sz w:val="20"/>
                <w:szCs w:val="20"/>
                <w:color w:val="auto"/>
              </w:rPr>
            </w:pPr>
            <w:r>
              <w:rPr>
                <w:rFonts w:ascii="Arial" w:cs="Arial" w:eastAsia="Arial" w:hAnsi="Arial"/>
                <w:sz w:val="18"/>
                <w:szCs w:val="18"/>
                <w:color w:val="auto"/>
              </w:rPr>
              <w:t>Chairman of the Board of Directors and Chief Executive</w:t>
            </w:r>
          </w:p>
        </w:tc>
        <w:tc>
          <w:tcPr>
            <w:tcW w:w="6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Officer (Principal Executive Officer)</w:t>
            </w:r>
          </w:p>
        </w:tc>
        <w:tc>
          <w:tcPr>
            <w:tcW w:w="66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6, 2023</w:t>
            </w:r>
          </w:p>
        </w:tc>
      </w:tr>
      <w:tr>
        <w:trPr>
          <w:trHeight w:val="662"/>
        </w:trPr>
        <w:tc>
          <w:tcPr>
            <w:tcW w:w="482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c>
          <w:tcPr>
            <w:tcW w:w="66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6, 2023</w:t>
            </w:r>
          </w:p>
        </w:tc>
      </w:tr>
      <w:tr>
        <w:trPr>
          <w:trHeight w:val="662"/>
        </w:trPr>
        <w:tc>
          <w:tcPr>
            <w:tcW w:w="4820" w:type="dxa"/>
            <w:vAlign w:val="bottom"/>
          </w:tcPr>
          <w:p>
            <w:pPr>
              <w:spacing w:after="0"/>
              <w:rPr>
                <w:sz w:val="20"/>
                <w:szCs w:val="20"/>
                <w:color w:val="auto"/>
              </w:rPr>
            </w:pPr>
            <w:r>
              <w:rPr>
                <w:rFonts w:ascii="Arial" w:cs="Arial" w:eastAsia="Arial" w:hAnsi="Arial"/>
                <w:sz w:val="18"/>
                <w:szCs w:val="18"/>
                <w:color w:val="auto"/>
              </w:rPr>
              <w:t>Vice President, Controller (Principal Accounting Officer)</w:t>
            </w:r>
          </w:p>
        </w:tc>
        <w:tc>
          <w:tcPr>
            <w:tcW w:w="66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6, 2023</w:t>
            </w:r>
          </w:p>
        </w:tc>
      </w:tr>
      <w:tr>
        <w:trPr>
          <w:trHeight w:val="661"/>
        </w:trPr>
        <w:tc>
          <w:tcPr>
            <w:tcW w:w="4820" w:type="dxa"/>
            <w:vAlign w:val="bottom"/>
          </w:tcPr>
          <w:p>
            <w:pPr>
              <w:ind w:left="20"/>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6, 2023</w:t>
            </w:r>
          </w:p>
        </w:tc>
      </w:tr>
      <w:tr>
        <w:trPr>
          <w:trHeight w:val="662"/>
        </w:trPr>
        <w:tc>
          <w:tcPr>
            <w:tcW w:w="4820" w:type="dxa"/>
            <w:vAlign w:val="bottom"/>
          </w:tcPr>
          <w:p>
            <w:pPr>
              <w:ind w:left="20"/>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6, 2023</w:t>
            </w:r>
          </w:p>
        </w:tc>
      </w:tr>
      <w:tr>
        <w:trPr>
          <w:trHeight w:val="662"/>
        </w:trPr>
        <w:tc>
          <w:tcPr>
            <w:tcW w:w="4820" w:type="dxa"/>
            <w:vAlign w:val="bottom"/>
          </w:tcPr>
          <w:p>
            <w:pPr>
              <w:ind w:left="20"/>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6, 2023</w:t>
            </w:r>
          </w:p>
        </w:tc>
      </w:tr>
      <w:tr>
        <w:trPr>
          <w:trHeight w:val="662"/>
        </w:trPr>
        <w:tc>
          <w:tcPr>
            <w:tcW w:w="4820" w:type="dxa"/>
            <w:vAlign w:val="bottom"/>
          </w:tcPr>
          <w:p>
            <w:pPr>
              <w:ind w:left="20"/>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6, 2023</w:t>
            </w:r>
          </w:p>
        </w:tc>
      </w:tr>
      <w:tr>
        <w:trPr>
          <w:trHeight w:val="661"/>
        </w:trPr>
        <w:tc>
          <w:tcPr>
            <w:tcW w:w="4820" w:type="dxa"/>
            <w:vAlign w:val="bottom"/>
          </w:tcPr>
          <w:p>
            <w:pPr>
              <w:ind w:left="20"/>
              <w:spacing w:after="0"/>
              <w:rPr>
                <w:sz w:val="20"/>
                <w:szCs w:val="20"/>
                <w:color w:val="auto"/>
              </w:rPr>
            </w:pPr>
            <w:r>
              <w:rPr>
                <w:rFonts w:ascii="Arial" w:cs="Arial" w:eastAsia="Arial" w:hAnsi="Arial"/>
                <w:sz w:val="18"/>
                <w:szCs w:val="18"/>
                <w:color w:val="auto"/>
              </w:rPr>
              <w:t>President and Director</w:t>
            </w:r>
          </w:p>
        </w:tc>
        <w:tc>
          <w:tcPr>
            <w:tcW w:w="66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6, 2023</w:t>
            </w:r>
          </w:p>
        </w:tc>
      </w:tr>
      <w:tr>
        <w:trPr>
          <w:trHeight w:val="661"/>
        </w:trPr>
        <w:tc>
          <w:tcPr>
            <w:tcW w:w="4820" w:type="dxa"/>
            <w:vAlign w:val="bottom"/>
          </w:tcPr>
          <w:p>
            <w:pPr>
              <w:ind w:left="20"/>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6, 2023</w:t>
            </w:r>
          </w:p>
        </w:tc>
      </w:tr>
    </w:tbl>
    <w:p>
      <w:pPr>
        <w:spacing w:after="0" w:line="393" w:lineRule="exact"/>
        <w:rPr>
          <w:sz w:val="20"/>
          <w:szCs w:val="20"/>
          <w:color w:val="auto"/>
        </w:rPr>
      </w:pPr>
    </w:p>
    <w:p>
      <w:pPr>
        <w:sectPr>
          <w:pgSz w:w="11900" w:h="16838" w:orient="portrait"/>
          <w:cols w:equalWidth="0" w:num="2">
            <w:col w:w="3100" w:space="720"/>
            <w:col w:w="7420"/>
          </w:cols>
          <w:pgMar w:left="320" w:top="584" w:right="339" w:bottom="1440" w:gutter="0" w:footer="0" w:header="0"/>
          <w:type w:val="continuous"/>
        </w:sect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240"/>
          </w:cols>
          <w:pgMar w:left="320" w:top="584" w:right="339" w:bottom="1440" w:gutter="0" w:footer="0" w:header="0"/>
          <w:type w:val="continuous"/>
        </w:sectPr>
      </w:pPr>
    </w:p>
    <w:bookmarkStart w:id="118" w:name="page119"/>
    <w:bookmarkEnd w:id="118"/>
    <w:p>
      <w:pPr>
        <w:ind w:left="10100"/>
        <w:spacing w:after="0"/>
        <w:rPr>
          <w:sz w:val="20"/>
          <w:szCs w:val="20"/>
          <w:color w:val="auto"/>
        </w:rPr>
      </w:pPr>
      <w:r>
        <w:rPr>
          <w:rFonts w:ascii="Arial" w:cs="Arial" w:eastAsia="Arial" w:hAnsi="Arial"/>
          <w:sz w:val="17"/>
          <w:szCs w:val="17"/>
          <w:b w:val="1"/>
          <w:bCs w:val="1"/>
          <w:color w:val="auto"/>
        </w:rPr>
        <w:t>Exhibit 10.2</w:t>
      </w: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HIGHPEAK ENERGY, INC. 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 TERM INCENTIVE PLAN</w:t>
      </w:r>
    </w:p>
    <w:p>
      <w:pPr>
        <w:spacing w:after="0" w:line="200" w:lineRule="exact"/>
        <w:rPr>
          <w:sz w:val="20"/>
          <w:szCs w:val="20"/>
          <w:color w:val="auto"/>
        </w:rPr>
      </w:pPr>
    </w:p>
    <w:p>
      <w:pPr>
        <w:spacing w:after="0" w:line="223" w:lineRule="exact"/>
        <w:rPr>
          <w:sz w:val="20"/>
          <w:szCs w:val="20"/>
          <w:color w:val="auto"/>
        </w:rPr>
      </w:pPr>
    </w:p>
    <w:p>
      <w:pPr>
        <w:jc w:val="both"/>
        <w:ind w:firstLine="640"/>
        <w:spacing w:after="0" w:line="254" w:lineRule="auto"/>
        <w:tabs>
          <w:tab w:leader="none" w:pos="114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color w:val="auto"/>
        </w:rPr>
        <w:t>. The purpose of the HighPeak Energy, Inc. Second Amended &amp; Restated Long Term Incentive Plan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is to provide a</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through which (a) HighPeak Energy,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its Affiliates may attract, retain and motivate qualified persons as employees, directors and consultants, thereby enhancing the profitable growth of the Company and its Affiliates and (b) persons upon whom the responsibilities of the successful administration and management of the Company and its Affiliates rest, and whose present and potential contributions to the Company and its Affiliates are of importance, can acquire and maintain stock ownership or awards the value of which is tied to the performance of the Company, thereby strengthening their concern for the Company and its Affiliates. Accordingly, the Plan provides for the grant of Options, Restricted Stock, Stock Awards, Dividend Equivalents, Cash Awards, Substitute Awards, or any combination of the foregoing, as determined by the Committee in its sole discretion.</w:t>
      </w:r>
    </w:p>
    <w:p>
      <w:pPr>
        <w:spacing w:after="0" w:line="191" w:lineRule="exact"/>
        <w:rPr>
          <w:rFonts w:ascii="Arial" w:cs="Arial" w:eastAsia="Arial" w:hAnsi="Arial"/>
          <w:sz w:val="18"/>
          <w:szCs w:val="18"/>
          <w:b w:val="1"/>
          <w:bCs w:val="1"/>
          <w:color w:val="auto"/>
        </w:rPr>
      </w:pPr>
    </w:p>
    <w:p>
      <w:pPr>
        <w:ind w:left="1140" w:hanging="500"/>
        <w:spacing w:after="0"/>
        <w:tabs>
          <w:tab w:leader="none" w:pos="11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the Plan, the following terms shall be defined as set forth below:</w:t>
      </w:r>
    </w:p>
    <w:p>
      <w:pPr>
        <w:spacing w:after="0" w:line="225" w:lineRule="exact"/>
        <w:rPr>
          <w:rFonts w:ascii="Arial" w:cs="Arial" w:eastAsia="Arial" w:hAnsi="Arial"/>
          <w:sz w:val="18"/>
          <w:szCs w:val="18"/>
          <w:b w:val="1"/>
          <w:bCs w:val="1"/>
          <w:color w:val="auto"/>
        </w:rPr>
      </w:pPr>
    </w:p>
    <w:p>
      <w:pPr>
        <w:jc w:val="both"/>
        <w:ind w:firstLine="1126"/>
        <w:spacing w:after="0" w:line="294" w:lineRule="auto"/>
        <w:tabs>
          <w:tab w:leader="none" w:pos="1595" w:val="left"/>
        </w:tabs>
        <w:numPr>
          <w:ilvl w:val="1"/>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means, with respect to any person or entity, any corporation, partnership, limited liability company, limited liability partnership, association, trust or other organization that, directly or indirectly, controls, is controlled by, or is under common control with such person or entity.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by contract, or otherwise.</w:t>
      </w:r>
    </w:p>
    <w:p>
      <w:pPr>
        <w:spacing w:after="0" w:line="159" w:lineRule="exact"/>
        <w:rPr>
          <w:rFonts w:ascii="Arial" w:cs="Arial" w:eastAsia="Arial" w:hAnsi="Arial"/>
          <w:sz w:val="16"/>
          <w:szCs w:val="16"/>
          <w:color w:val="auto"/>
        </w:rPr>
      </w:pPr>
    </w:p>
    <w:p>
      <w:pPr>
        <w:ind w:right="20" w:firstLine="1126"/>
        <w:spacing w:after="0" w:line="282" w:lineRule="auto"/>
        <w:tabs>
          <w:tab w:leader="none" w:pos="1659"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Amendment Effective Date</w:t>
      </w:r>
      <w:r>
        <w:rPr>
          <w:rFonts w:ascii="Arial" w:cs="Arial" w:eastAsia="Arial" w:hAnsi="Arial"/>
          <w:sz w:val="18"/>
          <w:szCs w:val="18"/>
          <w:color w:val="auto"/>
        </w:rPr>
        <w:t>” of the Plan, as amended and restated means June 1, 2022, immediately after the receipt of stockholder approval of the Plan.</w:t>
      </w:r>
    </w:p>
    <w:p>
      <w:pPr>
        <w:spacing w:after="0" w:line="161" w:lineRule="exact"/>
        <w:rPr>
          <w:rFonts w:ascii="Arial" w:cs="Arial" w:eastAsia="Arial" w:hAnsi="Arial"/>
          <w:sz w:val="18"/>
          <w:szCs w:val="18"/>
          <w:color w:val="auto"/>
        </w:rPr>
      </w:pPr>
    </w:p>
    <w:p>
      <w:pPr>
        <w:ind w:firstLine="1126"/>
        <w:spacing w:after="0" w:line="282" w:lineRule="auto"/>
        <w:tabs>
          <w:tab w:leader="none" w:pos="1514"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ASC Topic 718</w:t>
      </w:r>
      <w:r>
        <w:rPr>
          <w:rFonts w:ascii="Arial" w:cs="Arial" w:eastAsia="Arial" w:hAnsi="Arial"/>
          <w:sz w:val="18"/>
          <w:szCs w:val="18"/>
          <w:color w:val="auto"/>
        </w:rPr>
        <w:t>” means the Financial Accounting Standards Board Accounting Standards Codification Topic 718, Compensation – Stock Compensation, as amended or any successor accounting standard.</w:t>
      </w:r>
    </w:p>
    <w:p>
      <w:pPr>
        <w:spacing w:after="0" w:line="161" w:lineRule="exact"/>
        <w:rPr>
          <w:rFonts w:ascii="Arial" w:cs="Arial" w:eastAsia="Arial" w:hAnsi="Arial"/>
          <w:sz w:val="18"/>
          <w:szCs w:val="18"/>
          <w:color w:val="auto"/>
        </w:rPr>
      </w:pPr>
    </w:p>
    <w:p>
      <w:pPr>
        <w:ind w:firstLine="1126"/>
        <w:spacing w:after="0" w:line="282" w:lineRule="auto"/>
        <w:tabs>
          <w:tab w:leader="none" w:pos="1551"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w:t>
      </w:r>
      <w:r>
        <w:rPr>
          <w:rFonts w:ascii="Arial" w:cs="Arial" w:eastAsia="Arial" w:hAnsi="Arial"/>
          <w:sz w:val="18"/>
          <w:szCs w:val="18"/>
          <w:color w:val="auto"/>
        </w:rPr>
        <w:t>” means any Option, Restricted Stock, Stock Award, Dividend Equivalent, Cash Award or Substitute Award, together with any other right or interest, granted under the Plan.</w:t>
      </w:r>
    </w:p>
    <w:p>
      <w:pPr>
        <w:spacing w:after="0" w:line="161" w:lineRule="exact"/>
        <w:rPr>
          <w:rFonts w:ascii="Arial" w:cs="Arial" w:eastAsia="Arial" w:hAnsi="Arial"/>
          <w:sz w:val="18"/>
          <w:szCs w:val="18"/>
          <w:color w:val="auto"/>
        </w:rPr>
      </w:pPr>
    </w:p>
    <w:p>
      <w:pPr>
        <w:ind w:right="20" w:firstLine="1126"/>
        <w:spacing w:after="0" w:line="312" w:lineRule="auto"/>
        <w:tabs>
          <w:tab w:leader="none" w:pos="1514" w:val="left"/>
        </w:tabs>
        <w:numPr>
          <w:ilvl w:val="1"/>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Award Agreement</w:t>
      </w:r>
      <w:r>
        <w:rPr>
          <w:rFonts w:ascii="Arial" w:cs="Arial" w:eastAsia="Arial" w:hAnsi="Arial"/>
          <w:sz w:val="17"/>
          <w:szCs w:val="17"/>
          <w:color w:val="auto"/>
        </w:rPr>
        <w:t>” means any written instrument (including any employment, severance or change in control agreement) that sets forth the terms, conditions, restrictions and/or limitations applicable to an Award, in addition to those set forth under the Plan.</w:t>
      </w:r>
    </w:p>
    <w:p>
      <w:pPr>
        <w:spacing w:after="0" w:line="139" w:lineRule="exact"/>
        <w:rPr>
          <w:rFonts w:ascii="Arial" w:cs="Arial" w:eastAsia="Arial" w:hAnsi="Arial"/>
          <w:sz w:val="17"/>
          <w:szCs w:val="17"/>
          <w:color w:val="auto"/>
        </w:rPr>
      </w:pPr>
    </w:p>
    <w:p>
      <w:pPr>
        <w:ind w:left="1480" w:hanging="354"/>
        <w:spacing w:after="0"/>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520" w:hanging="394"/>
        <w:spacing w:after="0"/>
        <w:tabs>
          <w:tab w:leader="none" w:pos="15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Cash Award</w:t>
      </w:r>
      <w:r>
        <w:rPr>
          <w:rFonts w:ascii="Arial" w:cs="Arial" w:eastAsia="Arial" w:hAnsi="Arial"/>
          <w:sz w:val="18"/>
          <w:szCs w:val="18"/>
          <w:color w:val="auto"/>
        </w:rPr>
        <w:t xml:space="preserve">” means an Award denominated in cash granted under </w:t>
      </w:r>
      <w:r>
        <w:rPr>
          <w:rFonts w:ascii="Arial" w:cs="Arial" w:eastAsia="Arial" w:hAnsi="Arial"/>
          <w:sz w:val="18"/>
          <w:szCs w:val="18"/>
          <w:u w:val="single" w:color="auto"/>
          <w:color w:val="auto"/>
        </w:rPr>
        <w:t>Section 6(f)</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377190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21" w:right="339" w:bottom="1440" w:gutter="0" w:footer="0" w:header="0"/>
        </w:sectPr>
      </w:pPr>
    </w:p>
    <w:bookmarkStart w:id="119" w:name="page120"/>
    <w:bookmarkEnd w:id="119"/>
    <w:p>
      <w:pPr>
        <w:ind w:left="8" w:firstLine="1126"/>
        <w:spacing w:after="0" w:line="282" w:lineRule="auto"/>
        <w:tabs>
          <w:tab w:leader="none" w:pos="1559"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means, except as otherwise provided in an Award Agreement, the occurrence of any of the following events after the Amendment Effective Date:</w:t>
      </w:r>
    </w:p>
    <w:p>
      <w:pPr>
        <w:spacing w:after="0" w:line="165" w:lineRule="exact"/>
        <w:rPr>
          <w:rFonts w:ascii="Arial" w:cs="Arial" w:eastAsia="Arial" w:hAnsi="Arial"/>
          <w:sz w:val="18"/>
          <w:szCs w:val="18"/>
          <w:color w:val="auto"/>
        </w:rPr>
      </w:pPr>
    </w:p>
    <w:p>
      <w:pPr>
        <w:jc w:val="both"/>
        <w:ind w:left="8" w:firstLine="1612"/>
        <w:spacing w:after="0" w:line="291" w:lineRule="auto"/>
        <w:tabs>
          <w:tab w:leader="none" w:pos="1975" w:val="left"/>
        </w:tabs>
        <w:numPr>
          <w:ilvl w:val="2"/>
          <w:numId w:val="69"/>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of beneficial ownership (within the meaning of Rule 13d-3 promulgated under the Exchange Act) of 50% or more of either (x) the then-outstanding shares of Stock (the “</w:t>
      </w:r>
      <w:r>
        <w:rPr>
          <w:rFonts w:ascii="Arial" w:cs="Arial" w:eastAsia="Arial" w:hAnsi="Arial"/>
          <w:sz w:val="16"/>
          <w:szCs w:val="16"/>
          <w:b w:val="1"/>
          <w:bCs w:val="1"/>
          <w:u w:val="single" w:color="auto"/>
          <w:color w:val="auto"/>
        </w:rPr>
        <w:t>Outstanding Stock</w:t>
      </w:r>
      <w:r>
        <w:rPr>
          <w:rFonts w:ascii="Arial" w:cs="Arial" w:eastAsia="Arial" w:hAnsi="Arial"/>
          <w:sz w:val="16"/>
          <w:szCs w:val="16"/>
          <w:color w:val="auto"/>
        </w:rPr>
        <w:t>”) or (y) the combined voting power of the then-outstanding voting securities of the Company entitled to vote generally in the election of directors (the “</w:t>
      </w:r>
      <w:r>
        <w:rPr>
          <w:rFonts w:ascii="Arial" w:cs="Arial" w:eastAsia="Arial" w:hAnsi="Arial"/>
          <w:sz w:val="16"/>
          <w:szCs w:val="16"/>
          <w:b w:val="1"/>
          <w:bCs w:val="1"/>
          <w:u w:val="single" w:color="auto"/>
          <w:color w:val="auto"/>
        </w:rPr>
        <w:t>Outstanding Company Voting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for purposes of this clause (i), the following acquisitions shall not constitute a Change in Control: (A) any acquisition directly from the Company, (B) any acquisition by the Company or its subsidiaries, (C) any acquisition by any employee benefit plan (or related trust) sponsored or maintained by the Company or any entity controlled by the Company or (D) any acquisition by any entity pursuant to a transaction that complies with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below;</w:t>
      </w:r>
    </w:p>
    <w:p>
      <w:pPr>
        <w:spacing w:after="0" w:line="162" w:lineRule="exact"/>
        <w:rPr>
          <w:rFonts w:ascii="Arial" w:cs="Arial" w:eastAsia="Arial" w:hAnsi="Arial"/>
          <w:sz w:val="16"/>
          <w:szCs w:val="16"/>
          <w:color w:val="auto"/>
        </w:rPr>
      </w:pPr>
    </w:p>
    <w:p>
      <w:pPr>
        <w:jc w:val="both"/>
        <w:ind w:left="8" w:firstLine="1612"/>
        <w:spacing w:after="0" w:line="289" w:lineRule="auto"/>
        <w:tabs>
          <w:tab w:leader="none" w:pos="2043" w:val="left"/>
        </w:tabs>
        <w:numPr>
          <w:ilvl w:val="2"/>
          <w:numId w:val="69"/>
        </w:numPr>
        <w:rPr>
          <w:rFonts w:ascii="Arial" w:cs="Arial" w:eastAsia="Arial" w:hAnsi="Arial"/>
          <w:sz w:val="16"/>
          <w:szCs w:val="16"/>
          <w:color w:val="auto"/>
        </w:rPr>
      </w:pPr>
      <w:r>
        <w:rPr>
          <w:rFonts w:ascii="Arial" w:cs="Arial" w:eastAsia="Arial" w:hAnsi="Arial"/>
          <w:sz w:val="16"/>
          <w:szCs w:val="16"/>
          <w:color w:val="auto"/>
        </w:rPr>
        <w:t>The individuals constituting the Board on the Amendment Effective Date (the “</w:t>
      </w:r>
      <w:r>
        <w:rPr>
          <w:rFonts w:ascii="Arial" w:cs="Arial" w:eastAsia="Arial" w:hAnsi="Arial"/>
          <w:sz w:val="16"/>
          <w:szCs w:val="16"/>
          <w:b w:val="1"/>
          <w:bCs w:val="1"/>
          <w:u w:val="single" w:color="auto"/>
          <w:color w:val="auto"/>
        </w:rPr>
        <w:t>Incumbent Directors</w:t>
      </w:r>
      <w:r>
        <w:rPr>
          <w:rFonts w:ascii="Arial" w:cs="Arial" w:eastAsia="Arial" w:hAnsi="Arial"/>
          <w:sz w:val="16"/>
          <w:szCs w:val="16"/>
          <w:color w:val="auto"/>
        </w:rPr>
        <w:t xml:space="preserve">”) cease for any reason (other than death or disability) to constitute at least majority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individual becoming a director subsequent to the Amendment Effective Date whose election, or nomination for election, by the Company’s stockholders was approved by a vote of at least two-thirds of the Incumbent Directors (either by a specific vote or by approval of the proxy statement of the Company in which such person is named as a nominee for director, without objection to such nomination) will be considered as though such individual were an Incumbent Director, but excluding, for purposes of this proviso, any such individual whose initial assumption of office occurs as a result of an actual or threatened proxy contest with respect to election or removal of directors or other actual or threatened solicitation of proxies or consents by or on behalf of a “person” (as used in Section 13(d) of the Exchange Act), in each case, other than the Board, which individual, for the avoidance of doubt, shall not be deemed to be an Incumbent Director for purposes of this definition, regardless of whether such individual was approved by a vote of at least two-thirds of the Incumbent Directors;</w:t>
      </w:r>
    </w:p>
    <w:p>
      <w:pPr>
        <w:spacing w:after="0" w:line="170" w:lineRule="exact"/>
        <w:rPr>
          <w:rFonts w:ascii="Arial" w:cs="Arial" w:eastAsia="Arial" w:hAnsi="Arial"/>
          <w:sz w:val="16"/>
          <w:szCs w:val="16"/>
          <w:color w:val="auto"/>
        </w:rPr>
      </w:pPr>
    </w:p>
    <w:p>
      <w:pPr>
        <w:jc w:val="both"/>
        <w:ind w:left="8" w:firstLine="1612"/>
        <w:spacing w:after="0" w:line="291" w:lineRule="auto"/>
        <w:tabs>
          <w:tab w:leader="none" w:pos="2083" w:val="left"/>
        </w:tabs>
        <w:numPr>
          <w:ilvl w:val="2"/>
          <w:numId w:val="69"/>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or sale or other disposition of all or substantially all of the assets of the Company or an acquisition of assets of another entity (a “</w:t>
      </w:r>
      <w:r>
        <w:rPr>
          <w:rFonts w:ascii="Arial" w:cs="Arial" w:eastAsia="Arial" w:hAnsi="Arial"/>
          <w:sz w:val="16"/>
          <w:szCs w:val="16"/>
          <w:b w:val="1"/>
          <w:bCs w:val="1"/>
          <w:u w:val="single" w:color="auto"/>
          <w:color w:val="auto"/>
        </w:rPr>
        <w:t>Business Combination</w:t>
      </w:r>
      <w:r>
        <w:rPr>
          <w:rFonts w:ascii="Arial" w:cs="Arial" w:eastAsia="Arial" w:hAnsi="Arial"/>
          <w:sz w:val="16"/>
          <w:szCs w:val="16"/>
          <w:color w:val="auto"/>
        </w:rPr>
        <w:t>”), in each case, unless, following such Business Combination,</w:t>
      </w:r>
    </w:p>
    <w:p>
      <w:pPr>
        <w:jc w:val="both"/>
        <w:ind w:left="8" w:hanging="8"/>
        <w:spacing w:after="0" w:line="285" w:lineRule="auto"/>
        <w:tabs>
          <w:tab w:leader="none" w:pos="309"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Outstanding Stock and Outstanding Company Voting Securities immediately prior to such Business Combination represent or are converted into or exchanged for securities which represent or are convertible into more than 50% of, respectively, the then-outstanding shares of common stock or common equity interests and the combined voting power of the then-outstanding voting securities entitled to vote generally in the election of directors or other governing body, as the case may be, of the entity resulting from such Business Combination (including an entity which as a result of such transaction owns the Company, or all or substantially all of the Company’s assets either directly or through one or more subsidiaries), (B) no individual, entity or group (within the meaning of Section 13(d)(3) or 14(d)(2) of the Exchange Act), excluding the Company, its subsidiaries and any employee benefit plan (or related trust) sponsored or maintained by the Company or the entity resulting from such Business Combination (or any entity controlled by either the Company or the entity resulting from such Business Combination), beneficially owns, directly or indirectly, 50% or more of, respectively, the then-outstanding shares of common stock or common equity interests of the entity resulting from such Business Combination or the combined voting power of the then-outstanding voting securities entitled to vote generally in the election of directors or other governing body of such entity except to the extent that such ownership results solely from direct or indirect ownership of the Company that existed prior to the Business Combination, and (C) at least a majority of the members of the board of directors or similar governing body of the entity resulting from such Business Combination were Incumbent Directors at the time of the execution of the initial agreement, or of the action of the Board, providing for such Business Combination; or</w:t>
      </w:r>
    </w:p>
    <w:p>
      <w:pPr>
        <w:spacing w:after="0" w:line="169" w:lineRule="exact"/>
        <w:rPr>
          <w:rFonts w:ascii="Arial" w:cs="Arial" w:eastAsia="Arial" w:hAnsi="Arial"/>
          <w:sz w:val="16"/>
          <w:szCs w:val="16"/>
          <w:color w:val="auto"/>
        </w:rPr>
      </w:pPr>
    </w:p>
    <w:p>
      <w:pPr>
        <w:ind w:left="2048" w:hanging="428"/>
        <w:spacing w:after="0"/>
        <w:tabs>
          <w:tab w:leader="none" w:pos="2048" w:val="left"/>
        </w:tabs>
        <w:numPr>
          <w:ilvl w:val="2"/>
          <w:numId w:val="70"/>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 or</w:t>
      </w:r>
    </w:p>
    <w:p>
      <w:pPr>
        <w:spacing w:after="0" w:line="225" w:lineRule="exact"/>
        <w:rPr>
          <w:rFonts w:ascii="Arial" w:cs="Arial" w:eastAsia="Arial" w:hAnsi="Arial"/>
          <w:sz w:val="18"/>
          <w:szCs w:val="18"/>
          <w:color w:val="auto"/>
        </w:rPr>
      </w:pPr>
    </w:p>
    <w:p>
      <w:pPr>
        <w:jc w:val="both"/>
        <w:ind w:left="8" w:firstLine="1612"/>
        <w:spacing w:after="0" w:line="263" w:lineRule="auto"/>
        <w:tabs>
          <w:tab w:leader="none" w:pos="2034" w:val="left"/>
        </w:tabs>
        <w:numPr>
          <w:ilvl w:val="2"/>
          <w:numId w:val="70"/>
        </w:numPr>
        <w:rPr>
          <w:rFonts w:ascii="Arial" w:cs="Arial" w:eastAsia="Arial" w:hAnsi="Arial"/>
          <w:sz w:val="18"/>
          <w:szCs w:val="18"/>
          <w:color w:val="auto"/>
        </w:rPr>
      </w:pPr>
      <w:r>
        <w:rPr>
          <w:rFonts w:ascii="Arial" w:cs="Arial" w:eastAsia="Arial" w:hAnsi="Arial"/>
          <w:sz w:val="18"/>
          <w:szCs w:val="18"/>
          <w:color w:val="auto"/>
        </w:rPr>
        <w:t>If any individual, entity or group (within the meaning of Section 13(d)(3) or 14(d)(2) of the Exchange Act) having beneficial ownership (within the meaning of Rule 13d-3 promulgated under the Exchange Act) of less than 30% on the Amendment Effective Date acquires the ability to appoint a majority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348615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8"/>
          </w:cols>
          <w:pgMar w:left="472" w:top="580" w:right="339" w:bottom="1440" w:gutter="0" w:footer="0" w:header="0"/>
        </w:sectPr>
      </w:pPr>
    </w:p>
    <w:bookmarkStart w:id="120" w:name="page121"/>
    <w:bookmarkEnd w:id="120"/>
    <w:p>
      <w:pPr>
        <w:jc w:val="both"/>
        <w:ind w:left="8"/>
        <w:spacing w:after="0" w:line="254" w:lineRule="auto"/>
        <w:rPr>
          <w:sz w:val="20"/>
          <w:szCs w:val="20"/>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2(g)(i)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acquisitions of securities in the Company by HighPeak Affiliates shall not constitute a Change in Control. Notwithstanding any provision of this </w:t>
      </w:r>
      <w:r>
        <w:rPr>
          <w:rFonts w:ascii="Arial" w:cs="Arial" w:eastAsia="Arial" w:hAnsi="Arial"/>
          <w:sz w:val="18"/>
          <w:szCs w:val="18"/>
          <w:u w:val="single" w:color="auto"/>
          <w:color w:val="auto"/>
        </w:rPr>
        <w:t>Section 2(g)</w:t>
      </w:r>
      <w:r>
        <w:rPr>
          <w:rFonts w:ascii="Arial" w:cs="Arial" w:eastAsia="Arial" w:hAnsi="Arial"/>
          <w:sz w:val="18"/>
          <w:szCs w:val="18"/>
          <w:color w:val="auto"/>
        </w:rPr>
        <w:t xml:space="preserve">, for purposes of an Award that provides for a deferral of compensation under the Nonqualified Deferred Compensation Rules, to the extent the impact of a Change in Control on such Award would subject a Participant to additional taxes under the Nonqualified Deferred Compensation Rules, a Change in Control described in </w:t>
      </w:r>
      <w:r>
        <w:rPr>
          <w:rFonts w:ascii="Arial" w:cs="Arial" w:eastAsia="Arial" w:hAnsi="Arial"/>
          <w:sz w:val="18"/>
          <w:szCs w:val="18"/>
          <w:u w:val="single" w:color="auto"/>
          <w:color w:val="auto"/>
        </w:rPr>
        <w:t>subsection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above with respect to such Award will mean both a Change in Control and a “change in the ownership of a corporation,” “change in the effective control of a corporation,” or a “change in the ownership of a substantial portion of a corporation’s assets” within the meaning of the Nonqualified Deferred Compensation Rules as applied to the Company.</w:t>
      </w:r>
    </w:p>
    <w:p>
      <w:pPr>
        <w:spacing w:after="0" w:line="191" w:lineRule="exact"/>
        <w:rPr>
          <w:sz w:val="20"/>
          <w:szCs w:val="20"/>
          <w:color w:val="auto"/>
        </w:rPr>
      </w:pPr>
    </w:p>
    <w:p>
      <w:pPr>
        <w:jc w:val="both"/>
        <w:ind w:left="8" w:firstLine="1612"/>
        <w:spacing w:after="0" w:line="285" w:lineRule="auto"/>
        <w:tabs>
          <w:tab w:leader="none" w:pos="2032" w:val="left"/>
        </w:tabs>
        <w:numPr>
          <w:ilvl w:val="1"/>
          <w:numId w:val="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Change in Control Price</w:t>
      </w:r>
      <w:r>
        <w:rPr>
          <w:rFonts w:ascii="Arial" w:cs="Arial" w:eastAsia="Arial" w:hAnsi="Arial"/>
          <w:sz w:val="16"/>
          <w:szCs w:val="16"/>
          <w:color w:val="auto"/>
        </w:rPr>
        <w:t xml:space="preserve">” means the amount determined in the following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whichever the Committee determines is applicable, as follows: (i) the price per share offered to holders of Stock in any merger or consolidation, (ii) the per share Fair Market Value of the Stock immediately before the Change in Control or other event without regard to assets sold in the Change in Control or other event and assuming the Company has received the consideration paid for the assets in the case of a sale of the assets, (iii) the amount distributed per share of Stock in a dissolution transaction, (iv) the price per share offered to holders of Stock in any tender offer or exchange offer whereby a Change in Control or other event takes place, or (v) if such Change in Control or other event occurs other than pursuant to a transaction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or</w:t>
      </w:r>
    </w:p>
    <w:p>
      <w:pPr>
        <w:spacing w:after="0" w:line="3" w:lineRule="exact"/>
        <w:rPr>
          <w:rFonts w:ascii="Arial" w:cs="Arial" w:eastAsia="Arial" w:hAnsi="Arial"/>
          <w:sz w:val="16"/>
          <w:szCs w:val="16"/>
          <w:color w:val="auto"/>
        </w:rPr>
      </w:pPr>
    </w:p>
    <w:p>
      <w:pPr>
        <w:jc w:val="both"/>
        <w:ind w:left="8" w:hanging="8"/>
        <w:spacing w:after="0" w:line="271" w:lineRule="auto"/>
        <w:tabs>
          <w:tab w:leader="none" w:pos="317" w:val="left"/>
        </w:tabs>
        <w:numPr>
          <w:ilvl w:val="0"/>
          <w:numId w:val="72"/>
        </w:numPr>
        <w:rPr>
          <w:rFonts w:ascii="Arial" w:cs="Arial" w:eastAsia="Arial" w:hAnsi="Arial"/>
          <w:sz w:val="17"/>
          <w:szCs w:val="17"/>
          <w:u w:val="single" w:color="auto"/>
          <w:color w:val="auto"/>
        </w:rPr>
      </w:pPr>
      <w:r>
        <w:rPr>
          <w:rFonts w:ascii="Arial" w:cs="Arial" w:eastAsia="Arial" w:hAnsi="Arial"/>
          <w:sz w:val="17"/>
          <w:szCs w:val="17"/>
          <w:color w:val="auto"/>
        </w:rPr>
        <w:t xml:space="preserve">of this </w:t>
      </w:r>
      <w:r>
        <w:rPr>
          <w:rFonts w:ascii="Arial" w:cs="Arial" w:eastAsia="Arial" w:hAnsi="Arial"/>
          <w:sz w:val="17"/>
          <w:szCs w:val="17"/>
          <w:u w:val="single" w:color="auto"/>
          <w:color w:val="auto"/>
        </w:rPr>
        <w:t>Section 2(h)</w:t>
      </w:r>
      <w:r>
        <w:rPr>
          <w:rFonts w:ascii="Arial" w:cs="Arial" w:eastAsia="Arial" w:hAnsi="Arial"/>
          <w:sz w:val="17"/>
          <w:szCs w:val="17"/>
          <w:color w:val="auto"/>
        </w:rPr>
        <w:t xml:space="preserve">, the value per share of the Stock that may otherwise be obtained with respect to such Awards or to which such Awards track, as determined by the Committee as of the date determined by the Committee to be the date of cancellation and surrender of such Awards. In the event that the consideration offered to stockholders of the Company in any transaction described in this </w:t>
      </w:r>
      <w:r>
        <w:rPr>
          <w:rFonts w:ascii="Arial" w:cs="Arial" w:eastAsia="Arial" w:hAnsi="Arial"/>
          <w:sz w:val="17"/>
          <w:szCs w:val="17"/>
          <w:u w:val="single" w:color="auto"/>
          <w:color w:val="auto"/>
        </w:rPr>
        <w:t>Section 2(i)</w:t>
      </w:r>
      <w:r>
        <w:rPr>
          <w:rFonts w:ascii="Arial" w:cs="Arial" w:eastAsia="Arial" w:hAnsi="Arial"/>
          <w:sz w:val="17"/>
          <w:szCs w:val="17"/>
          <w:color w:val="auto"/>
        </w:rPr>
        <w:t xml:space="preserve"> or in </w:t>
      </w:r>
      <w:r>
        <w:rPr>
          <w:rFonts w:ascii="Arial" w:cs="Arial" w:eastAsia="Arial" w:hAnsi="Arial"/>
          <w:sz w:val="17"/>
          <w:szCs w:val="17"/>
          <w:u w:val="single" w:color="auto"/>
          <w:color w:val="auto"/>
        </w:rPr>
        <w:t>Section 8(e)</w:t>
      </w:r>
      <w:r>
        <w:rPr>
          <w:rFonts w:ascii="Arial" w:cs="Arial" w:eastAsia="Arial" w:hAnsi="Arial"/>
          <w:sz w:val="17"/>
          <w:szCs w:val="17"/>
          <w:color w:val="auto"/>
        </w:rPr>
        <w:t xml:space="preserve"> consists of anything other than cash, the Committee shall determine the fair cash equivalent of the portion of the consideration offered which is other than cash and such determination shall be binding on all affected Participants to the extent applicable to Awards held by such Participants.</w:t>
      </w:r>
    </w:p>
    <w:p>
      <w:pPr>
        <w:spacing w:after="0" w:line="174" w:lineRule="exact"/>
        <w:rPr>
          <w:sz w:val="20"/>
          <w:szCs w:val="20"/>
          <w:color w:val="auto"/>
        </w:rPr>
      </w:pPr>
    </w:p>
    <w:p>
      <w:pPr>
        <w:ind w:left="8" w:firstLine="1612"/>
        <w:spacing w:after="0" w:line="282" w:lineRule="auto"/>
        <w:tabs>
          <w:tab w:leader="none" w:pos="2032"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Internal Revenue Code of 1986, as amended from time to time, including the guidance and regulations promulgated thereunder and successor provisions, guidance and regulations thereto.</w:t>
      </w:r>
    </w:p>
    <w:p>
      <w:pPr>
        <w:spacing w:after="0" w:line="161" w:lineRule="exact"/>
        <w:rPr>
          <w:rFonts w:ascii="Arial" w:cs="Arial" w:eastAsia="Arial" w:hAnsi="Arial"/>
          <w:sz w:val="18"/>
          <w:szCs w:val="18"/>
          <w:color w:val="auto"/>
        </w:rPr>
      </w:pPr>
    </w:p>
    <w:p>
      <w:pPr>
        <w:ind w:left="8" w:firstLine="1612"/>
        <w:spacing w:after="0" w:line="282" w:lineRule="auto"/>
        <w:tabs>
          <w:tab w:leader="none" w:pos="2139"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xml:space="preserve">” means a committee of two or more directors designated by the Board to administer the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unless otherwise determined by the Board, the Committee shall consist solely of two or more Qualified Members.</w:t>
      </w:r>
    </w:p>
    <w:p>
      <w:pPr>
        <w:spacing w:after="0" w:line="161" w:lineRule="exact"/>
        <w:rPr>
          <w:rFonts w:ascii="Arial" w:cs="Arial" w:eastAsia="Arial" w:hAnsi="Arial"/>
          <w:sz w:val="18"/>
          <w:szCs w:val="18"/>
          <w:color w:val="auto"/>
        </w:rPr>
      </w:pPr>
    </w:p>
    <w:p>
      <w:pPr>
        <w:ind w:left="8" w:firstLine="1612"/>
        <w:spacing w:after="0" w:line="312" w:lineRule="auto"/>
        <w:tabs>
          <w:tab w:leader="none" w:pos="1991" w:val="left"/>
        </w:tabs>
        <w:numPr>
          <w:ilvl w:val="0"/>
          <w:numId w:val="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Dividend Equivalent</w:t>
      </w:r>
      <w:r>
        <w:rPr>
          <w:rFonts w:ascii="Arial" w:cs="Arial" w:eastAsia="Arial" w:hAnsi="Arial"/>
          <w:sz w:val="17"/>
          <w:szCs w:val="17"/>
          <w:color w:val="auto"/>
        </w:rPr>
        <w:t xml:space="preserve">” means a right, granted to an Eligible Person under </w:t>
      </w:r>
      <w:r>
        <w:rPr>
          <w:rFonts w:ascii="Arial" w:cs="Arial" w:eastAsia="Arial" w:hAnsi="Arial"/>
          <w:sz w:val="17"/>
          <w:szCs w:val="17"/>
          <w:u w:val="single" w:color="auto"/>
          <w:color w:val="auto"/>
        </w:rPr>
        <w:t>Section 6(e)</w:t>
      </w:r>
      <w:r>
        <w:rPr>
          <w:rFonts w:ascii="Arial" w:cs="Arial" w:eastAsia="Arial" w:hAnsi="Arial"/>
          <w:sz w:val="17"/>
          <w:szCs w:val="17"/>
          <w:color w:val="auto"/>
        </w:rPr>
        <w:t>, to receive cash, Stock, other Awards or other property equal in value to dividends paid with respect to a specified number of shares of Stock, or other periodic payments.</w:t>
      </w:r>
    </w:p>
    <w:p>
      <w:pPr>
        <w:spacing w:after="0" w:line="139" w:lineRule="exact"/>
        <w:rPr>
          <w:rFonts w:ascii="Arial" w:cs="Arial" w:eastAsia="Arial" w:hAnsi="Arial"/>
          <w:sz w:val="17"/>
          <w:szCs w:val="17"/>
          <w:color w:val="auto"/>
        </w:rPr>
      </w:pPr>
    </w:p>
    <w:p>
      <w:pPr>
        <w:jc w:val="both"/>
        <w:ind w:left="8" w:firstLine="1612"/>
        <w:spacing w:after="0" w:line="258" w:lineRule="auto"/>
        <w:tabs>
          <w:tab w:leader="none" w:pos="2068"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Eligible Person</w:t>
      </w:r>
      <w:r>
        <w:rPr>
          <w:rFonts w:ascii="Arial" w:cs="Arial" w:eastAsia="Arial" w:hAnsi="Arial"/>
          <w:sz w:val="18"/>
          <w:szCs w:val="18"/>
          <w:color w:val="auto"/>
        </w:rPr>
        <w:t xml:space="preserve">” means any individual who, as of the date of grant of an Award, is an officer or employee of the Company or of any of its Affiliates, and any other person who provides services to the Company or any of its Affiliates, including directors of the Company;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any such individual must be an “employee” of the Company or any of its parents or subsidiaries within the meaning of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 A.1(a) to Form S-8 if such individual is granted an Award that may be settled in Stock. An employee on leave of absence may be an Eligible Person.</w:t>
      </w:r>
    </w:p>
    <w:p>
      <w:pPr>
        <w:spacing w:after="0" w:line="183" w:lineRule="exact"/>
        <w:rPr>
          <w:rFonts w:ascii="Arial" w:cs="Arial" w:eastAsia="Arial" w:hAnsi="Arial"/>
          <w:sz w:val="18"/>
          <w:szCs w:val="18"/>
          <w:color w:val="auto"/>
        </w:rPr>
      </w:pPr>
    </w:p>
    <w:p>
      <w:pPr>
        <w:ind w:left="8" w:firstLine="1612"/>
        <w:spacing w:after="0" w:line="282" w:lineRule="auto"/>
        <w:tabs>
          <w:tab w:leader="none" w:pos="2058"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from time to time, including the guidance, rules and regulations promulgated thereunder and successor provisions, guidance, rules and regulations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337185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8"/>
          </w:cols>
          <w:pgMar w:left="472" w:top="584" w:right="339" w:bottom="1440" w:gutter="0" w:footer="0" w:header="0"/>
        </w:sectPr>
      </w:pPr>
    </w:p>
    <w:bookmarkStart w:id="121" w:name="page122"/>
    <w:bookmarkEnd w:id="121"/>
    <w:p>
      <w:pPr>
        <w:jc w:val="both"/>
        <w:ind w:firstLine="1612"/>
        <w:spacing w:after="0" w:line="270" w:lineRule="auto"/>
        <w:tabs>
          <w:tab w:leader="none" w:pos="2064" w:val="left"/>
        </w:tabs>
        <w:numPr>
          <w:ilvl w:val="0"/>
          <w:numId w:val="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Fair Market Value</w:t>
      </w:r>
      <w:r>
        <w:rPr>
          <w:rFonts w:ascii="Arial" w:cs="Arial" w:eastAsia="Arial" w:hAnsi="Arial"/>
          <w:sz w:val="17"/>
          <w:szCs w:val="17"/>
          <w:color w:val="auto"/>
        </w:rPr>
        <w:t>” of a share of Stock means, as of any specified date, (i) if the Stock is listed on a national securities exchange, the closing sales price of the Stock, as reported on the stock exchange composite tape on that date (or if no sales occur on such date, on the last preceding date on which such sales of the Stock are so reported); (ii) if the Stock is not traded on a national securities exchange but is traded over the counter on such date, the average between the reported high and low bid and asked prices of Stock on the most recent date on which Stock was publicly traded on or preceding the specified date; or (iii) in the event Stock is not publicly traded at the time a determination of its value is required to be made under the Plan, the amount determined by the Committee in its discretion in such manner as it deems appropriate, taking into account all factors the Committee deems appropriate, including the Nonqualified Deferred Compensation Rules. Notwithstanding this definition of Fair Market Value, with respect to one or more Award types, or for any other purpose for which the Committee must determine the Fair Market Value under the Plan, the Committee may elect to choose a different measurement date or methodology for determining Fair Market Value so long as the determination is consistent with the Nonqualified Deferred Compensation Rules and all other applicable laws and regulations.</w:t>
      </w:r>
    </w:p>
    <w:p>
      <w:pPr>
        <w:spacing w:after="0" w:line="176" w:lineRule="exact"/>
        <w:rPr>
          <w:rFonts w:ascii="Arial" w:cs="Arial" w:eastAsia="Arial" w:hAnsi="Arial"/>
          <w:sz w:val="17"/>
          <w:szCs w:val="17"/>
          <w:color w:val="auto"/>
        </w:rPr>
      </w:pPr>
    </w:p>
    <w:p>
      <w:pPr>
        <w:ind w:right="400" w:firstLine="1612"/>
        <w:spacing w:after="0" w:line="266" w:lineRule="auto"/>
        <w:tabs>
          <w:tab w:leader="none" w:pos="201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HighPeak Affiliates</w:t>
      </w:r>
      <w:r>
        <w:rPr>
          <w:rFonts w:ascii="Arial" w:cs="Arial" w:eastAsia="Arial" w:hAnsi="Arial"/>
          <w:sz w:val="18"/>
          <w:szCs w:val="18"/>
          <w:color w:val="auto"/>
        </w:rPr>
        <w:t>” means HPK Energy, LP, HighPeak Energy Partners II, LP, HighPeak Energy Partners III, LP, HighPeak Pure Acquisition, LLC and each of their respective Affiliates or future Affiliates in which Jack D. Hightower has the right to appoint such future Affiliate’s respective board of managers.</w:t>
      </w:r>
    </w:p>
    <w:p>
      <w:pPr>
        <w:spacing w:after="0" w:line="175" w:lineRule="exact"/>
        <w:rPr>
          <w:rFonts w:ascii="Arial" w:cs="Arial" w:eastAsia="Arial" w:hAnsi="Arial"/>
          <w:sz w:val="18"/>
          <w:szCs w:val="18"/>
          <w:color w:val="auto"/>
        </w:rPr>
      </w:pPr>
    </w:p>
    <w:p>
      <w:pPr>
        <w:ind w:left="2020" w:hanging="408"/>
        <w:spacing w:after="0"/>
        <w:tabs>
          <w:tab w:leader="none" w:pos="2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ISO</w:t>
      </w:r>
      <w:r>
        <w:rPr>
          <w:rFonts w:ascii="Arial" w:cs="Arial" w:eastAsia="Arial" w:hAnsi="Arial"/>
          <w:sz w:val="16"/>
          <w:szCs w:val="16"/>
          <w:color w:val="auto"/>
        </w:rPr>
        <w:t>” means an Option intended to be and designated as an “incentive stock option” within the meaning of Section 422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Code.</w:t>
      </w:r>
    </w:p>
    <w:p>
      <w:pPr>
        <w:spacing w:after="0" w:line="206" w:lineRule="exact"/>
        <w:rPr>
          <w:rFonts w:ascii="Arial" w:cs="Arial" w:eastAsia="Arial" w:hAnsi="Arial"/>
          <w:sz w:val="16"/>
          <w:szCs w:val="16"/>
          <w:color w:val="auto"/>
        </w:rPr>
      </w:pPr>
    </w:p>
    <w:p>
      <w:pPr>
        <w:ind w:firstLine="1612"/>
        <w:spacing w:after="0" w:line="347" w:lineRule="auto"/>
        <w:tabs>
          <w:tab w:leader="none" w:pos="2047" w:val="left"/>
        </w:tabs>
        <w:numPr>
          <w:ilvl w:val="0"/>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Nonqualified Deferred Compensation Rules</w:t>
      </w:r>
      <w:r>
        <w:rPr>
          <w:rFonts w:ascii="Arial" w:cs="Arial" w:eastAsia="Arial" w:hAnsi="Arial"/>
          <w:sz w:val="16"/>
          <w:szCs w:val="16"/>
          <w:color w:val="auto"/>
        </w:rPr>
        <w:t>” means the limitations and requirements of Section 409A of the Code, as amended from time to time, including the guidance and regulations promulgated thereunder and successor provisions, guidance and regulations thereto.</w:t>
      </w:r>
    </w:p>
    <w:p>
      <w:pPr>
        <w:spacing w:after="0" w:line="115" w:lineRule="exact"/>
        <w:rPr>
          <w:rFonts w:ascii="Arial" w:cs="Arial" w:eastAsia="Arial" w:hAnsi="Arial"/>
          <w:sz w:val="16"/>
          <w:szCs w:val="16"/>
          <w:color w:val="auto"/>
        </w:rPr>
      </w:pPr>
    </w:p>
    <w:p>
      <w:pPr>
        <w:ind w:left="1980" w:hanging="368"/>
        <w:spacing w:after="0"/>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Nonstatutory Option</w:t>
      </w:r>
      <w:r>
        <w:rPr>
          <w:rFonts w:ascii="Arial" w:cs="Arial" w:eastAsia="Arial" w:hAnsi="Arial"/>
          <w:sz w:val="18"/>
          <w:szCs w:val="18"/>
          <w:color w:val="auto"/>
        </w:rPr>
        <w:t>” means an Option that is not an ISO.</w:t>
      </w:r>
    </w:p>
    <w:p>
      <w:pPr>
        <w:spacing w:after="0" w:line="225" w:lineRule="exact"/>
        <w:rPr>
          <w:rFonts w:ascii="Arial" w:cs="Arial" w:eastAsia="Arial" w:hAnsi="Arial"/>
          <w:sz w:val="18"/>
          <w:szCs w:val="18"/>
          <w:color w:val="auto"/>
        </w:rPr>
      </w:pPr>
    </w:p>
    <w:p>
      <w:pPr>
        <w:ind w:firstLine="1612"/>
        <w:spacing w:after="0" w:line="282" w:lineRule="auto"/>
        <w:tabs>
          <w:tab w:leader="none" w:pos="20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Option</w:t>
      </w:r>
      <w:r>
        <w:rPr>
          <w:rFonts w:ascii="Arial" w:cs="Arial" w:eastAsia="Arial" w:hAnsi="Arial"/>
          <w:sz w:val="18"/>
          <w:szCs w:val="18"/>
          <w:color w:val="auto"/>
        </w:rPr>
        <w:t xml:space="preserve">” means a right, granted to an Eligible Person under </w:t>
      </w:r>
      <w:r>
        <w:rPr>
          <w:rFonts w:ascii="Arial" w:cs="Arial" w:eastAsia="Arial" w:hAnsi="Arial"/>
          <w:sz w:val="18"/>
          <w:szCs w:val="18"/>
          <w:u w:val="single" w:color="auto"/>
          <w:color w:val="auto"/>
        </w:rPr>
        <w:t>Section 6(b)</w:t>
      </w:r>
      <w:r>
        <w:rPr>
          <w:rFonts w:ascii="Arial" w:cs="Arial" w:eastAsia="Arial" w:hAnsi="Arial"/>
          <w:sz w:val="18"/>
          <w:szCs w:val="18"/>
          <w:color w:val="auto"/>
        </w:rPr>
        <w:t>, to purchase Stock at a specified price during specified time periods, which may either be an ISO or a Nonstatutory Option.</w:t>
      </w:r>
    </w:p>
    <w:p>
      <w:pPr>
        <w:spacing w:after="0" w:line="161" w:lineRule="exact"/>
        <w:rPr>
          <w:rFonts w:ascii="Arial" w:cs="Arial" w:eastAsia="Arial" w:hAnsi="Arial"/>
          <w:sz w:val="18"/>
          <w:szCs w:val="18"/>
          <w:color w:val="auto"/>
        </w:rPr>
      </w:pPr>
    </w:p>
    <w:p>
      <w:pPr>
        <w:ind w:left="2000" w:hanging="388"/>
        <w:spacing w:after="0"/>
        <w:tabs>
          <w:tab w:leader="none" w:pos="2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Original Effective Date</w:t>
      </w:r>
      <w:r>
        <w:rPr>
          <w:rFonts w:ascii="Arial" w:cs="Arial" w:eastAsia="Arial" w:hAnsi="Arial"/>
          <w:sz w:val="18"/>
          <w:szCs w:val="18"/>
          <w:color w:val="auto"/>
        </w:rPr>
        <w:t>” means August 21, 2020.</w:t>
      </w:r>
    </w:p>
    <w:p>
      <w:pPr>
        <w:spacing w:after="0" w:line="225" w:lineRule="exact"/>
        <w:rPr>
          <w:rFonts w:ascii="Arial" w:cs="Arial" w:eastAsia="Arial" w:hAnsi="Arial"/>
          <w:sz w:val="18"/>
          <w:szCs w:val="18"/>
          <w:color w:val="auto"/>
        </w:rPr>
      </w:pPr>
    </w:p>
    <w:p>
      <w:pPr>
        <w:ind w:firstLine="1612"/>
        <w:spacing w:after="0" w:line="282" w:lineRule="auto"/>
        <w:tabs>
          <w:tab w:leader="none" w:pos="2037"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means a person who has been granted an Award under the Plan that remains outstanding, including a person who is no longer an Eligible Person.</w:t>
      </w:r>
    </w:p>
    <w:p>
      <w:pPr>
        <w:spacing w:after="0" w:line="161" w:lineRule="exact"/>
        <w:rPr>
          <w:rFonts w:ascii="Arial" w:cs="Arial" w:eastAsia="Arial" w:hAnsi="Arial"/>
          <w:sz w:val="18"/>
          <w:szCs w:val="18"/>
          <w:color w:val="auto"/>
        </w:rPr>
      </w:pPr>
    </w:p>
    <w:p>
      <w:pPr>
        <w:jc w:val="both"/>
        <w:ind w:firstLine="1612"/>
        <w:spacing w:after="0" w:line="266" w:lineRule="auto"/>
        <w:tabs>
          <w:tab w:leader="none" w:pos="2032"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Qualified Member</w:t>
      </w:r>
      <w:r>
        <w:rPr>
          <w:rFonts w:ascii="Arial" w:cs="Arial" w:eastAsia="Arial" w:hAnsi="Arial"/>
          <w:sz w:val="18"/>
          <w:szCs w:val="18"/>
          <w:color w:val="auto"/>
        </w:rPr>
        <w:t>” means a member of the Board who is (i) a “non-employee director” within the meaning of Rule 16b-3(b)(3), and (ii) “independent” under the listing standards or rules of the securities exchange upon which the Stock is traded, but only to the extent such independence is required in order to take the action at issue pursuant to such standards or rules.</w:t>
      </w:r>
    </w:p>
    <w:p>
      <w:pPr>
        <w:spacing w:after="0" w:line="175" w:lineRule="exact"/>
        <w:rPr>
          <w:rFonts w:ascii="Arial" w:cs="Arial" w:eastAsia="Arial" w:hAnsi="Arial"/>
          <w:sz w:val="18"/>
          <w:szCs w:val="18"/>
          <w:color w:val="auto"/>
        </w:rPr>
      </w:pPr>
    </w:p>
    <w:p>
      <w:pPr>
        <w:ind w:left="2040" w:hanging="428"/>
        <w:spacing w:after="0"/>
        <w:tabs>
          <w:tab w:leader="none" w:pos="20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Restricted Stock</w:t>
      </w:r>
      <w:r>
        <w:rPr>
          <w:rFonts w:ascii="Arial" w:cs="Arial" w:eastAsia="Arial" w:hAnsi="Arial"/>
          <w:sz w:val="16"/>
          <w:szCs w:val="16"/>
          <w:color w:val="auto"/>
        </w:rPr>
        <w:t xml:space="preserve">” means Stock granted to an Eligible Person under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that is subject to certain restrictions and to</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risk of forfeiture.</w:t>
      </w:r>
    </w:p>
    <w:p>
      <w:pPr>
        <w:spacing w:after="0" w:line="206" w:lineRule="exact"/>
        <w:rPr>
          <w:rFonts w:ascii="Arial" w:cs="Arial" w:eastAsia="Arial" w:hAnsi="Arial"/>
          <w:sz w:val="16"/>
          <w:szCs w:val="16"/>
          <w:color w:val="auto"/>
        </w:rPr>
      </w:pPr>
    </w:p>
    <w:p>
      <w:pPr>
        <w:ind w:left="2100" w:hanging="488"/>
        <w:spacing w:after="0"/>
        <w:tabs>
          <w:tab w:leader="none" w:pos="2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Rule 16b-3</w:t>
      </w:r>
      <w:r>
        <w:rPr>
          <w:rFonts w:ascii="Arial" w:cs="Arial" w:eastAsia="Arial" w:hAnsi="Arial"/>
          <w:sz w:val="18"/>
          <w:szCs w:val="18"/>
          <w:color w:val="auto"/>
        </w:rPr>
        <w:t>” means Rule 16b-3, promulgated by the SEC under Section 16 of the Exchange Act.</w:t>
      </w:r>
    </w:p>
    <w:p>
      <w:pPr>
        <w:spacing w:after="0" w:line="225" w:lineRule="exact"/>
        <w:rPr>
          <w:rFonts w:ascii="Arial" w:cs="Arial" w:eastAsia="Arial" w:hAnsi="Arial"/>
          <w:sz w:val="18"/>
          <w:szCs w:val="18"/>
          <w:color w:val="auto"/>
        </w:rPr>
      </w:pPr>
    </w:p>
    <w:p>
      <w:pPr>
        <w:ind w:left="2080" w:hanging="468"/>
        <w:spacing w:after="0"/>
        <w:tabs>
          <w:tab w:leader="none" w:pos="2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firstLine="1612"/>
        <w:spacing w:after="0" w:line="282" w:lineRule="auto"/>
        <w:tabs>
          <w:tab w:leader="none" w:pos="2187"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from time to time, including the guidance, rules and regulations promulgated thereunder and successor provisions, guidance, rules and regulations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337185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80" w:right="339" w:bottom="1440" w:gutter="0" w:footer="0" w:header="0"/>
        </w:sectPr>
      </w:pPr>
    </w:p>
    <w:bookmarkStart w:id="122" w:name="page123"/>
    <w:bookmarkEnd w:id="122"/>
    <w:p>
      <w:pPr>
        <w:ind w:firstLine="1612"/>
        <w:spacing w:after="0" w:line="282" w:lineRule="auto"/>
        <w:tabs>
          <w:tab w:leader="none" w:pos="2055" w:val="left"/>
        </w:tabs>
        <w:numPr>
          <w:ilvl w:val="2"/>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Stock</w:t>
      </w:r>
      <w:r>
        <w:rPr>
          <w:rFonts w:ascii="Arial" w:cs="Arial" w:eastAsia="Arial" w:hAnsi="Arial"/>
          <w:sz w:val="18"/>
          <w:szCs w:val="18"/>
          <w:color w:val="auto"/>
        </w:rPr>
        <w:t xml:space="preserve">” means the Company’s Common Stock, par value $0.0001 per share, and such other securities as may be substituted (or re-substituted) for Stock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2120" w:hanging="508"/>
        <w:spacing w:after="0"/>
        <w:tabs>
          <w:tab w:leader="none" w:pos="21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Stock Award</w:t>
      </w:r>
      <w:r>
        <w:rPr>
          <w:rFonts w:ascii="Arial" w:cs="Arial" w:eastAsia="Arial" w:hAnsi="Arial"/>
          <w:sz w:val="18"/>
          <w:szCs w:val="18"/>
          <w:color w:val="auto"/>
        </w:rPr>
        <w:t xml:space="preserve">” means unrestricted shares of Stock granted to an Eligible Person under </w:t>
      </w:r>
      <w:r>
        <w:rPr>
          <w:rFonts w:ascii="Arial" w:cs="Arial" w:eastAsia="Arial" w:hAnsi="Arial"/>
          <w:sz w:val="18"/>
          <w:szCs w:val="18"/>
          <w:u w:val="single" w:color="auto"/>
          <w:color w:val="auto"/>
        </w:rPr>
        <w:t>Section 6(d)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140" w:hanging="528"/>
        <w:spacing w:after="0"/>
        <w:tabs>
          <w:tab w:leader="none" w:pos="2140" w:val="left"/>
        </w:tabs>
        <w:numPr>
          <w:ilvl w:val="2"/>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Substitute Award</w:t>
      </w:r>
      <w:r>
        <w:rPr>
          <w:rFonts w:ascii="Arial" w:cs="Arial" w:eastAsia="Arial" w:hAnsi="Arial"/>
          <w:sz w:val="18"/>
          <w:szCs w:val="18"/>
          <w:color w:val="auto"/>
        </w:rPr>
        <w:t xml:space="preserve">” means an Award granted under </w:t>
      </w:r>
      <w:r>
        <w:rPr>
          <w:rFonts w:ascii="Arial" w:cs="Arial" w:eastAsia="Arial" w:hAnsi="Arial"/>
          <w:sz w:val="18"/>
          <w:szCs w:val="18"/>
          <w:u w:val="single" w:color="auto"/>
          <w:color w:val="auto"/>
        </w:rPr>
        <w:t>Section 6(g)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40" w:hanging="500"/>
        <w:spacing w:after="0"/>
        <w:tabs>
          <w:tab w:leader="none" w:pos="11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126"/>
        <w:spacing w:after="0" w:line="289" w:lineRule="auto"/>
        <w:tabs>
          <w:tab w:leader="none" w:pos="1527" w:val="left"/>
        </w:tabs>
        <w:numPr>
          <w:ilvl w:val="1"/>
          <w:numId w:val="77"/>
        </w:numPr>
        <w:rPr>
          <w:rFonts w:ascii="Arial" w:cs="Arial" w:eastAsia="Arial" w:hAnsi="Arial"/>
          <w:sz w:val="17"/>
          <w:szCs w:val="17"/>
          <w:color w:val="auto"/>
        </w:rPr>
      </w:pPr>
      <w:r>
        <w:rPr>
          <w:rFonts w:ascii="Arial" w:cs="Arial" w:eastAsia="Arial" w:hAnsi="Arial"/>
          <w:sz w:val="17"/>
          <w:szCs w:val="17"/>
          <w:b w:val="1"/>
          <w:bCs w:val="1"/>
          <w:u w:val="single" w:color="auto"/>
          <w:color w:val="auto"/>
        </w:rPr>
        <w:t>Authority of the Committee</w:t>
      </w:r>
      <w:r>
        <w:rPr>
          <w:rFonts w:ascii="Arial" w:cs="Arial" w:eastAsia="Arial" w:hAnsi="Arial"/>
          <w:sz w:val="17"/>
          <w:szCs w:val="17"/>
          <w:color w:val="auto"/>
        </w:rPr>
        <w:t>. The Plan shall be administered by the Committee except to the extent the Board elects to administer</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in which case references herein to the “Committee” shall be deemed to include references to the “Board.” Subject to the express provisions of the Plan, Rule 16b-3 and other applicable laws, the Committee shall have the authority, in its sole and absolute discretion, to:</w:t>
      </w:r>
    </w:p>
    <w:p>
      <w:pPr>
        <w:spacing w:after="0" w:line="161" w:lineRule="exact"/>
        <w:rPr>
          <w:rFonts w:ascii="Arial" w:cs="Arial" w:eastAsia="Arial" w:hAnsi="Arial"/>
          <w:sz w:val="17"/>
          <w:szCs w:val="17"/>
          <w:color w:val="auto"/>
        </w:rPr>
      </w:pPr>
    </w:p>
    <w:p>
      <w:pPr>
        <w:ind w:left="1960" w:hanging="348"/>
        <w:spacing w:after="0"/>
        <w:tabs>
          <w:tab w:leader="none" w:pos="19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designate Eligible Persons as Participants;</w:t>
      </w:r>
    </w:p>
    <w:p>
      <w:pPr>
        <w:spacing w:after="0" w:line="225" w:lineRule="exact"/>
        <w:rPr>
          <w:sz w:val="20"/>
          <w:szCs w:val="20"/>
          <w:color w:val="auto"/>
        </w:rPr>
      </w:pPr>
    </w:p>
    <w:p>
      <w:pPr>
        <w:ind w:left="2020" w:hanging="408"/>
        <w:spacing w:after="0"/>
        <w:tabs>
          <w:tab w:leader="none" w:pos="2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an Eligible Person;</w:t>
      </w:r>
    </w:p>
    <w:p>
      <w:pPr>
        <w:spacing w:after="0" w:line="225" w:lineRule="exact"/>
        <w:rPr>
          <w:rFonts w:ascii="Arial" w:cs="Arial" w:eastAsia="Arial" w:hAnsi="Arial"/>
          <w:sz w:val="18"/>
          <w:szCs w:val="18"/>
          <w:color w:val="auto"/>
        </w:rPr>
      </w:pPr>
    </w:p>
    <w:p>
      <w:pPr>
        <w:ind w:left="2020" w:hanging="408"/>
        <w:spacing w:after="0"/>
        <w:tabs>
          <w:tab w:leader="none" w:pos="2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determine the number of shares of Stock or amount of cash to be covered by Awards;</w:t>
      </w:r>
    </w:p>
    <w:p>
      <w:pPr>
        <w:spacing w:after="0" w:line="225" w:lineRule="exact"/>
        <w:rPr>
          <w:rFonts w:ascii="Arial" w:cs="Arial" w:eastAsia="Arial" w:hAnsi="Arial"/>
          <w:sz w:val="18"/>
          <w:szCs w:val="18"/>
          <w:color w:val="auto"/>
        </w:rPr>
      </w:pPr>
    </w:p>
    <w:p>
      <w:pPr>
        <w:jc w:val="both"/>
        <w:ind w:firstLine="1612"/>
        <w:spacing w:after="0" w:line="263" w:lineRule="auto"/>
        <w:tabs>
          <w:tab w:leader="none" w:pos="20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determine the terms and conditions of any Award, including whether, to what extent and under what circumstances Awards may be vested, settled, exercised, cancelled or forfeited (including conditions based on continued employment or service requirements or the achievement of one or more performance goals);</w:t>
      </w:r>
    </w:p>
    <w:p>
      <w:pPr>
        <w:spacing w:after="0" w:line="183" w:lineRule="exact"/>
        <w:rPr>
          <w:rFonts w:ascii="Arial" w:cs="Arial" w:eastAsia="Arial" w:hAnsi="Arial"/>
          <w:sz w:val="18"/>
          <w:szCs w:val="18"/>
          <w:color w:val="auto"/>
        </w:rPr>
      </w:pPr>
    </w:p>
    <w:p>
      <w:pPr>
        <w:jc w:val="both"/>
        <w:ind w:firstLine="1612"/>
        <w:spacing w:after="0" w:line="263" w:lineRule="auto"/>
        <w:tabs>
          <w:tab w:leader="none" w:pos="2084" w:val="left"/>
        </w:tabs>
        <w:numPr>
          <w:ilvl w:val="0"/>
          <w:numId w:val="78"/>
        </w:numPr>
        <w:rPr>
          <w:rFonts w:ascii="Arial" w:cs="Arial" w:eastAsia="Arial" w:hAnsi="Arial"/>
          <w:sz w:val="18"/>
          <w:szCs w:val="18"/>
          <w:color w:val="auto"/>
        </w:rPr>
      </w:pPr>
      <w:r>
        <w:rPr>
          <w:rFonts w:ascii="Arial" w:cs="Arial" w:eastAsia="Arial" w:hAnsi="Arial"/>
          <w:sz w:val="18"/>
          <w:szCs w:val="18"/>
          <w:color w:val="auto"/>
        </w:rPr>
        <w:t>modify, waive or adjust any term or condition of an Award that has been granted, which may include the acceleration of vesting, waiver of forfeiture restrictions, modification of the form of settlement of the Award (for example, from cash to Stock or vice versa), early termination of a performance period, or modification of any other condition or limitation regarding an Award;</w:t>
      </w:r>
    </w:p>
    <w:p>
      <w:pPr>
        <w:spacing w:after="0" w:line="183" w:lineRule="exact"/>
        <w:rPr>
          <w:rFonts w:ascii="Arial" w:cs="Arial" w:eastAsia="Arial" w:hAnsi="Arial"/>
          <w:sz w:val="18"/>
          <w:szCs w:val="18"/>
          <w:color w:val="auto"/>
        </w:rPr>
      </w:pPr>
    </w:p>
    <w:p>
      <w:pPr>
        <w:ind w:left="2060" w:hanging="448"/>
        <w:spacing w:after="0"/>
        <w:tabs>
          <w:tab w:leader="none" w:pos="2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determine the treatment of an Award upon a termination of employment or other service relationship;</w:t>
      </w:r>
    </w:p>
    <w:p>
      <w:pPr>
        <w:spacing w:after="0" w:line="225" w:lineRule="exact"/>
        <w:rPr>
          <w:rFonts w:ascii="Arial" w:cs="Arial" w:eastAsia="Arial" w:hAnsi="Arial"/>
          <w:sz w:val="18"/>
          <w:szCs w:val="18"/>
          <w:color w:val="auto"/>
        </w:rPr>
      </w:pPr>
    </w:p>
    <w:p>
      <w:pPr>
        <w:ind w:left="2100" w:hanging="488"/>
        <w:spacing w:after="0"/>
        <w:tabs>
          <w:tab w:leader="none" w:pos="2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impose a holding period with respect to an Award or the shares of Stock received in connection with an Award;</w:t>
      </w:r>
    </w:p>
    <w:p>
      <w:pPr>
        <w:spacing w:after="0" w:line="225" w:lineRule="exact"/>
        <w:rPr>
          <w:rFonts w:ascii="Arial" w:cs="Arial" w:eastAsia="Arial" w:hAnsi="Arial"/>
          <w:sz w:val="18"/>
          <w:szCs w:val="18"/>
          <w:color w:val="auto"/>
        </w:rPr>
      </w:pPr>
    </w:p>
    <w:p>
      <w:pPr>
        <w:ind w:left="2060" w:hanging="448"/>
        <w:spacing w:after="0"/>
        <w:tabs>
          <w:tab w:leader="none" w:pos="2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interpret and administer the Plan and any Award Agreement;</w:t>
      </w:r>
    </w:p>
    <w:p>
      <w:pPr>
        <w:spacing w:after="0" w:line="225" w:lineRule="exact"/>
        <w:rPr>
          <w:rFonts w:ascii="Arial" w:cs="Arial" w:eastAsia="Arial" w:hAnsi="Arial"/>
          <w:sz w:val="18"/>
          <w:szCs w:val="18"/>
          <w:color w:val="auto"/>
        </w:rPr>
      </w:pPr>
    </w:p>
    <w:p>
      <w:pPr>
        <w:ind w:left="2200" w:hanging="588"/>
        <w:spacing w:after="0"/>
        <w:tabs>
          <w:tab w:leader="none" w:pos="22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correct any defect, supply any omission or reconcile any inconsistency in the Plan, in any Award, or in any Award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 and</w:t>
      </w:r>
    </w:p>
    <w:p>
      <w:pPr>
        <w:spacing w:after="0" w:line="210" w:lineRule="exact"/>
        <w:rPr>
          <w:rFonts w:ascii="Arial" w:cs="Arial" w:eastAsia="Arial" w:hAnsi="Arial"/>
          <w:sz w:val="17"/>
          <w:szCs w:val="17"/>
          <w:color w:val="auto"/>
        </w:rPr>
      </w:pPr>
    </w:p>
    <w:p>
      <w:pPr>
        <w:ind w:left="2180" w:hanging="568"/>
        <w:spacing w:after="0"/>
        <w:tabs>
          <w:tab w:leader="none" w:pos="21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make any other determination and take any other action that the Committee deems necessary or desirable for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administration of the Plan.</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express grant of any specific power to the Committee, and the taking of any action by the Committee, shall not be construed as limiting any power or authority of the Committee. Any action of the Committee shall be final, conclusive and binding on all persons, including the Company, its Affiliates, stockholders, Participants, beneficiaries, and permitted transferees under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or other persons claiming rights from or through a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326390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80" w:right="339" w:bottom="1440" w:gutter="0" w:footer="0" w:header="0"/>
        </w:sectPr>
      </w:pPr>
    </w:p>
    <w:bookmarkStart w:id="123" w:name="page124"/>
    <w:bookmarkEnd w:id="123"/>
    <w:p>
      <w:pPr>
        <w:jc w:val="both"/>
        <w:ind w:left="-960" w:firstLine="1126"/>
        <w:spacing w:after="0" w:line="291" w:lineRule="auto"/>
        <w:tabs>
          <w:tab w:leader="none" w:pos="631" w:val="left"/>
        </w:tabs>
        <w:numPr>
          <w:ilvl w:val="0"/>
          <w:numId w:val="79"/>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Committee Authority</w:t>
      </w:r>
      <w:r>
        <w:rPr>
          <w:rFonts w:ascii="Arial" w:cs="Arial" w:eastAsia="Arial" w:hAnsi="Arial"/>
          <w:sz w:val="16"/>
          <w:szCs w:val="16"/>
          <w:color w:val="auto"/>
        </w:rPr>
        <w:t>. At any time that a member of the Committee is not a Qualified Member, any action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Committee relating to an Award granted or to be granted to an Eligible Person who is then subject to Section 16 of the Exchange Act in respect of the Company where such action is not taken by the full Board may be taken either (i) by a subcommittee, designated by the Committee, composed solely of two or more Qualified Members, or (ii) by the Committee but with each such member who is not a Qualified Member abstaining or recusing himself or herself from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upon such abstention or recusal, the Committee remains composed solely of two or more Qualified Members. Such action, authorized by such a subcommittee or by the Committee upon the abstention or recusal of such non-Qualified Member(s), shall be the action of the Committee for purposes of the Plan. For the avoidance of doubt, the full Board may take any action relating to an Award granted or to be granted to an Eligible Person who is then subject to Section 16 of the Exchange Act in respect of the Company.</w:t>
      </w:r>
    </w:p>
    <w:p>
      <w:pPr>
        <w:spacing w:after="0" w:line="159" w:lineRule="exact"/>
        <w:rPr>
          <w:rFonts w:ascii="Arial" w:cs="Arial" w:eastAsia="Arial" w:hAnsi="Arial"/>
          <w:sz w:val="16"/>
          <w:szCs w:val="16"/>
          <w:color w:val="auto"/>
        </w:rPr>
      </w:pPr>
    </w:p>
    <w:p>
      <w:pPr>
        <w:jc w:val="both"/>
        <w:ind w:left="-960" w:firstLine="1126"/>
        <w:spacing w:after="0" w:line="269" w:lineRule="auto"/>
        <w:tabs>
          <w:tab w:leader="none" w:pos="608" w:val="left"/>
        </w:tabs>
        <w:numPr>
          <w:ilvl w:val="0"/>
          <w:numId w:val="79"/>
        </w:numPr>
        <w:rPr>
          <w:rFonts w:ascii="Arial" w:cs="Arial" w:eastAsia="Arial" w:hAnsi="Arial"/>
          <w:sz w:val="17"/>
          <w:szCs w:val="17"/>
          <w:color w:val="auto"/>
        </w:rPr>
      </w:pPr>
      <w:r>
        <w:rPr>
          <w:rFonts w:ascii="Arial" w:cs="Arial" w:eastAsia="Arial" w:hAnsi="Arial"/>
          <w:sz w:val="17"/>
          <w:szCs w:val="17"/>
          <w:b w:val="1"/>
          <w:bCs w:val="1"/>
          <w:u w:val="single" w:color="auto"/>
          <w:color w:val="auto"/>
        </w:rPr>
        <w:t>Delegation of Authority</w:t>
      </w:r>
      <w:r>
        <w:rPr>
          <w:rFonts w:ascii="Arial" w:cs="Arial" w:eastAsia="Arial" w:hAnsi="Arial"/>
          <w:sz w:val="17"/>
          <w:szCs w:val="17"/>
          <w:color w:val="auto"/>
        </w:rPr>
        <w:t>. The Committee may delegate any or all of its powers and duties under the Plan to a subcommittee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directors or to any officer of the Company, including the power to perform administrative functions and grant Awards; </w:t>
      </w:r>
      <w:r>
        <w:rPr>
          <w:rFonts w:ascii="Arial" w:cs="Arial" w:eastAsia="Arial" w:hAnsi="Arial"/>
          <w:sz w:val="17"/>
          <w:szCs w:val="17"/>
          <w:i w:val="1"/>
          <w:iCs w:val="1"/>
          <w:color w:val="auto"/>
        </w:rPr>
        <w:t>provided</w:t>
      </w:r>
      <w:r>
        <w:rPr>
          <w:rFonts w:ascii="Arial" w:cs="Arial" w:eastAsia="Arial" w:hAnsi="Arial"/>
          <w:sz w:val="17"/>
          <w:szCs w:val="17"/>
          <w:color w:val="auto"/>
        </w:rPr>
        <w:t>, that such delegation does not (i) violate state or corporate law, or (ii) result in the loss of an exemption under Rule 16b-3(d)(1) for Awards granted to Participants subject to Section 16 of the Exchange Act in respect of the Company. Upon any such delegation, all references in the Plan to the “</w:t>
      </w:r>
      <w:r>
        <w:rPr>
          <w:rFonts w:ascii="Arial" w:cs="Arial" w:eastAsia="Arial" w:hAnsi="Arial"/>
          <w:sz w:val="17"/>
          <w:szCs w:val="17"/>
          <w:b w:val="1"/>
          <w:bCs w:val="1"/>
          <w:u w:val="single" w:color="auto"/>
          <w:color w:val="auto"/>
        </w:rPr>
        <w:t>Committee</w:t>
      </w:r>
      <w:r>
        <w:rPr>
          <w:rFonts w:ascii="Arial" w:cs="Arial" w:eastAsia="Arial" w:hAnsi="Arial"/>
          <w:sz w:val="17"/>
          <w:szCs w:val="17"/>
          <w:color w:val="auto"/>
        </w:rPr>
        <w:t xml:space="preserve">,” other than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be deemed to include any subcommittee or officer of the Company to whom such powers have been delegated by the Committee. Any such delegation shall not limit the right of such subcommittee members or such an officer to receive Awards;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subcommittee members and any such officer may not grant Awards to himself or herself, a member of the Board, or any executive officer of the Company or its Affiliate, or take any action with respect to any Award previously granted to himself or herself, a member of the Board, or any executive officer of the Company or its Affiliate. The Committee may also appoint agents who are not executive officers of the Company or members of the Board to assist in administering the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individuals may not be delegated the authority to grant or modify any Awards that will, or may, be settled in Stock.</w:t>
      </w:r>
    </w:p>
    <w:p>
      <w:pPr>
        <w:spacing w:after="0" w:line="181" w:lineRule="exact"/>
        <w:rPr>
          <w:rFonts w:ascii="Arial" w:cs="Arial" w:eastAsia="Arial" w:hAnsi="Arial"/>
          <w:sz w:val="17"/>
          <w:szCs w:val="17"/>
          <w:color w:val="auto"/>
        </w:rPr>
      </w:pPr>
    </w:p>
    <w:p>
      <w:pPr>
        <w:jc w:val="both"/>
        <w:ind w:left="-960" w:firstLine="1126"/>
        <w:spacing w:after="0" w:line="256" w:lineRule="auto"/>
        <w:tabs>
          <w:tab w:leader="none" w:pos="591"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The Committee and each member thereof shall be entitled to, in good faith, rely or act upon any report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information furnished to him or her by any officer or employee of the Company or any of its Affiliates, the Company’s legal counsel, independent auditors, consultants or any other agents assisting in the administration of the Plan. Members of the Committee and any officer or employee of the Company or any of its Affiliates acting at the direction or on behalf of the Committee shall not be personally liable for any action or determination taken or made in good faith with respect to the Plan, and shall, to the fullest extent permitted by law, be indemnified and held harmless by the Company with respect to any such action or determination.</w:t>
      </w:r>
    </w:p>
    <w:p>
      <w:pPr>
        <w:spacing w:after="0" w:line="187" w:lineRule="exact"/>
        <w:rPr>
          <w:rFonts w:ascii="Arial" w:cs="Arial" w:eastAsia="Arial" w:hAnsi="Arial"/>
          <w:sz w:val="18"/>
          <w:szCs w:val="18"/>
          <w:color w:val="auto"/>
        </w:rPr>
      </w:pPr>
    </w:p>
    <w:p>
      <w:pPr>
        <w:jc w:val="both"/>
        <w:ind w:left="-960" w:firstLine="1126"/>
        <w:spacing w:after="0" w:line="269" w:lineRule="auto"/>
        <w:tabs>
          <w:tab w:leader="none" w:pos="567" w:val="left"/>
        </w:tabs>
        <w:numPr>
          <w:ilvl w:val="0"/>
          <w:numId w:val="79"/>
        </w:numPr>
        <w:rPr>
          <w:rFonts w:ascii="Arial" w:cs="Arial" w:eastAsia="Arial" w:hAnsi="Arial"/>
          <w:sz w:val="17"/>
          <w:szCs w:val="17"/>
          <w:color w:val="auto"/>
        </w:rPr>
      </w:pPr>
      <w:r>
        <w:rPr>
          <w:rFonts w:ascii="Arial" w:cs="Arial" w:eastAsia="Arial" w:hAnsi="Arial"/>
          <w:sz w:val="17"/>
          <w:szCs w:val="17"/>
          <w:b w:val="1"/>
          <w:bCs w:val="1"/>
          <w:u w:val="single" w:color="auto"/>
          <w:color w:val="auto"/>
        </w:rPr>
        <w:t>Participants in Non-U.S. Jurisdictions</w:t>
      </w:r>
      <w:r>
        <w:rPr>
          <w:rFonts w:ascii="Arial" w:cs="Arial" w:eastAsia="Arial" w:hAnsi="Arial"/>
          <w:sz w:val="17"/>
          <w:szCs w:val="17"/>
          <w:color w:val="auto"/>
        </w:rPr>
        <w:t>. Notwithstanding any provision of the Plan to the contrary, to comply with applicable laws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countries other than the United States in which the Company or any of its Affiliates operates or has employees, directors or other service providers from time to time, or to ensure that the Company complies with any applicable requirements of foreign securities exchanges, the Committee, in its sole discretion, shall have the power and authority to: (i) determine which of the Company’s Affiliates shall be covered by the Plan; (ii) determine which Eligible Persons outside the United States are eligible to participate in the Plan; (iii) modify the terms and conditions of any Award granted to Eligible Persons outside the United States to comply with applicable foreign laws or listing requirements of any foreign exchange; (iv) establish sub-plans and modify exercise procedures and other terms and procedures, to the extent such actions may be necessary or advisable (any such sub-plans and/or modifications shall be attached to the Plan as appendices),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 such sub-plans and/or modifications shall increase the share limitations contained in </w:t>
      </w:r>
      <w:r>
        <w:rPr>
          <w:rFonts w:ascii="Arial" w:cs="Arial" w:eastAsia="Arial" w:hAnsi="Arial"/>
          <w:sz w:val="17"/>
          <w:szCs w:val="17"/>
          <w:u w:val="single" w:color="auto"/>
          <w:color w:val="auto"/>
        </w:rPr>
        <w:t>Section 4(a)</w:t>
      </w:r>
      <w:r>
        <w:rPr>
          <w:rFonts w:ascii="Arial" w:cs="Arial" w:eastAsia="Arial" w:hAnsi="Arial"/>
          <w:sz w:val="17"/>
          <w:szCs w:val="17"/>
          <w:color w:val="auto"/>
        </w:rPr>
        <w:t>; and (v) take any action, before or after an Award is granted, that it deems advisable to comply with any applicable governmental regulatory exemptions or approval or listing requirements of any such foreign securities exchange. For purposes of the Plan, all references to foreign laws, rules, regulations or taxes shall be references to the laws, rules, regulations and taxes of any applicable jurisdiction other than the United States or a political subdivision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347980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24" w:name="page125"/>
    <w:bookmarkEnd w:id="124"/>
    <w:p>
      <w:pPr>
        <w:ind w:left="500" w:hanging="500"/>
        <w:spacing w:after="0"/>
        <w:tabs>
          <w:tab w:leader="none" w:pos="5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Subject to the Plan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left="-640" w:firstLine="1126"/>
        <w:spacing w:after="0" w:line="277" w:lineRule="auto"/>
        <w:tabs>
          <w:tab w:leader="none" w:pos="887" w:val="left"/>
        </w:tabs>
        <w:numPr>
          <w:ilvl w:val="1"/>
          <w:numId w:val="80"/>
        </w:numPr>
        <w:rPr>
          <w:rFonts w:ascii="Arial" w:cs="Arial" w:eastAsia="Arial" w:hAnsi="Arial"/>
          <w:sz w:val="17"/>
          <w:szCs w:val="17"/>
          <w:color w:val="auto"/>
        </w:rPr>
      </w:pPr>
      <w:r>
        <w:rPr>
          <w:rFonts w:ascii="Arial" w:cs="Arial" w:eastAsia="Arial" w:hAnsi="Arial"/>
          <w:sz w:val="17"/>
          <w:szCs w:val="17"/>
          <w:b w:val="1"/>
          <w:bCs w:val="1"/>
          <w:u w:val="single" w:color="auto"/>
          <w:color w:val="auto"/>
        </w:rPr>
        <w:t>Number of Shares Available for Delivery</w:t>
      </w:r>
      <w:r>
        <w:rPr>
          <w:rFonts w:ascii="Arial" w:cs="Arial" w:eastAsia="Arial" w:hAnsi="Arial"/>
          <w:sz w:val="17"/>
          <w:szCs w:val="17"/>
          <w:color w:val="auto"/>
        </w:rPr>
        <w:t>. The number of shares of Stock which may be issued from time to time pursuant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Plan shall be 13% of the shares of the Company outstanding from time to time, or the equivalent of such number of shares of Stock after the Committee, in its sole discretion, has determined and given effect to any stock split, consolidation, recapitalization or similar transaction in accordance with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and 11,907,006 shares of Stock will be available for the issuance of shares upon the exercise of ISOs. For the avoidance of doubt, shares of Stock will not be made available pursuant to both the preceding sentence and </w:t>
      </w:r>
      <w:r>
        <w:rPr>
          <w:rFonts w:ascii="Arial" w:cs="Arial" w:eastAsia="Arial" w:hAnsi="Arial"/>
          <w:sz w:val="17"/>
          <w:szCs w:val="17"/>
          <w:u w:val="single" w:color="auto"/>
          <w:color w:val="auto"/>
        </w:rPr>
        <w:t>Section 4(c)</w:t>
      </w:r>
      <w:r>
        <w:rPr>
          <w:rFonts w:ascii="Arial" w:cs="Arial" w:eastAsia="Arial" w:hAnsi="Arial"/>
          <w:sz w:val="17"/>
          <w:szCs w:val="17"/>
          <w:color w:val="auto"/>
        </w:rPr>
        <w:t>.</w:t>
      </w:r>
    </w:p>
    <w:p>
      <w:pPr>
        <w:spacing w:after="0" w:line="167" w:lineRule="exact"/>
        <w:rPr>
          <w:rFonts w:ascii="Arial" w:cs="Arial" w:eastAsia="Arial" w:hAnsi="Arial"/>
          <w:sz w:val="17"/>
          <w:szCs w:val="17"/>
          <w:color w:val="auto"/>
        </w:rPr>
      </w:pPr>
    </w:p>
    <w:p>
      <w:pPr>
        <w:jc w:val="both"/>
        <w:ind w:left="-640" w:firstLine="1126"/>
        <w:spacing w:after="0" w:line="277" w:lineRule="auto"/>
        <w:tabs>
          <w:tab w:leader="none" w:pos="951" w:val="left"/>
        </w:tabs>
        <w:numPr>
          <w:ilvl w:val="1"/>
          <w:numId w:val="80"/>
        </w:numPr>
        <w:rPr>
          <w:rFonts w:ascii="Arial" w:cs="Arial" w:eastAsia="Arial" w:hAnsi="Arial"/>
          <w:sz w:val="17"/>
          <w:szCs w:val="17"/>
          <w:color w:val="auto"/>
        </w:rPr>
      </w:pPr>
      <w:r>
        <w:rPr>
          <w:rFonts w:ascii="Arial" w:cs="Arial" w:eastAsia="Arial" w:hAnsi="Arial"/>
          <w:sz w:val="17"/>
          <w:szCs w:val="17"/>
          <w:b w:val="1"/>
          <w:bCs w:val="1"/>
          <w:u w:val="single" w:color="auto"/>
          <w:color w:val="auto"/>
        </w:rPr>
        <w:t>Application of Limitation to Grants of Awards</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4(c)</w:t>
      </w:r>
      <w:r>
        <w:rPr>
          <w:rFonts w:ascii="Arial" w:cs="Arial" w:eastAsia="Arial" w:hAnsi="Arial"/>
          <w:sz w:val="17"/>
          <w:szCs w:val="17"/>
          <w:color w:val="auto"/>
        </w:rPr>
        <w:t>, no Award may be granted if the number of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 that may be delivered in connection with such Award exceeds the number of shares of Stock remaining available under the Plan minus the number of shares of Stock issuable in settlement of or relating to then-outstanding Awards. The Committee may adopt reasonable counting procedures to ensure appropriate counting, avoid double counting (as, for example, in the case of tandem or Substitute Awards) and make adjustments if the number of shares of Stock actually delivered differs from the number of shares previously counted in connection with an Award.</w:t>
      </w:r>
    </w:p>
    <w:p>
      <w:pPr>
        <w:spacing w:after="0" w:line="167" w:lineRule="exact"/>
        <w:rPr>
          <w:rFonts w:ascii="Arial" w:cs="Arial" w:eastAsia="Arial" w:hAnsi="Arial"/>
          <w:sz w:val="17"/>
          <w:szCs w:val="17"/>
          <w:color w:val="auto"/>
        </w:rPr>
      </w:pPr>
    </w:p>
    <w:p>
      <w:pPr>
        <w:jc w:val="both"/>
        <w:ind w:left="-640" w:firstLine="1126"/>
        <w:spacing w:after="0" w:line="256" w:lineRule="auto"/>
        <w:tabs>
          <w:tab w:leader="none" w:pos="874" w:val="left"/>
        </w:tabs>
        <w:numPr>
          <w:ilvl w:val="1"/>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Availability of Shares Not Delivered under Awards</w:t>
      </w:r>
      <w:r>
        <w:rPr>
          <w:rFonts w:ascii="Arial" w:cs="Arial" w:eastAsia="Arial" w:hAnsi="Arial"/>
          <w:sz w:val="18"/>
          <w:szCs w:val="18"/>
          <w:color w:val="auto"/>
        </w:rPr>
        <w:t>. If all or any portion of an Award expires or is cancelled, forfeited, exchanged,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settled in cash or otherwise terminated, the shares of Stock subject to such Award (including (i) shares of Stock forfeited with respect to Restricted Stock and (ii) the number of shares withheld or surrendered to the Company in payment of any exercise or purchase price of an Award or taxes relating to Awards) shall not be considered “delivered shares” under the Plan, shall be available for delivery with respect to Awards, and shall no longer be considered issuable or related to outstanding Awards for purposes of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If an Award may be settled only in cash, such Award need not be counted against any share limit under this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640" w:firstLine="1126"/>
        <w:spacing w:after="0" w:line="258" w:lineRule="auto"/>
        <w:tabs>
          <w:tab w:leader="none" w:pos="992" w:val="left"/>
        </w:tabs>
        <w:numPr>
          <w:ilvl w:val="1"/>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Shares Available Following Certain Transactions</w:t>
      </w:r>
      <w:r>
        <w:rPr>
          <w:rFonts w:ascii="Arial" w:cs="Arial" w:eastAsia="Arial" w:hAnsi="Arial"/>
          <w:sz w:val="18"/>
          <w:szCs w:val="18"/>
          <w:color w:val="auto"/>
        </w:rPr>
        <w:t>. Substitute Awards granted in accordance with applicable stock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and in substitution or exchange for awards previously granted by a company acquired by the Company or any subsidiary or with which the Company or any subsidiary combines shall not reduce the shares authorized for issuance under the Plan, nor shall shares subject to such Substitute Awards be added to the shares available for issuance under the Plan as provided above (whether or not such Substitute Awards are later cancelled, forfeited or otherwise terminated).</w:t>
      </w:r>
    </w:p>
    <w:p>
      <w:pPr>
        <w:spacing w:after="0" w:line="183" w:lineRule="exact"/>
        <w:rPr>
          <w:rFonts w:ascii="Arial" w:cs="Arial" w:eastAsia="Arial" w:hAnsi="Arial"/>
          <w:sz w:val="18"/>
          <w:szCs w:val="18"/>
          <w:color w:val="auto"/>
        </w:rPr>
      </w:pPr>
    </w:p>
    <w:p>
      <w:pPr>
        <w:jc w:val="both"/>
        <w:ind w:left="-640" w:firstLine="1126"/>
        <w:spacing w:after="0" w:line="266" w:lineRule="auto"/>
        <w:tabs>
          <w:tab w:leader="none" w:pos="874" w:val="left"/>
        </w:tabs>
        <w:numPr>
          <w:ilvl w:val="1"/>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Offered</w:t>
      </w:r>
      <w:r>
        <w:rPr>
          <w:rFonts w:ascii="Arial" w:cs="Arial" w:eastAsia="Arial" w:hAnsi="Arial"/>
          <w:sz w:val="18"/>
          <w:szCs w:val="18"/>
          <w:color w:val="auto"/>
        </w:rPr>
        <w:t>. The shares of Stock to be delivered under the Plan shall be made available from (i) authorized but unissued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(ii) Stock held in the treasury of the Company, or (iii) previously issued shares of Stock reacquired by the Company, including shares purchased on the open market.</w:t>
      </w:r>
    </w:p>
    <w:p>
      <w:pPr>
        <w:spacing w:after="0" w:line="175" w:lineRule="exact"/>
        <w:rPr>
          <w:rFonts w:ascii="Arial" w:cs="Arial" w:eastAsia="Arial" w:hAnsi="Arial"/>
          <w:sz w:val="18"/>
          <w:szCs w:val="18"/>
          <w:color w:val="auto"/>
        </w:rPr>
      </w:pPr>
    </w:p>
    <w:p>
      <w:pPr>
        <w:ind w:left="500" w:hanging="500"/>
        <w:spacing w:after="0"/>
        <w:tabs>
          <w:tab w:leader="none" w:pos="5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 Awards may be granted under the Plan only to Eligible Persons.</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500" w:hanging="500"/>
        <w:spacing w:after="0"/>
        <w:tabs>
          <w:tab w:leader="none" w:pos="5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Specific Terms of Awards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left="-640" w:firstLine="1126"/>
        <w:spacing w:after="0" w:line="292" w:lineRule="auto"/>
        <w:tabs>
          <w:tab w:leader="none" w:pos="887" w:val="left"/>
        </w:tabs>
        <w:numPr>
          <w:ilvl w:val="1"/>
          <w:numId w:val="80"/>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w:t>
      </w:r>
      <w:r>
        <w:rPr>
          <w:rFonts w:ascii="Arial" w:cs="Arial" w:eastAsia="Arial" w:hAnsi="Arial"/>
          <w:sz w:val="16"/>
          <w:szCs w:val="16"/>
          <w:color w:val="auto"/>
        </w:rPr>
        <w:t>. Awards may be granted on the terms and conditions set forth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color w:val="auto"/>
        </w:rPr>
        <w:t>. Awards granted under the Plan may,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discretion of the Committee, be granted either alone, in addition to, or in tandem with any other Award. In addition, the Committee may impose on any Award or the exercise thereof, at the date of grant or thereafter (subject to </w:t>
      </w:r>
      <w:r>
        <w:rPr>
          <w:rFonts w:ascii="Arial" w:cs="Arial" w:eastAsia="Arial" w:hAnsi="Arial"/>
          <w:sz w:val="16"/>
          <w:szCs w:val="16"/>
          <w:u w:val="single" w:color="auto"/>
          <w:color w:val="auto"/>
        </w:rPr>
        <w:t>Section 10</w:t>
      </w:r>
      <w:r>
        <w:rPr>
          <w:rFonts w:ascii="Arial" w:cs="Arial" w:eastAsia="Arial" w:hAnsi="Arial"/>
          <w:sz w:val="16"/>
          <w:szCs w:val="16"/>
          <w:color w:val="auto"/>
        </w:rPr>
        <w:t>), such additional terms and conditions, not inconsistent with the provisions of the Plan, as the Committee shall determine. Without limiting the scope of the preceding sentence, the Committee may use such business criteria and other measures of performance as it may deem appropriate in establishing any performance goals applicable to an Award, and any such performance goals may differ among Awards granted to any one Participant or to different Participants. Except as otherwise provided in an Award Agreement, the Committee may exercise its discretion to reduce or increase the amounts payable under any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336550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1120" w:top="580" w:right="339" w:bottom="1440" w:gutter="0" w:footer="0" w:header="0"/>
        </w:sectPr>
      </w:pPr>
    </w:p>
    <w:bookmarkStart w:id="125" w:name="page126"/>
    <w:bookmarkEnd w:id="125"/>
    <w:p>
      <w:pPr>
        <w:ind w:left="-960" w:right="20" w:firstLine="1126"/>
        <w:spacing w:after="0" w:line="282" w:lineRule="auto"/>
        <w:tabs>
          <w:tab w:leader="none" w:pos="658"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Options</w:t>
      </w:r>
      <w:r>
        <w:rPr>
          <w:rFonts w:ascii="Arial" w:cs="Arial" w:eastAsia="Arial" w:hAnsi="Arial"/>
          <w:sz w:val="18"/>
          <w:szCs w:val="18"/>
          <w:color w:val="auto"/>
        </w:rPr>
        <w:t>. The Committee is authorized to grant Options, which may be designated as either ISOs or Nonstatutory Options,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Persons on the following terms and conditions:</w:t>
      </w:r>
    </w:p>
    <w:p>
      <w:pPr>
        <w:spacing w:after="0" w:line="161" w:lineRule="exact"/>
        <w:rPr>
          <w:rFonts w:ascii="Arial" w:cs="Arial" w:eastAsia="Arial" w:hAnsi="Arial"/>
          <w:sz w:val="18"/>
          <w:szCs w:val="18"/>
          <w:color w:val="auto"/>
        </w:rPr>
      </w:pPr>
    </w:p>
    <w:p>
      <w:pPr>
        <w:jc w:val="both"/>
        <w:ind w:left="-960" w:firstLine="1612"/>
        <w:spacing w:after="0" w:line="271" w:lineRule="auto"/>
        <w:tabs>
          <w:tab w:leader="none" w:pos="1023" w:val="left"/>
        </w:tabs>
        <w:numPr>
          <w:ilvl w:val="1"/>
          <w:numId w:val="81"/>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Exercise Price</w:t>
      </w:r>
      <w:r>
        <w:rPr>
          <w:rFonts w:ascii="Arial" w:cs="Arial" w:eastAsia="Arial" w:hAnsi="Arial"/>
          <w:sz w:val="17"/>
          <w:szCs w:val="17"/>
          <w:color w:val="auto"/>
        </w:rPr>
        <w:t>. Each Award Agreement evidencing an Option shall state the exercise price per share of Stock (the “</w:t>
      </w:r>
      <w:r>
        <w:rPr>
          <w:rFonts w:ascii="Arial" w:cs="Arial" w:eastAsia="Arial" w:hAnsi="Arial"/>
          <w:sz w:val="17"/>
          <w:szCs w:val="17"/>
          <w:b w:val="1"/>
          <w:bCs w:val="1"/>
          <w:u w:val="single" w:color="auto"/>
          <w:color w:val="auto"/>
        </w:rPr>
        <w:t>Exercise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Price</w:t>
      </w:r>
      <w:r>
        <w:rPr>
          <w:rFonts w:ascii="Arial" w:cs="Arial" w:eastAsia="Arial" w:hAnsi="Arial"/>
          <w:sz w:val="17"/>
          <w:szCs w:val="17"/>
          <w:color w:val="auto"/>
        </w:rPr>
        <w:t>”) established by the Committee;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as provided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6(g)</w:t>
      </w:r>
      <w:r>
        <w:rPr>
          <w:rFonts w:ascii="Arial" w:cs="Arial" w:eastAsia="Arial" w:hAnsi="Arial"/>
          <w:sz w:val="17"/>
          <w:szCs w:val="17"/>
          <w:b w:val="1"/>
          <w:bCs w:val="1"/>
          <w:color w:val="auto"/>
        </w:rPr>
        <w:t xml:space="preserve"> </w:t>
      </w:r>
      <w:r>
        <w:rPr>
          <w:rFonts w:ascii="Arial" w:cs="Arial" w:eastAsia="Arial" w:hAnsi="Arial"/>
          <w:sz w:val="17"/>
          <w:szCs w:val="17"/>
          <w:color w:val="auto"/>
        </w:rPr>
        <w:t>or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w:t>
      </w:r>
      <w:r>
        <w:rPr>
          <w:rFonts w:ascii="Arial" w:cs="Arial" w:eastAsia="Arial" w:hAnsi="Arial"/>
          <w:sz w:val="17"/>
          <w:szCs w:val="17"/>
          <w:color w:val="auto"/>
        </w:rPr>
        <w:t>, the Exercise Price of an Option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be less than the greater of (A) the par value per share of the Stock or (B) 100% of the Fair Market Value per share of the Stock as of the date of grant of the Option (or in the case of an ISO granted to an individual who owns stock possessing more than 10% of the total combined voting power of all classes of stock of the Company or its parent or any of its subsidiaries, 110% of the Fair Market Value per share of the Stock on the date of grant). Notwithstanding the foregoing, the Exercise Price of a Nonstatutory Option may be less than 100% of the Fair Market Value per share of Stock as of the date of grant of the Option if the Option (1) does not provide for a deferral of compensation by reason of satisfying the short-term deferral exception set forth in the Nonqualified Deferred Compensation Rules or (2) provides for a deferral of compensation and is compliant with the Nonqualified Deferred Compensation Rules.</w:t>
      </w:r>
    </w:p>
    <w:p>
      <w:pPr>
        <w:spacing w:after="0" w:line="173" w:lineRule="exact"/>
        <w:rPr>
          <w:rFonts w:ascii="Arial" w:cs="Arial" w:eastAsia="Arial" w:hAnsi="Arial"/>
          <w:sz w:val="17"/>
          <w:szCs w:val="17"/>
          <w:color w:val="auto"/>
        </w:rPr>
      </w:pPr>
    </w:p>
    <w:p>
      <w:pPr>
        <w:jc w:val="both"/>
        <w:ind w:left="-960" w:firstLine="1612"/>
        <w:spacing w:after="0" w:line="289" w:lineRule="auto"/>
        <w:tabs>
          <w:tab w:leader="none" w:pos="1060" w:val="left"/>
        </w:tabs>
        <w:numPr>
          <w:ilvl w:val="1"/>
          <w:numId w:val="81"/>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and Method of Exercise; Other Terms</w:t>
      </w:r>
      <w:r>
        <w:rPr>
          <w:rFonts w:ascii="Arial" w:cs="Arial" w:eastAsia="Arial" w:hAnsi="Arial"/>
          <w:sz w:val="16"/>
          <w:szCs w:val="16"/>
          <w:color w:val="auto"/>
        </w:rPr>
        <w:t>. The Committee shall determine the methods by which the Exercise Price may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paid or deemed to be paid, the form of such payment, including cash or cash equivalents, Stock (including previously owned shares or through a cashless exercise, i.e., “net settlement”, a broker-assisted exercise, or other reduction of the amount of shares otherwise issuable pursuant to the Option), other Awards or awards granted under other plans of the Company or any Affiliate of the Company, other property, or any other legal consideration the Committee deems appropriate (including notes or other contractual obligations of Participants to make payment on a deferred basis), the methods by or forms in which Stock will be delivered or deemed to be delivered to Participants, including the delivery of Restricted Stock subject to </w:t>
      </w:r>
      <w:r>
        <w:rPr>
          <w:rFonts w:ascii="Arial" w:cs="Arial" w:eastAsia="Arial" w:hAnsi="Arial"/>
          <w:sz w:val="16"/>
          <w:szCs w:val="16"/>
          <w:u w:val="single" w:color="auto"/>
          <w:color w:val="auto"/>
        </w:rPr>
        <w:t>Section 6(c)</w:t>
      </w:r>
      <w:r>
        <w:rPr>
          <w:rFonts w:ascii="Arial" w:cs="Arial" w:eastAsia="Arial" w:hAnsi="Arial"/>
          <w:sz w:val="16"/>
          <w:szCs w:val="16"/>
          <w:color w:val="auto"/>
        </w:rPr>
        <w:t>, and any other terms and conditions of any Option. In the case of an exercise whereby the Exercise Price is paid with Stock, such Stock shall be valued based on the Stock’s Fair Market Value as of the date of exercise. No Option may be exercisable for a period of more than ten years following the date of grant of the Option (or in the case of an ISO granted to an individual who owns stock possessing more than 10% of the total combined voting power of all classes of stock of the Company or its parent or any of its subsidiaries, for a period of more than five years following the date of grant of the ISO).</w:t>
      </w:r>
    </w:p>
    <w:p>
      <w:pPr>
        <w:spacing w:after="0" w:line="160" w:lineRule="exact"/>
        <w:rPr>
          <w:rFonts w:ascii="Arial" w:cs="Arial" w:eastAsia="Arial" w:hAnsi="Arial"/>
          <w:sz w:val="16"/>
          <w:szCs w:val="16"/>
          <w:color w:val="auto"/>
        </w:rPr>
      </w:pPr>
    </w:p>
    <w:p>
      <w:pPr>
        <w:jc w:val="both"/>
        <w:ind w:left="-960" w:firstLine="1612"/>
        <w:spacing w:after="0" w:line="287" w:lineRule="auto"/>
        <w:tabs>
          <w:tab w:leader="none" w:pos="1150" w:val="left"/>
        </w:tabs>
        <w:numPr>
          <w:ilvl w:val="1"/>
          <w:numId w:val="81"/>
        </w:numPr>
        <w:rPr>
          <w:rFonts w:ascii="Arial" w:cs="Arial" w:eastAsia="Arial" w:hAnsi="Arial"/>
          <w:sz w:val="16"/>
          <w:szCs w:val="16"/>
          <w:color w:val="auto"/>
        </w:rPr>
      </w:pPr>
      <w:r>
        <w:rPr>
          <w:rFonts w:ascii="Arial" w:cs="Arial" w:eastAsia="Arial" w:hAnsi="Arial"/>
          <w:sz w:val="16"/>
          <w:szCs w:val="16"/>
          <w:b w:val="1"/>
          <w:bCs w:val="1"/>
          <w:u w:val="single" w:color="auto"/>
          <w:color w:val="auto"/>
        </w:rPr>
        <w:t>ISOs</w:t>
      </w:r>
      <w:r>
        <w:rPr>
          <w:rFonts w:ascii="Arial" w:cs="Arial" w:eastAsia="Arial" w:hAnsi="Arial"/>
          <w:sz w:val="16"/>
          <w:szCs w:val="16"/>
          <w:color w:val="auto"/>
        </w:rPr>
        <w:t>. The terms of any ISO granted under the Plan shall comply in all respects with the provisions of Section 422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Code. ISOs may only be granted to Eligible Persons who are employees of the Company or employees of a parent or any subsidiary corporation of the Company. Except as otherwise provided in </w:t>
      </w:r>
      <w:r>
        <w:rPr>
          <w:rFonts w:ascii="Arial" w:cs="Arial" w:eastAsia="Arial" w:hAnsi="Arial"/>
          <w:sz w:val="16"/>
          <w:szCs w:val="16"/>
          <w:u w:val="single" w:color="auto"/>
          <w:color w:val="auto"/>
        </w:rPr>
        <w:t>Section 8</w:t>
      </w:r>
      <w:r>
        <w:rPr>
          <w:rFonts w:ascii="Arial" w:cs="Arial" w:eastAsia="Arial" w:hAnsi="Arial"/>
          <w:sz w:val="16"/>
          <w:szCs w:val="16"/>
          <w:color w:val="auto"/>
        </w:rPr>
        <w:t>, no term of the Plan relating to ISOs shall be interpreted, amended or altered, nor shall any discretion or authority granted under the Plan be exercised, so as to disqualify either the Plan or any ISO under Section 422 of the Code, unless notice has been provided to the Participant that such change will result in such disqualification. ISOs shall not be granted more than ten years after the earlier of the adoption of the Plan or the approval of the Plan by the Company’s stockholders. Notwithstanding the foregoing, to the extent that the aggregate Fair Market Value of shares of Stock subject to an ISO and the aggregate Fair Market Value of shares of stock of any parent or subsidiary corporation (within the meaning of Sections 424(e) and (f) of the Code) subject to any other incentive stock options of the Company or a parent or subsidiary corporation (within the meaning of Sections 424(e) and (f) of the Code) that are exercisable for the first time by a Participant during any calendar year exceeds $100,000, or such other amount as may be prescribed under Section 422 of the Code, such excess shall be treated as Nonstatutory Options in accordance with the Code. As used in the previous sentence, Fair Market Value shall be determined as of the date the ISO is granted. If a Participant shall make any disposition of shares of Stock issued pursuant to an ISO under the circumstances described in Section 421(b) of the Code (relating to disqualifying dispositions), the Participant shall notify the Company of such disposition within the time provided to do so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338455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26" w:name="page127"/>
    <w:bookmarkEnd w:id="126"/>
    <w:p>
      <w:pPr>
        <w:ind w:left="1508" w:hanging="374"/>
        <w:spacing w:after="0"/>
        <w:tabs>
          <w:tab w:leader="none" w:pos="1508" w:val="left"/>
        </w:tabs>
        <w:numPr>
          <w:ilvl w:val="1"/>
          <w:numId w:val="82"/>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Restricted Stock</w:t>
      </w:r>
      <w:r>
        <w:rPr>
          <w:rFonts w:ascii="Arial" w:cs="Arial" w:eastAsia="Arial" w:hAnsi="Arial"/>
          <w:sz w:val="16"/>
          <w:szCs w:val="16"/>
          <w:color w:val="auto"/>
        </w:rPr>
        <w:t>. The Committee is authorized to grant Restricted Stock to Eligible Persons on the following terms and conditions:</w:t>
      </w:r>
    </w:p>
    <w:p>
      <w:pPr>
        <w:spacing w:after="0" w:line="248" w:lineRule="exact"/>
        <w:rPr>
          <w:rFonts w:ascii="Arial" w:cs="Arial" w:eastAsia="Arial" w:hAnsi="Arial"/>
          <w:sz w:val="16"/>
          <w:szCs w:val="16"/>
          <w:color w:val="auto"/>
        </w:rPr>
      </w:pPr>
    </w:p>
    <w:p>
      <w:pPr>
        <w:jc w:val="both"/>
        <w:ind w:left="8" w:firstLine="1612"/>
        <w:spacing w:after="0" w:line="314" w:lineRule="auto"/>
        <w:tabs>
          <w:tab w:leader="none" w:pos="1978" w:val="left"/>
        </w:tabs>
        <w:numPr>
          <w:ilvl w:val="2"/>
          <w:numId w:val="82"/>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Restrictions</w:t>
      </w:r>
      <w:r>
        <w:rPr>
          <w:rFonts w:ascii="Arial" w:cs="Arial" w:eastAsia="Arial" w:hAnsi="Arial"/>
          <w:sz w:val="16"/>
          <w:szCs w:val="16"/>
          <w:color w:val="auto"/>
        </w:rPr>
        <w:t>. Restricted Stock shall be subject to such restrictions on transferability, risk of forfeiture and other restrictions, if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as the Committee may impose. Except as provided in </w:t>
      </w:r>
      <w:r>
        <w:rPr>
          <w:rFonts w:ascii="Arial" w:cs="Arial" w:eastAsia="Arial" w:hAnsi="Arial"/>
          <w:sz w:val="16"/>
          <w:szCs w:val="16"/>
          <w:u w:val="single" w:color="auto"/>
          <w:color w:val="auto"/>
        </w:rPr>
        <w:t>Section 7(a)(iii)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7(a)(iv)</w:t>
      </w:r>
      <w:r>
        <w:rPr>
          <w:rFonts w:ascii="Arial" w:cs="Arial" w:eastAsia="Arial" w:hAnsi="Arial"/>
          <w:sz w:val="16"/>
          <w:szCs w:val="16"/>
          <w:color w:val="auto"/>
        </w:rPr>
        <w:t>, during the restricted period applicable to the Restricted Stock, the Restricted Stock may not be sold, transferred, pledged, hedged, hypothecated, margined or otherwise encumbered by the Participant.</w:t>
      </w:r>
    </w:p>
    <w:p>
      <w:pPr>
        <w:spacing w:after="0" w:line="141" w:lineRule="exact"/>
        <w:rPr>
          <w:rFonts w:ascii="Arial" w:cs="Arial" w:eastAsia="Arial" w:hAnsi="Arial"/>
          <w:sz w:val="16"/>
          <w:szCs w:val="16"/>
          <w:color w:val="auto"/>
        </w:rPr>
      </w:pPr>
    </w:p>
    <w:p>
      <w:pPr>
        <w:jc w:val="both"/>
        <w:ind w:left="8" w:firstLine="1612"/>
        <w:spacing w:after="0" w:line="274" w:lineRule="auto"/>
        <w:tabs>
          <w:tab w:leader="none" w:pos="2028" w:val="left"/>
        </w:tabs>
        <w:numPr>
          <w:ilvl w:val="2"/>
          <w:numId w:val="82"/>
        </w:numPr>
        <w:rPr>
          <w:rFonts w:ascii="Arial" w:cs="Arial" w:eastAsia="Arial" w:hAnsi="Arial"/>
          <w:sz w:val="17"/>
          <w:szCs w:val="17"/>
          <w:color w:val="auto"/>
        </w:rPr>
      </w:pPr>
      <w:r>
        <w:rPr>
          <w:rFonts w:ascii="Arial" w:cs="Arial" w:eastAsia="Arial" w:hAnsi="Arial"/>
          <w:sz w:val="17"/>
          <w:szCs w:val="17"/>
          <w:b w:val="1"/>
          <w:bCs w:val="1"/>
          <w:u w:val="single" w:color="auto"/>
          <w:color w:val="auto"/>
        </w:rPr>
        <w:t>Dividends and Splits</w:t>
      </w:r>
      <w:r>
        <w:rPr>
          <w:rFonts w:ascii="Arial" w:cs="Arial" w:eastAsia="Arial" w:hAnsi="Arial"/>
          <w:sz w:val="17"/>
          <w:szCs w:val="17"/>
          <w:color w:val="auto"/>
        </w:rPr>
        <w:t>. As a condition to the grant of an Award of Restricted Stock, the Committee may allow a Participant to</w:t>
      </w:r>
      <w:r>
        <w:rPr>
          <w:rFonts w:ascii="Arial" w:cs="Arial" w:eastAsia="Arial" w:hAnsi="Arial"/>
          <w:sz w:val="17"/>
          <w:szCs w:val="17"/>
          <w:b w:val="1"/>
          <w:bCs w:val="1"/>
          <w:color w:val="auto"/>
        </w:rPr>
        <w:t xml:space="preserve"> </w:t>
      </w:r>
      <w:r>
        <w:rPr>
          <w:rFonts w:ascii="Arial" w:cs="Arial" w:eastAsia="Arial" w:hAnsi="Arial"/>
          <w:sz w:val="17"/>
          <w:szCs w:val="17"/>
          <w:color w:val="auto"/>
        </w:rPr>
        <w:t>elect, or may require, that any cash dividends paid on a share of Restricted Stock be automatically reinvested in additional shares of Restricted Stock, applied to the purchase of additional Awards or deferred without interest to the date of vesting of the associated Award of Restricted Stock. Unless otherwise determined by the Committee and specified in the applicable Award Agreement, Stock distributed in connection with a Stock split or Stock dividend, and other property (other than cash) distributed as a dividend, shall be subject to restrictions and a risk of forfeiture to the same extent as the Restricted Stock with respect to which such Stock or other property has been distributed.</w:t>
      </w:r>
    </w:p>
    <w:p>
      <w:pPr>
        <w:spacing w:after="0" w:line="173" w:lineRule="exact"/>
        <w:rPr>
          <w:rFonts w:ascii="Arial" w:cs="Arial" w:eastAsia="Arial" w:hAnsi="Arial"/>
          <w:sz w:val="17"/>
          <w:szCs w:val="17"/>
          <w:color w:val="auto"/>
        </w:rPr>
      </w:pPr>
    </w:p>
    <w:p>
      <w:pPr>
        <w:jc w:val="both"/>
        <w:ind w:left="8" w:firstLine="1126"/>
        <w:spacing w:after="0" w:line="266" w:lineRule="auto"/>
        <w:tabs>
          <w:tab w:leader="none" w:pos="1532" w:val="left"/>
        </w:tabs>
        <w:numPr>
          <w:ilvl w:val="1"/>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Awards</w:t>
      </w:r>
      <w:r>
        <w:rPr>
          <w:rFonts w:ascii="Arial" w:cs="Arial" w:eastAsia="Arial" w:hAnsi="Arial"/>
          <w:sz w:val="18"/>
          <w:szCs w:val="18"/>
          <w:color w:val="auto"/>
        </w:rPr>
        <w:t>. The Committee is authorized to grant Stock Awards to Eligible Persons as a bonus, as additional compensation, or in</w:t>
      </w:r>
      <w:r>
        <w:rPr>
          <w:rFonts w:ascii="Arial" w:cs="Arial" w:eastAsia="Arial" w:hAnsi="Arial"/>
          <w:sz w:val="18"/>
          <w:szCs w:val="18"/>
          <w:b w:val="1"/>
          <w:bCs w:val="1"/>
          <w:color w:val="auto"/>
        </w:rPr>
        <w:t xml:space="preserve"> </w:t>
      </w:r>
      <w:r>
        <w:rPr>
          <w:rFonts w:ascii="Arial" w:cs="Arial" w:eastAsia="Arial" w:hAnsi="Arial"/>
          <w:sz w:val="18"/>
          <w:szCs w:val="18"/>
          <w:color w:val="auto"/>
        </w:rPr>
        <w:t>lieu of cash compensation any such Eligible Person is otherwise entitled to receive, in such amounts and subject to such other terms as the Committee in its discretion determines to be appropriate.</w:t>
      </w:r>
    </w:p>
    <w:p>
      <w:pPr>
        <w:spacing w:after="0" w:line="175" w:lineRule="exact"/>
        <w:rPr>
          <w:rFonts w:ascii="Arial" w:cs="Arial" w:eastAsia="Arial" w:hAnsi="Arial"/>
          <w:sz w:val="18"/>
          <w:szCs w:val="18"/>
          <w:color w:val="auto"/>
        </w:rPr>
      </w:pPr>
    </w:p>
    <w:p>
      <w:pPr>
        <w:jc w:val="both"/>
        <w:ind w:left="8" w:firstLine="1126"/>
        <w:spacing w:after="0" w:line="271" w:lineRule="auto"/>
        <w:tabs>
          <w:tab w:leader="none" w:pos="1549" w:val="left"/>
        </w:tabs>
        <w:numPr>
          <w:ilvl w:val="1"/>
          <w:numId w:val="82"/>
        </w:numPr>
        <w:rPr>
          <w:rFonts w:ascii="Arial" w:cs="Arial" w:eastAsia="Arial" w:hAnsi="Arial"/>
          <w:sz w:val="17"/>
          <w:szCs w:val="17"/>
          <w:color w:val="auto"/>
        </w:rPr>
      </w:pPr>
      <w:r>
        <w:rPr>
          <w:rFonts w:ascii="Arial" w:cs="Arial" w:eastAsia="Arial" w:hAnsi="Arial"/>
          <w:sz w:val="17"/>
          <w:szCs w:val="17"/>
          <w:b w:val="1"/>
          <w:bCs w:val="1"/>
          <w:u w:val="single" w:color="auto"/>
          <w:color w:val="auto"/>
        </w:rPr>
        <w:t>Dividend Equivalents</w:t>
      </w:r>
      <w:r>
        <w:rPr>
          <w:rFonts w:ascii="Arial" w:cs="Arial" w:eastAsia="Arial" w:hAnsi="Arial"/>
          <w:sz w:val="17"/>
          <w:szCs w:val="17"/>
          <w:color w:val="auto"/>
        </w:rPr>
        <w:t>. The Committee is authorized to grant Dividend Equivalents to Eligible Persons, entitling any such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Person to receive cash, Stock, other Awards, or other property equal in value to dividends or other distributions paid with respect to a specified number of shares of Stock. Dividend Equivalents may be awarded on a free-standing basis or in connection with another Award (other than an award of Restricted Stock or a Stock Award). The Committee may provide that Dividend Equivalents shall be paid or distributed when accrued or at a later specified date and, if distributed at a later date, may be deemed to have been reinvested in additional Stock, Awards, or other investment vehicles or accrued in a bookkeeping account without interest, and subject to such restrictions on transferability and risks of forfeiture, as the Committee may specify. With respect to Dividend Equivalents granted in connection with another Award, absent a contrary provision in the Award Agreement, such Dividend Equivalents shall be subject to the same restrictions and risk of forfeiture as the Award with respect to which the dividends accrue and shall not be paid unless and until such Award has vested and been earned.</w:t>
      </w:r>
    </w:p>
    <w:p>
      <w:pPr>
        <w:spacing w:after="0" w:line="173" w:lineRule="exact"/>
        <w:rPr>
          <w:rFonts w:ascii="Arial" w:cs="Arial" w:eastAsia="Arial" w:hAnsi="Arial"/>
          <w:sz w:val="17"/>
          <w:szCs w:val="17"/>
          <w:color w:val="auto"/>
        </w:rPr>
      </w:pPr>
    </w:p>
    <w:p>
      <w:pPr>
        <w:jc w:val="both"/>
        <w:ind w:left="8" w:firstLine="1126"/>
        <w:spacing w:after="0" w:line="266" w:lineRule="auto"/>
        <w:tabs>
          <w:tab w:leader="none" w:pos="1515" w:val="left"/>
        </w:tabs>
        <w:numPr>
          <w:ilvl w:val="1"/>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Cash Awards</w:t>
      </w:r>
      <w:r>
        <w:rPr>
          <w:rFonts w:ascii="Arial" w:cs="Arial" w:eastAsia="Arial" w:hAnsi="Arial"/>
          <w:sz w:val="18"/>
          <w:szCs w:val="18"/>
          <w:color w:val="auto"/>
        </w:rPr>
        <w:t>. The Committee is authorized to grant Cash Awards, on a free-standing basis or as an element of, a supplement to, or</w:t>
      </w:r>
      <w:r>
        <w:rPr>
          <w:rFonts w:ascii="Arial" w:cs="Arial" w:eastAsia="Arial" w:hAnsi="Arial"/>
          <w:sz w:val="18"/>
          <w:szCs w:val="18"/>
          <w:b w:val="1"/>
          <w:bCs w:val="1"/>
          <w:color w:val="auto"/>
        </w:rPr>
        <w:t xml:space="preserve"> </w:t>
      </w:r>
      <w:r>
        <w:rPr>
          <w:rFonts w:ascii="Arial" w:cs="Arial" w:eastAsia="Arial" w:hAnsi="Arial"/>
          <w:sz w:val="18"/>
          <w:szCs w:val="18"/>
          <w:color w:val="auto"/>
        </w:rPr>
        <w:t>in lieu of any other Award under the Plan to Eligible Persons in such amounts and subject to such other terms as the Committee in its discretion determines to be appropriate.</w:t>
      </w:r>
    </w:p>
    <w:p>
      <w:pPr>
        <w:spacing w:after="0" w:line="175" w:lineRule="exact"/>
        <w:rPr>
          <w:rFonts w:ascii="Arial" w:cs="Arial" w:eastAsia="Arial" w:hAnsi="Arial"/>
          <w:sz w:val="18"/>
          <w:szCs w:val="18"/>
          <w:color w:val="auto"/>
        </w:rPr>
      </w:pPr>
    </w:p>
    <w:p>
      <w:pPr>
        <w:jc w:val="both"/>
        <w:ind w:left="8" w:firstLine="1126"/>
        <w:spacing w:after="0" w:line="284" w:lineRule="auto"/>
        <w:tabs>
          <w:tab w:leader="none" w:pos="1545" w:val="left"/>
        </w:tabs>
        <w:numPr>
          <w:ilvl w:val="1"/>
          <w:numId w:val="82"/>
        </w:numPr>
        <w:rPr>
          <w:rFonts w:ascii="Arial" w:cs="Arial" w:eastAsia="Arial" w:hAnsi="Arial"/>
          <w:sz w:val="16"/>
          <w:szCs w:val="16"/>
          <w:color w:val="auto"/>
        </w:rPr>
      </w:pPr>
      <w:r>
        <w:rPr>
          <w:rFonts w:ascii="Arial" w:cs="Arial" w:eastAsia="Arial" w:hAnsi="Arial"/>
          <w:sz w:val="16"/>
          <w:szCs w:val="16"/>
          <w:b w:val="1"/>
          <w:bCs w:val="1"/>
          <w:u w:val="single" w:color="auto"/>
          <w:color w:val="auto"/>
        </w:rPr>
        <w:t>Substitute Awards</w:t>
      </w:r>
      <w:r>
        <w:rPr>
          <w:rFonts w:ascii="Arial" w:cs="Arial" w:eastAsia="Arial" w:hAnsi="Arial"/>
          <w:sz w:val="16"/>
          <w:szCs w:val="16"/>
          <w:color w:val="auto"/>
        </w:rPr>
        <w:t>;</w:t>
      </w:r>
      <w:r>
        <w:rPr>
          <w:rFonts w:ascii="Arial" w:cs="Arial" w:eastAsia="Arial" w:hAnsi="Arial"/>
          <w:sz w:val="16"/>
          <w:szCs w:val="16"/>
          <w:b w:val="1"/>
          <w:bCs w:val="1"/>
          <w:color w:val="auto"/>
        </w:rPr>
        <w:t xml:space="preserve"> No Repricing</w:t>
      </w:r>
      <w:r>
        <w:rPr>
          <w:rFonts w:ascii="Arial" w:cs="Arial" w:eastAsia="Arial" w:hAnsi="Arial"/>
          <w:sz w:val="16"/>
          <w:szCs w:val="16"/>
          <w:color w:val="auto"/>
        </w:rPr>
        <w:t>. Awards may be granted in substitution or exchange for any other Award granted under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under another plan of the Company or an Affiliate of the Company or any other right of an Eligible Person to receive payment from the Company or an Affiliate of the Company. Awards may also be granted under the Plan in substitution for awards held by individuals who become Eligible Persons as a result of a merger, consolidation or acquisition of another entity or the assets of another entity by or with the Company or an Affiliate of the Company. Such Substitute Awards referred to in the immediately preceding sentence that are Options may have an Exercise Price that is less than the Fair Market Value of a share of Stock on the date of the substitution if such substitution complies with the Nonqualified Deferred Compensation Rules, Section 424 of the Code and the guidance and regulations promulgated thereunder, if applicable, and other applicable laws and exchange rules. Except as provided in this </w:t>
      </w:r>
      <w:r>
        <w:rPr>
          <w:rFonts w:ascii="Arial" w:cs="Arial" w:eastAsia="Arial" w:hAnsi="Arial"/>
          <w:sz w:val="16"/>
          <w:szCs w:val="16"/>
          <w:u w:val="single" w:color="auto"/>
          <w:color w:val="auto"/>
        </w:rPr>
        <w:t>Section 6(g)</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Section 8</w:t>
      </w:r>
      <w:r>
        <w:rPr>
          <w:rFonts w:ascii="Arial" w:cs="Arial" w:eastAsia="Arial" w:hAnsi="Arial"/>
          <w:sz w:val="16"/>
          <w:szCs w:val="16"/>
          <w:color w:val="auto"/>
        </w:rPr>
        <w:t>, without the approval of the stockholders of the Company, the terms of outstanding Awards may not be amended to</w:t>
      </w:r>
    </w:p>
    <w:p>
      <w:pPr>
        <w:spacing w:after="0" w:line="4" w:lineRule="exact"/>
        <w:rPr>
          <w:rFonts w:ascii="Arial" w:cs="Arial" w:eastAsia="Arial" w:hAnsi="Arial"/>
          <w:sz w:val="16"/>
          <w:szCs w:val="16"/>
          <w:color w:val="auto"/>
        </w:rPr>
      </w:pPr>
    </w:p>
    <w:p>
      <w:pPr>
        <w:jc w:val="both"/>
        <w:ind w:left="8" w:hanging="8"/>
        <w:spacing w:after="0" w:line="295" w:lineRule="auto"/>
        <w:tabs>
          <w:tab w:leader="none" w:pos="249"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reduce the Exercise Price of an outstanding Option, (ii) grant a new Option or other Award in substitution for, or upon the cancellation of, any previously granted Option that has the effect of reducing the Exercise Price thereof, (iii) exchange any Option for Stock, cash or other consideration when the Exercise Price per share of Stock under such Option exceeds the Fair Market Value of a share of Stock or (iv) take any other action that would be considered a “repricing” of an Option under the applicable listing standards of the national securities exchange on which the Stock is listed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334010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1903730</wp:posOffset>
            </wp:positionH>
            <wp:positionV relativeFrom="paragraph">
              <wp:posOffset>-1559560</wp:posOffset>
            </wp:positionV>
            <wp:extent cx="6788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ectPr>
          <w:pgSz w:w="11900" w:h="16838" w:orient="portrait"/>
          <w:cols w:equalWidth="0" w:num="1">
            <w:col w:w="11088"/>
          </w:cols>
          <w:pgMar w:left="472" w:top="580" w:right="339" w:bottom="1440" w:gutter="0" w:footer="0" w:header="0"/>
        </w:sectPr>
      </w:pPr>
    </w:p>
    <w:bookmarkStart w:id="127" w:name="page128"/>
    <w:bookmarkEnd w:id="127"/>
    <w:p>
      <w:pPr>
        <w:ind w:left="500" w:hanging="500"/>
        <w:spacing w:after="0"/>
        <w:tabs>
          <w:tab w:leader="none" w:pos="5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Provisions Applicable to Awards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860" w:hanging="374"/>
        <w:spacing w:after="0"/>
        <w:tabs>
          <w:tab w:leader="none" w:pos="860" w:val="left"/>
        </w:tabs>
        <w:numPr>
          <w:ilvl w:val="1"/>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 on Transfer of Awards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40" w:firstLine="1450"/>
        <w:spacing w:after="0" w:line="286" w:lineRule="auto"/>
        <w:tabs>
          <w:tab w:leader="none" w:pos="1168" w:val="left"/>
        </w:tabs>
        <w:numPr>
          <w:ilvl w:val="2"/>
          <w:numId w:val="84"/>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Sections 7(a)(iii)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each Option shall be exercisable only by the Participant during the Participant’s lifetime, or by the person to whom the Participant’s rights shall pass by will or the laws of descent and distribution. Notwithstanding anything to the contrary in this </w:t>
      </w:r>
      <w:r>
        <w:rPr>
          <w:rFonts w:ascii="Arial" w:cs="Arial" w:eastAsia="Arial" w:hAnsi="Arial"/>
          <w:sz w:val="17"/>
          <w:szCs w:val="17"/>
          <w:u w:val="single" w:color="auto"/>
          <w:color w:val="auto"/>
        </w:rPr>
        <w:t>Section 7(a)</w:t>
      </w:r>
      <w:r>
        <w:rPr>
          <w:rFonts w:ascii="Arial" w:cs="Arial" w:eastAsia="Arial" w:hAnsi="Arial"/>
          <w:sz w:val="17"/>
          <w:szCs w:val="17"/>
          <w:color w:val="auto"/>
        </w:rPr>
        <w:t>, an ISO shall not be transferable other than by will or the laws of descent and distribution.</w:t>
      </w:r>
    </w:p>
    <w:p>
      <w:pPr>
        <w:spacing w:after="0" w:line="165" w:lineRule="exact"/>
        <w:rPr>
          <w:rFonts w:ascii="Arial" w:cs="Arial" w:eastAsia="Arial" w:hAnsi="Arial"/>
          <w:sz w:val="17"/>
          <w:szCs w:val="17"/>
          <w:color w:val="auto"/>
        </w:rPr>
      </w:pPr>
    </w:p>
    <w:p>
      <w:pPr>
        <w:jc w:val="both"/>
        <w:ind w:left="-640" w:firstLine="1450"/>
        <w:spacing w:after="0" w:line="311" w:lineRule="auto"/>
        <w:tabs>
          <w:tab w:leader="none" w:pos="1245" w:val="left"/>
        </w:tabs>
        <w:numPr>
          <w:ilvl w:val="2"/>
          <w:numId w:val="84"/>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Sections 7(a)(i)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(iv)</w:t>
      </w:r>
      <w:r>
        <w:rPr>
          <w:rFonts w:ascii="Arial" w:cs="Arial" w:eastAsia="Arial" w:hAnsi="Arial"/>
          <w:sz w:val="16"/>
          <w:szCs w:val="16"/>
          <w:color w:val="auto"/>
        </w:rPr>
        <w:t>, no Award, other than a Stock Award, and no right under any such Award, may be assigned, alienated, pledged, attached, sold or otherwise transferred or encumbered by a Participant and any such purported assignment, alienation, pledge, attachment, sale, transfer or encumbrance shall be void and unenforceable against the Company or any Affiliate of the Company.</w:t>
      </w:r>
    </w:p>
    <w:p>
      <w:pPr>
        <w:spacing w:after="0" w:line="148" w:lineRule="exact"/>
        <w:rPr>
          <w:rFonts w:ascii="Arial" w:cs="Arial" w:eastAsia="Arial" w:hAnsi="Arial"/>
          <w:sz w:val="16"/>
          <w:szCs w:val="16"/>
          <w:color w:val="auto"/>
        </w:rPr>
      </w:pPr>
    </w:p>
    <w:p>
      <w:pPr>
        <w:ind w:left="-640" w:right="20" w:firstLine="1450"/>
        <w:spacing w:after="0" w:line="277" w:lineRule="auto"/>
        <w:tabs>
          <w:tab w:leader="none" w:pos="1317" w:val="left"/>
        </w:tabs>
        <w:numPr>
          <w:ilvl w:val="2"/>
          <w:numId w:val="84"/>
        </w:numPr>
        <w:rPr>
          <w:rFonts w:ascii="Arial" w:cs="Arial" w:eastAsia="Arial" w:hAnsi="Arial"/>
          <w:sz w:val="18"/>
          <w:szCs w:val="18"/>
          <w:color w:val="auto"/>
        </w:rPr>
      </w:pPr>
      <w:r>
        <w:rPr>
          <w:rFonts w:ascii="Arial" w:cs="Arial" w:eastAsia="Arial" w:hAnsi="Arial"/>
          <w:sz w:val="18"/>
          <w:szCs w:val="18"/>
          <w:color w:val="auto"/>
        </w:rPr>
        <w:t>To the extent specifically provided by the Committee, an Award may be transferred by a Participant on such terms and conditions as the Committee may from time to time establish.</w:t>
      </w:r>
    </w:p>
    <w:p>
      <w:pPr>
        <w:spacing w:after="0" w:line="170" w:lineRule="exact"/>
        <w:rPr>
          <w:rFonts w:ascii="Arial" w:cs="Arial" w:eastAsia="Arial" w:hAnsi="Arial"/>
          <w:sz w:val="18"/>
          <w:szCs w:val="18"/>
          <w:color w:val="auto"/>
        </w:rPr>
      </w:pPr>
    </w:p>
    <w:p>
      <w:pPr>
        <w:ind w:left="-640" w:firstLine="1450"/>
        <w:spacing w:after="0" w:line="277" w:lineRule="auto"/>
        <w:tabs>
          <w:tab w:leader="none" w:pos="1283"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 Award may be transferred pursuant to a domestic relations order entered or approved by a court of competent jurisdiction upon delivery to the Company of a written request for such transfer and a certified copy of such order.</w:t>
      </w:r>
    </w:p>
    <w:p>
      <w:pPr>
        <w:spacing w:after="0" w:line="166" w:lineRule="exact"/>
        <w:rPr>
          <w:rFonts w:ascii="Arial" w:cs="Arial" w:eastAsia="Arial" w:hAnsi="Arial"/>
          <w:sz w:val="18"/>
          <w:szCs w:val="18"/>
          <w:color w:val="auto"/>
        </w:rPr>
      </w:pPr>
    </w:p>
    <w:p>
      <w:pPr>
        <w:jc w:val="both"/>
        <w:ind w:left="-640" w:firstLine="1126"/>
        <w:spacing w:after="0" w:line="273" w:lineRule="auto"/>
        <w:tabs>
          <w:tab w:leader="none" w:pos="911" w:val="left"/>
        </w:tabs>
        <w:numPr>
          <w:ilvl w:val="1"/>
          <w:numId w:val="84"/>
        </w:numPr>
        <w:rPr>
          <w:rFonts w:ascii="Arial" w:cs="Arial" w:eastAsia="Arial" w:hAnsi="Arial"/>
          <w:sz w:val="17"/>
          <w:szCs w:val="17"/>
          <w:color w:val="auto"/>
        </w:rPr>
      </w:pPr>
      <w:r>
        <w:rPr>
          <w:rFonts w:ascii="Arial" w:cs="Arial" w:eastAsia="Arial" w:hAnsi="Arial"/>
          <w:sz w:val="17"/>
          <w:szCs w:val="17"/>
          <w:b w:val="1"/>
          <w:bCs w:val="1"/>
          <w:u w:val="single" w:color="auto"/>
          <w:color w:val="auto"/>
        </w:rPr>
        <w:t>Form and Timing of Payment under Awards; Deferrals</w:t>
      </w:r>
      <w:r>
        <w:rPr>
          <w:rFonts w:ascii="Arial" w:cs="Arial" w:eastAsia="Arial" w:hAnsi="Arial"/>
          <w:sz w:val="17"/>
          <w:szCs w:val="17"/>
          <w:color w:val="auto"/>
        </w:rPr>
        <w:t>. Subject to the terms of the Plan and any applicable Award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payments to be made by the Company or any of its Affiliates upon the exercise or settlement of an Award may be made in such forms as the Committee shall determine in its discretion, including cash, Stock, other Awards or other property, and may be made in a single payment or transfer, in installments, or on a deferred basis (which may be required by the Committee or permitted at the election of the Participant on terms and conditions established by the Committee);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deferred or installment payments will be set forth in the Award Agreement. Payments may include provisions for the payment or crediting of reasonable interest on installment or deferred payments or the grant or crediting of Dividend Equivalents or other amounts in respect of installment or deferred payments denominated in Stock.</w:t>
      </w:r>
    </w:p>
    <w:p>
      <w:pPr>
        <w:spacing w:after="0" w:line="171" w:lineRule="exact"/>
        <w:rPr>
          <w:rFonts w:ascii="Arial" w:cs="Arial" w:eastAsia="Arial" w:hAnsi="Arial"/>
          <w:sz w:val="17"/>
          <w:szCs w:val="17"/>
          <w:color w:val="auto"/>
        </w:rPr>
      </w:pPr>
    </w:p>
    <w:p>
      <w:pPr>
        <w:jc w:val="both"/>
        <w:ind w:left="-640" w:firstLine="1126"/>
        <w:spacing w:after="0" w:line="254" w:lineRule="auto"/>
        <w:tabs>
          <w:tab w:leader="none" w:pos="901" w:val="left"/>
        </w:tabs>
        <w:numPr>
          <w:ilvl w:val="1"/>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Evidencing Stock</w:t>
      </w:r>
      <w:r>
        <w:rPr>
          <w:rFonts w:ascii="Arial" w:cs="Arial" w:eastAsia="Arial" w:hAnsi="Arial"/>
          <w:sz w:val="18"/>
          <w:szCs w:val="18"/>
          <w:color w:val="auto"/>
        </w:rPr>
        <w:t>. The Stock or other securities of the Company delivered pursuant to an Award may be evidenced in any manner</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appropriate by the Committee in its sole discretion, including in the form of a certificate issued in the name of the Participant or by book entry, electronic or otherwise, and shall be subject to such stop transfer orders and other restrictions as the Committee may deem advisable under the Plan or the rules, regulations, and other requirements of the SEC, any stock exchange upon which such Stock or other securities are then listed, and any applicable federal, state or other laws, and the Committee may cause a legend or legends to be inscribed on any such certificates to make appropriate reference to such restrictions. Further, if certificates representing Restricted Stock are registered in the name of a Participant, the Company may retain physical possession of the certificates and may require that the Participant deliver a stock power to the Company, endorsed in blank, related to the Restricted Stock.</w:t>
      </w:r>
    </w:p>
    <w:p>
      <w:pPr>
        <w:spacing w:after="0" w:line="191" w:lineRule="exact"/>
        <w:rPr>
          <w:rFonts w:ascii="Arial" w:cs="Arial" w:eastAsia="Arial" w:hAnsi="Arial"/>
          <w:sz w:val="18"/>
          <w:szCs w:val="18"/>
          <w:color w:val="auto"/>
        </w:rPr>
      </w:pPr>
    </w:p>
    <w:p>
      <w:pPr>
        <w:ind w:left="-640" w:firstLine="1126"/>
        <w:spacing w:after="0" w:line="282" w:lineRule="auto"/>
        <w:tabs>
          <w:tab w:leader="none" w:pos="924" w:val="left"/>
        </w:tabs>
        <w:numPr>
          <w:ilvl w:val="1"/>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Consideration for Grants</w:t>
      </w:r>
      <w:r>
        <w:rPr>
          <w:rFonts w:ascii="Arial" w:cs="Arial" w:eastAsia="Arial" w:hAnsi="Arial"/>
          <w:sz w:val="18"/>
          <w:szCs w:val="18"/>
          <w:color w:val="auto"/>
        </w:rPr>
        <w:t>. Awards may be granted for such consideration, including services, as the Committee shall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but shall not be granted for less than the minimum lawful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337185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1120" w:top="580" w:right="339" w:bottom="1440" w:gutter="0" w:footer="0" w:header="0"/>
        </w:sectPr>
      </w:pPr>
    </w:p>
    <w:bookmarkStart w:id="128" w:name="page129"/>
    <w:bookmarkEnd w:id="128"/>
    <w:p>
      <w:pPr>
        <w:jc w:val="both"/>
        <w:ind w:left="8" w:firstLine="1126"/>
        <w:spacing w:after="0" w:line="281" w:lineRule="auto"/>
        <w:tabs>
          <w:tab w:leader="none" w:pos="1522" w:val="left"/>
        </w:tabs>
        <w:numPr>
          <w:ilvl w:val="2"/>
          <w:numId w:val="85"/>
        </w:numPr>
        <w:rPr>
          <w:rFonts w:ascii="Arial" w:cs="Arial" w:eastAsia="Arial" w:hAnsi="Arial"/>
          <w:sz w:val="17"/>
          <w:szCs w:val="17"/>
          <w:color w:val="auto"/>
        </w:rPr>
      </w:pPr>
      <w:r>
        <w:rPr>
          <w:rFonts w:ascii="Arial" w:cs="Arial" w:eastAsia="Arial" w:hAnsi="Arial"/>
          <w:sz w:val="17"/>
          <w:szCs w:val="17"/>
          <w:b w:val="1"/>
          <w:bCs w:val="1"/>
          <w:u w:val="single" w:color="auto"/>
          <w:color w:val="auto"/>
        </w:rPr>
        <w:t>Additional Agreements</w:t>
      </w:r>
      <w:r>
        <w:rPr>
          <w:rFonts w:ascii="Arial" w:cs="Arial" w:eastAsia="Arial" w:hAnsi="Arial"/>
          <w:sz w:val="17"/>
          <w:szCs w:val="17"/>
          <w:color w:val="auto"/>
        </w:rPr>
        <w:t>. Each Eligible Person to whom an Award is granted under the Plan may be required to agree in writing, as a</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to the grant of such Award or otherwise, to subject an Award that is exercised or settled following such Eligible Person’s termination of employment or service to a general release of claims and/or a noncompetition or other restricted covenant agreement in favor of the Company and its Affiliates, with the terms and conditions of such agreement(s) to be determined in good faith by the Committee.</w:t>
      </w:r>
    </w:p>
    <w:p>
      <w:pPr>
        <w:spacing w:after="0" w:line="164" w:lineRule="exact"/>
        <w:rPr>
          <w:rFonts w:ascii="Arial" w:cs="Arial" w:eastAsia="Arial" w:hAnsi="Arial"/>
          <w:sz w:val="17"/>
          <w:szCs w:val="17"/>
          <w:color w:val="auto"/>
        </w:rPr>
      </w:pPr>
    </w:p>
    <w:p>
      <w:pPr>
        <w:ind w:left="1148" w:hanging="500"/>
        <w:spacing w:after="0"/>
        <w:tabs>
          <w:tab w:leader="none" w:pos="1148" w:val="left"/>
        </w:tabs>
        <w:numPr>
          <w:ilvl w:val="1"/>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Subdivision or Consolidation; Recapitalization; Change in Control; Reorganization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left="8" w:firstLine="1126"/>
        <w:spacing w:after="0" w:line="277" w:lineRule="auto"/>
        <w:tabs>
          <w:tab w:leader="none" w:pos="1522" w:val="left"/>
        </w:tabs>
        <w:numPr>
          <w:ilvl w:val="2"/>
          <w:numId w:val="86"/>
        </w:numPr>
        <w:rPr>
          <w:rFonts w:ascii="Arial" w:cs="Arial" w:eastAsia="Arial" w:hAnsi="Arial"/>
          <w:sz w:val="17"/>
          <w:szCs w:val="17"/>
          <w:color w:val="auto"/>
        </w:rPr>
      </w:pPr>
      <w:r>
        <w:rPr>
          <w:rFonts w:ascii="Arial" w:cs="Arial" w:eastAsia="Arial" w:hAnsi="Arial"/>
          <w:sz w:val="17"/>
          <w:szCs w:val="17"/>
          <w:b w:val="1"/>
          <w:bCs w:val="1"/>
          <w:u w:val="single" w:color="auto"/>
          <w:color w:val="auto"/>
        </w:rPr>
        <w:t>Existence of Plans and Awards</w:t>
      </w:r>
      <w:r>
        <w:rPr>
          <w:rFonts w:ascii="Arial" w:cs="Arial" w:eastAsia="Arial" w:hAnsi="Arial"/>
          <w:sz w:val="17"/>
          <w:szCs w:val="17"/>
          <w:color w:val="auto"/>
        </w:rPr>
        <w:t>. The existence of the Plan and the Awards granted hereunder shall not affect in any way the right or</w:t>
      </w:r>
      <w:r>
        <w:rPr>
          <w:rFonts w:ascii="Arial" w:cs="Arial" w:eastAsia="Arial" w:hAnsi="Arial"/>
          <w:sz w:val="17"/>
          <w:szCs w:val="17"/>
          <w:b w:val="1"/>
          <w:bCs w:val="1"/>
          <w:color w:val="auto"/>
        </w:rPr>
        <w:t xml:space="preserve"> </w:t>
      </w:r>
      <w:r>
        <w:rPr>
          <w:rFonts w:ascii="Arial" w:cs="Arial" w:eastAsia="Arial" w:hAnsi="Arial"/>
          <w:sz w:val="17"/>
          <w:szCs w:val="17"/>
          <w:color w:val="auto"/>
        </w:rPr>
        <w:t>power of the Company, the Board or the stockholders of the Company to make or authorize any adjustment, recapitalization, reorganization or other change in the Company’s capital structure or its business, any merger or consolidation of the Company, any issue of debt or equity securities ahead of or affecting Stock or the rights thereof, the dissolution or liquidation of the Company or any sale, lease, exchange or other disposition of all or any part of its assets or business or any other corporate act or proceeding.</w:t>
      </w:r>
    </w:p>
    <w:p>
      <w:pPr>
        <w:spacing w:after="0" w:line="167" w:lineRule="exact"/>
        <w:rPr>
          <w:rFonts w:ascii="Arial" w:cs="Arial" w:eastAsia="Arial" w:hAnsi="Arial"/>
          <w:sz w:val="17"/>
          <w:szCs w:val="17"/>
          <w:color w:val="auto"/>
        </w:rPr>
      </w:pPr>
    </w:p>
    <w:p>
      <w:pPr>
        <w:jc w:val="both"/>
        <w:ind w:left="8" w:firstLine="1126"/>
        <w:spacing w:after="0" w:line="261" w:lineRule="auto"/>
        <w:tabs>
          <w:tab w:leader="none" w:pos="1545" w:val="left"/>
        </w:tabs>
        <w:numPr>
          <w:ilvl w:val="2"/>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Issuances</w:t>
      </w:r>
      <w:r>
        <w:rPr>
          <w:rFonts w:ascii="Arial" w:cs="Arial" w:eastAsia="Arial" w:hAnsi="Arial"/>
          <w:sz w:val="18"/>
          <w:szCs w:val="18"/>
          <w:color w:val="auto"/>
        </w:rPr>
        <w:t>. Except as expressly provided herein, the issuance by the Company of shares of stock of any class,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conversion of shares or obligations of the Company convertible into such shares or other securities, and in any case whether or not for fair value, shall not affect, and no adjustment by reason thereof shall be made with respect to, the number of shares of Stock subject to Awards theretofore granted or the purchase price per share of Stock, if applicable.</w:t>
      </w:r>
    </w:p>
    <w:p>
      <w:pPr>
        <w:spacing w:after="0" w:line="179" w:lineRule="exact"/>
        <w:rPr>
          <w:rFonts w:ascii="Arial" w:cs="Arial" w:eastAsia="Arial" w:hAnsi="Arial"/>
          <w:sz w:val="18"/>
          <w:szCs w:val="18"/>
          <w:color w:val="auto"/>
        </w:rPr>
      </w:pPr>
    </w:p>
    <w:p>
      <w:pPr>
        <w:ind w:left="8" w:firstLine="1126"/>
        <w:spacing w:after="0" w:line="282" w:lineRule="auto"/>
        <w:tabs>
          <w:tab w:leader="none" w:pos="1616" w:val="left"/>
        </w:tabs>
        <w:numPr>
          <w:ilvl w:val="2"/>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Subdivision or Consolidation of Shares</w:t>
      </w:r>
      <w:r>
        <w:rPr>
          <w:rFonts w:ascii="Arial" w:cs="Arial" w:eastAsia="Arial" w:hAnsi="Arial"/>
          <w:sz w:val="18"/>
          <w:szCs w:val="18"/>
          <w:color w:val="auto"/>
        </w:rPr>
        <w:t>. The terms of an Award and the share limitations under the Plan shall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by the Committee from time to time, in accordance with the following provisions:</w:t>
      </w:r>
    </w:p>
    <w:p>
      <w:pPr>
        <w:spacing w:after="0" w:line="165" w:lineRule="exact"/>
        <w:rPr>
          <w:rFonts w:ascii="Arial" w:cs="Arial" w:eastAsia="Arial" w:hAnsi="Arial"/>
          <w:sz w:val="18"/>
          <w:szCs w:val="18"/>
          <w:color w:val="auto"/>
        </w:rPr>
      </w:pPr>
    </w:p>
    <w:p>
      <w:pPr>
        <w:jc w:val="both"/>
        <w:ind w:left="8" w:firstLine="1612"/>
        <w:spacing w:after="0" w:line="287" w:lineRule="auto"/>
        <w:tabs>
          <w:tab w:leader="none" w:pos="2044" w:val="left"/>
        </w:tabs>
        <w:numPr>
          <w:ilvl w:val="3"/>
          <w:numId w:val="86"/>
        </w:numPr>
        <w:rPr>
          <w:rFonts w:ascii="Arial" w:cs="Arial" w:eastAsia="Arial" w:hAnsi="Arial"/>
          <w:sz w:val="16"/>
          <w:szCs w:val="16"/>
          <w:color w:val="auto"/>
        </w:rPr>
      </w:pPr>
      <w:r>
        <w:rPr>
          <w:rFonts w:ascii="Arial" w:cs="Arial" w:eastAsia="Arial" w:hAnsi="Arial"/>
          <w:sz w:val="16"/>
          <w:szCs w:val="16"/>
          <w:color w:val="auto"/>
        </w:rPr>
        <w:t xml:space="preserve">If at any time, or from time to time, the Company shall subdivide as a whole (by reclassification, by a Stock split, by the issuance of a distribution on Stock payable in Stock, or otherwise) the number of shares of Stock then outstanding into a greater number of shares of Stock or in the event the Company distributes an extraordinary cash dividend, then, as appropriate (A) the maximum number of shares of Stock available for delivery with respect to Awards and applicable limitations with respect to Awards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(other than cash limits) shall be increased proportionately, and the kind of shares or other securities available for the Plan shall be appropriately adjusted, (B) the number of shares of Stock (or other kind of shares or securities) that may be acquired under any then-outstanding Award shall be increased proportionately, and (C) the price (including the Exercise Price) for each share of Stock (or other kind of shares or securities) subject to then-outstanding Awards shall be reduced proportionately, without changing the aggregate purchase price or value as to which outstanding Awards remain exercisable or subject to restrictions;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an extraordinary cash dividend that is not an Adjustment Event, the adjustment to the number of shares of Stock and the Exercise Price with respect to an outstanding Option may be made in such other manner as the Committee may determine that is permitted pursuant to applicable tax and other laws, rules and regulations. Notwithstanding the foregoing, Awards that already have a right to receive extraordinary cash dividends as a result of Dividend Equivalents or other dividend rights will not be adjusted as a result of an extraordinary cash dividend.</w:t>
      </w:r>
    </w:p>
    <w:p>
      <w:pPr>
        <w:spacing w:after="0" w:line="167" w:lineRule="exact"/>
        <w:rPr>
          <w:rFonts w:ascii="Arial" w:cs="Arial" w:eastAsia="Arial" w:hAnsi="Arial"/>
          <w:sz w:val="16"/>
          <w:szCs w:val="16"/>
          <w:color w:val="auto"/>
        </w:rPr>
      </w:pPr>
    </w:p>
    <w:p>
      <w:pPr>
        <w:jc w:val="both"/>
        <w:ind w:left="8" w:firstLine="1612"/>
        <w:spacing w:after="0" w:line="285" w:lineRule="auto"/>
        <w:tabs>
          <w:tab w:leader="none" w:pos="2049" w:val="left"/>
        </w:tabs>
        <w:numPr>
          <w:ilvl w:val="3"/>
          <w:numId w:val="86"/>
        </w:numPr>
        <w:rPr>
          <w:rFonts w:ascii="Arial" w:cs="Arial" w:eastAsia="Arial" w:hAnsi="Arial"/>
          <w:sz w:val="16"/>
          <w:szCs w:val="16"/>
          <w:color w:val="auto"/>
        </w:rPr>
      </w:pPr>
      <w:r>
        <w:rPr>
          <w:rFonts w:ascii="Arial" w:cs="Arial" w:eastAsia="Arial" w:hAnsi="Arial"/>
          <w:sz w:val="16"/>
          <w:szCs w:val="16"/>
          <w:color w:val="auto"/>
        </w:rPr>
        <w:t xml:space="preserve">If at any time, or from time to time, the Company shall consolidate as a whole (by reclassification, by reverse Stock split, or otherwise) the number of shares of Stock then outstanding into a lesser number of shares of Stock, then, as appropriate (A) the maximum number of shares of Stock available for delivery with respect to Awards and applicable limitations with respect to Awards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(other than cash limits) shall be decreased proportionately, and the kind of shares or other securities available for the Plan shall be appropriately adjusted, (B) the number of shares of Stock (or other kind of shares or securities) that may be acquired under any then-outstanding Award shall be decreased proportionately, and</w:t>
      </w:r>
    </w:p>
    <w:p>
      <w:pPr>
        <w:spacing w:after="0" w:line="1" w:lineRule="exact"/>
        <w:rPr>
          <w:rFonts w:ascii="Arial" w:cs="Arial" w:eastAsia="Arial" w:hAnsi="Arial"/>
          <w:sz w:val="16"/>
          <w:szCs w:val="16"/>
          <w:color w:val="auto"/>
        </w:rPr>
      </w:pPr>
    </w:p>
    <w:p>
      <w:pPr>
        <w:jc w:val="both"/>
        <w:ind w:left="8" w:right="20" w:hanging="8"/>
        <w:spacing w:after="0" w:line="255" w:lineRule="auto"/>
        <w:tabs>
          <w:tab w:leader="none" w:pos="30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price (including the Exercise Price) for each share of Stock (or other kind of shares or securities) subject to then-outstanding Awards shall be increased proportionately, without changing the aggregate purchase price or value as to which outstanding Awards remain exercisable or subject to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352425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8"/>
          </w:cols>
          <w:pgMar w:left="472" w:top="580" w:right="339" w:bottom="1440" w:gutter="0" w:footer="0" w:header="0"/>
        </w:sectPr>
      </w:pPr>
    </w:p>
    <w:bookmarkStart w:id="129" w:name="page130"/>
    <w:bookmarkEnd w:id="129"/>
    <w:p>
      <w:pPr>
        <w:jc w:val="both"/>
        <w:ind w:left="8" w:firstLine="1126"/>
        <w:spacing w:after="0" w:line="286" w:lineRule="auto"/>
        <w:tabs>
          <w:tab w:leader="none" w:pos="1572" w:val="left"/>
        </w:tabs>
        <w:numPr>
          <w:ilvl w:val="1"/>
          <w:numId w:val="88"/>
        </w:numPr>
        <w:rPr>
          <w:rFonts w:ascii="Arial" w:cs="Arial" w:eastAsia="Arial" w:hAnsi="Arial"/>
          <w:sz w:val="16"/>
          <w:szCs w:val="16"/>
          <w:color w:val="auto"/>
        </w:rPr>
      </w:pPr>
      <w:r>
        <w:rPr>
          <w:rFonts w:ascii="Arial" w:cs="Arial" w:eastAsia="Arial" w:hAnsi="Arial"/>
          <w:sz w:val="16"/>
          <w:szCs w:val="16"/>
          <w:b w:val="1"/>
          <w:bCs w:val="1"/>
          <w:u w:val="single" w:color="auto"/>
          <w:color w:val="auto"/>
        </w:rPr>
        <w:t>Recapitalization</w:t>
      </w:r>
      <w:r>
        <w:rPr>
          <w:rFonts w:ascii="Arial" w:cs="Arial" w:eastAsia="Arial" w:hAnsi="Arial"/>
          <w:sz w:val="16"/>
          <w:szCs w:val="16"/>
          <w:color w:val="auto"/>
        </w:rPr>
        <w:t>. In the event of any change in the capital structure or business of the Company or other corporate transaction or</w:t>
      </w:r>
      <w:r>
        <w:rPr>
          <w:rFonts w:ascii="Arial" w:cs="Arial" w:eastAsia="Arial" w:hAnsi="Arial"/>
          <w:sz w:val="16"/>
          <w:szCs w:val="16"/>
          <w:b w:val="1"/>
          <w:bCs w:val="1"/>
          <w:color w:val="auto"/>
        </w:rPr>
        <w:t xml:space="preserve"> </w:t>
      </w:r>
      <w:r>
        <w:rPr>
          <w:rFonts w:ascii="Arial" w:cs="Arial" w:eastAsia="Arial" w:hAnsi="Arial"/>
          <w:sz w:val="16"/>
          <w:szCs w:val="16"/>
          <w:color w:val="auto"/>
        </w:rPr>
        <w:t>event that would be considered an “equity restructuring” within the meaning of ASC Topic 718 and, in each case, that would result in an additional compensation expense to the Company pursuant to the provisions of ASC Topic 718, if adjustments to Awards with respect to such event were discretionary or otherwise not required (each such an event, an “</w:t>
      </w:r>
      <w:r>
        <w:rPr>
          <w:rFonts w:ascii="Arial" w:cs="Arial" w:eastAsia="Arial" w:hAnsi="Arial"/>
          <w:sz w:val="16"/>
          <w:szCs w:val="16"/>
          <w:b w:val="1"/>
          <w:bCs w:val="1"/>
          <w:u w:val="single" w:color="auto"/>
          <w:color w:val="auto"/>
        </w:rPr>
        <w:t>Adjustment Event</w:t>
      </w:r>
      <w:r>
        <w:rPr>
          <w:rFonts w:ascii="Arial" w:cs="Arial" w:eastAsia="Arial" w:hAnsi="Arial"/>
          <w:sz w:val="16"/>
          <w:szCs w:val="16"/>
          <w:color w:val="auto"/>
        </w:rPr>
        <w:t>”), then the Committee shall equitably adjust (i) the aggregate number or kind of shares that thereafter may be delivered under the Plan, (ii) the number or kind of shares or other property (including cash) subject to an Award,</w:t>
      </w:r>
    </w:p>
    <w:p>
      <w:pPr>
        <w:spacing w:after="0" w:line="2" w:lineRule="exact"/>
        <w:rPr>
          <w:rFonts w:ascii="Arial" w:cs="Arial" w:eastAsia="Arial" w:hAnsi="Arial"/>
          <w:sz w:val="16"/>
          <w:szCs w:val="16"/>
          <w:color w:val="auto"/>
        </w:rPr>
      </w:pPr>
    </w:p>
    <w:p>
      <w:pPr>
        <w:jc w:val="both"/>
        <w:ind w:left="8" w:hanging="8"/>
        <w:spacing w:after="0" w:line="271" w:lineRule="auto"/>
        <w:tabs>
          <w:tab w:leader="none" w:pos="341"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the terms and conditions of Awards, including the purchase price or Exercise Price of Awards and performance goals, as applicable, and (iv) the applicable limitations with respect to Awards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(other than cash limits) to equitably reflect such Adjustment Event (“</w:t>
      </w:r>
      <w:r>
        <w:rPr>
          <w:rFonts w:ascii="Arial" w:cs="Arial" w:eastAsia="Arial" w:hAnsi="Arial"/>
          <w:sz w:val="17"/>
          <w:szCs w:val="17"/>
          <w:b w:val="1"/>
          <w:bCs w:val="1"/>
          <w:u w:val="single" w:color="auto"/>
          <w:color w:val="auto"/>
        </w:rPr>
        <w:t>Equitable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Adjustments</w:t>
      </w:r>
      <w:r>
        <w:rPr>
          <w:rFonts w:ascii="Arial" w:cs="Arial" w:eastAsia="Arial" w:hAnsi="Arial"/>
          <w:sz w:val="17"/>
          <w:szCs w:val="17"/>
          <w:color w:val="auto"/>
        </w:rPr>
        <w:t>”). In the event of any change in the capital structure or business of the Company or other corporate transaction or event that would not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considered an Adjustment Event, and is not otherwise addressed in this </w:t>
      </w:r>
      <w:r>
        <w:rPr>
          <w:rFonts w:ascii="Arial" w:cs="Arial" w:eastAsia="Arial" w:hAnsi="Arial"/>
          <w:sz w:val="17"/>
          <w:szCs w:val="17"/>
          <w:u w:val="single" w:color="auto"/>
          <w:color w:val="auto"/>
        </w:rPr>
        <w:t>Section 8</w:t>
      </w:r>
      <w:r>
        <w:rPr>
          <w:rFonts w:ascii="Arial" w:cs="Arial" w:eastAsia="Arial" w:hAnsi="Arial"/>
          <w:sz w:val="17"/>
          <w:szCs w:val="17"/>
          <w:color w:val="auto"/>
        </w:rPr>
        <w:t>, the Committee shall have complete discretion to make Equitable Adjustments (if any) in such manner as it deems appropriate with respect to such other event.</w:t>
      </w:r>
    </w:p>
    <w:p>
      <w:pPr>
        <w:spacing w:after="0" w:line="174" w:lineRule="exact"/>
        <w:rPr>
          <w:rFonts w:ascii="Arial" w:cs="Arial" w:eastAsia="Arial" w:hAnsi="Arial"/>
          <w:sz w:val="17"/>
          <w:szCs w:val="17"/>
          <w:color w:val="auto"/>
        </w:rPr>
      </w:pPr>
    </w:p>
    <w:p>
      <w:pPr>
        <w:jc w:val="both"/>
        <w:ind w:left="8" w:firstLine="1126"/>
        <w:spacing w:after="0" w:line="256" w:lineRule="auto"/>
        <w:tabs>
          <w:tab w:leader="none" w:pos="1562" w:val="left"/>
        </w:tabs>
        <w:numPr>
          <w:ilvl w:val="1"/>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 and Other Events</w:t>
      </w:r>
      <w:r>
        <w:rPr>
          <w:rFonts w:ascii="Arial" w:cs="Arial" w:eastAsia="Arial" w:hAnsi="Arial"/>
          <w:sz w:val="18"/>
          <w:szCs w:val="18"/>
          <w:color w:val="auto"/>
        </w:rPr>
        <w:t>. In the event of a Change in Control or other changes in the Company or the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by reason of a recapitalization, reorganization, merger, consolidation, combination, exchange or other relevant change occurring after the date of the grant of any Award, the Committee, acting in its sole discretion without the consent or approval of any holder, may exercise any power enumerated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(including the power to accelerate vesting, waive any forfeiture conditions or otherwise modify or adjust any other condition or limitation regarding an Award) and may also effect one or more of the following alternatives, which may vary among individual holders and which may vary among Awards held by any individual holder:</w:t>
      </w:r>
    </w:p>
    <w:p>
      <w:pPr>
        <w:spacing w:after="0" w:line="191" w:lineRule="exact"/>
        <w:rPr>
          <w:rFonts w:ascii="Arial" w:cs="Arial" w:eastAsia="Arial" w:hAnsi="Arial"/>
          <w:sz w:val="18"/>
          <w:szCs w:val="18"/>
          <w:color w:val="auto"/>
        </w:rPr>
      </w:pPr>
    </w:p>
    <w:p>
      <w:pPr>
        <w:jc w:val="both"/>
        <w:ind w:left="8" w:firstLine="1612"/>
        <w:spacing w:after="0" w:line="263" w:lineRule="auto"/>
        <w:tabs>
          <w:tab w:leader="none" w:pos="1993" w:val="left"/>
        </w:tabs>
        <w:numPr>
          <w:ilvl w:val="2"/>
          <w:numId w:val="89"/>
        </w:numPr>
        <w:rPr>
          <w:rFonts w:ascii="Arial" w:cs="Arial" w:eastAsia="Arial" w:hAnsi="Arial"/>
          <w:sz w:val="18"/>
          <w:szCs w:val="18"/>
          <w:color w:val="auto"/>
        </w:rPr>
      </w:pPr>
      <w:r>
        <w:rPr>
          <w:rFonts w:ascii="Arial" w:cs="Arial" w:eastAsia="Arial" w:hAnsi="Arial"/>
          <w:sz w:val="18"/>
          <w:szCs w:val="18"/>
          <w:color w:val="auto"/>
        </w:rPr>
        <w:t>accelerate the time of exercisability of an Award so that such Award may be exercised in full or in part for a limited period of time on or before a date specified by the Committee, after which specified date all unexercised Awards and all rights of holders thereunder shall terminate;</w:t>
      </w:r>
    </w:p>
    <w:p>
      <w:pPr>
        <w:spacing w:after="0" w:line="183" w:lineRule="exact"/>
        <w:rPr>
          <w:rFonts w:ascii="Arial" w:cs="Arial" w:eastAsia="Arial" w:hAnsi="Arial"/>
          <w:sz w:val="18"/>
          <w:szCs w:val="18"/>
          <w:color w:val="auto"/>
        </w:rPr>
      </w:pPr>
    </w:p>
    <w:p>
      <w:pPr>
        <w:jc w:val="both"/>
        <w:ind w:left="8" w:firstLine="1612"/>
        <w:spacing w:after="0" w:line="254" w:lineRule="auto"/>
        <w:tabs>
          <w:tab w:leader="none" w:pos="2035" w:val="left"/>
        </w:tabs>
        <w:numPr>
          <w:ilvl w:val="2"/>
          <w:numId w:val="89"/>
        </w:numPr>
        <w:rPr>
          <w:rFonts w:ascii="Arial" w:cs="Arial" w:eastAsia="Arial" w:hAnsi="Arial"/>
          <w:sz w:val="18"/>
          <w:szCs w:val="18"/>
          <w:color w:val="auto"/>
        </w:rPr>
      </w:pPr>
      <w:r>
        <w:rPr>
          <w:rFonts w:ascii="Arial" w:cs="Arial" w:eastAsia="Arial" w:hAnsi="Arial"/>
          <w:sz w:val="18"/>
          <w:szCs w:val="18"/>
          <w:color w:val="auto"/>
        </w:rPr>
        <w:t xml:space="preserve">redeem in whole or in part outstanding Awards by requiring (A) the mandatory surrender to the Company by selected holders of some or all of the outstanding Awards held by such holders (irrespective of whether such Awards are then vested or exercisable) as of a date, specified by the Committee, in which event the Committee shall thereupon cancel such Awards and pay to each holder an amount of cash or other consideration per Award (other than a Dividend Equivalent or Cash Award, which the Committee may separately require to be surrendered in exchange for cash or other consideration determined by the Committee in its discretion) equal to the Change in Control Price, less the Exercise Price with respect to an Option, as applicable to such Awards or (B) the mandatory exercise by select holders of some or all of the outstanding Options as of a date, specified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 each case, that to the extent the Exercise Price of an Option exceeds the Change in Control Price, such Award may be cancelled for no consideration; or</w:t>
      </w:r>
    </w:p>
    <w:p>
      <w:pPr>
        <w:spacing w:after="0" w:line="191" w:lineRule="exact"/>
        <w:rPr>
          <w:rFonts w:ascii="Arial" w:cs="Arial" w:eastAsia="Arial" w:hAnsi="Arial"/>
          <w:sz w:val="18"/>
          <w:szCs w:val="18"/>
          <w:color w:val="auto"/>
        </w:rPr>
      </w:pPr>
    </w:p>
    <w:p>
      <w:pPr>
        <w:ind w:left="8" w:firstLine="1612"/>
        <w:spacing w:after="0" w:line="342" w:lineRule="auto"/>
        <w:tabs>
          <w:tab w:leader="none" w:pos="2083" w:val="left"/>
        </w:tabs>
        <w:numPr>
          <w:ilvl w:val="2"/>
          <w:numId w:val="89"/>
        </w:numPr>
        <w:rPr>
          <w:rFonts w:ascii="Arial" w:cs="Arial" w:eastAsia="Arial" w:hAnsi="Arial"/>
          <w:sz w:val="16"/>
          <w:szCs w:val="16"/>
          <w:color w:val="auto"/>
        </w:rPr>
      </w:pPr>
      <w:r>
        <w:rPr>
          <w:rFonts w:ascii="Arial" w:cs="Arial" w:eastAsia="Arial" w:hAnsi="Arial"/>
          <w:sz w:val="16"/>
          <w:szCs w:val="16"/>
          <w:color w:val="auto"/>
        </w:rPr>
        <w:t>make such adjustments to Awards then outstanding as the Committee deems appropriate to reflect such Change in Control or other such event (including the substitution, assumption, or continuation of Awards by the successor company or a parent or subsidiary thereof);</w:t>
      </w:r>
    </w:p>
    <w:p>
      <w:pPr>
        <w:spacing w:after="0" w:line="124" w:lineRule="exact"/>
        <w:rPr>
          <w:sz w:val="20"/>
          <w:szCs w:val="20"/>
          <w:color w:val="auto"/>
        </w:rPr>
      </w:pPr>
    </w:p>
    <w:p>
      <w:pPr>
        <w:jc w:val="both"/>
        <w:ind w:left="8"/>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so long as the event is not an Adjustment Event, the Committee may determine in its sole discretion that no adjustment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necessary to Awards then outstanding. If an Adjustment Event occurs, this </w:t>
      </w:r>
      <w:r>
        <w:rPr>
          <w:rFonts w:ascii="Arial" w:cs="Arial" w:eastAsia="Arial" w:hAnsi="Arial"/>
          <w:sz w:val="18"/>
          <w:szCs w:val="18"/>
          <w:u w:val="single" w:color="auto"/>
          <w:color w:val="auto"/>
        </w:rPr>
        <w:t>Section 8(e)</w:t>
      </w:r>
      <w:r>
        <w:rPr>
          <w:rFonts w:ascii="Arial" w:cs="Arial" w:eastAsia="Arial" w:hAnsi="Arial"/>
          <w:sz w:val="18"/>
          <w:szCs w:val="18"/>
          <w:color w:val="auto"/>
        </w:rPr>
        <w:t xml:space="preserve"> shall only apply to the extent it is not in conflict with </w:t>
      </w:r>
      <w:r>
        <w:rPr>
          <w:rFonts w:ascii="Arial" w:cs="Arial" w:eastAsia="Arial" w:hAnsi="Arial"/>
          <w:sz w:val="18"/>
          <w:szCs w:val="18"/>
          <w:u w:val="single" w:color="auto"/>
          <w:color w:val="auto"/>
        </w:rPr>
        <w:t>Section 8(d)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348615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8"/>
          </w:cols>
          <w:pgMar w:left="472" w:top="580" w:right="339" w:bottom="1440" w:gutter="0" w:footer="0" w:header="0"/>
        </w:sectPr>
      </w:pPr>
    </w:p>
    <w:bookmarkStart w:id="130" w:name="page131"/>
    <w:bookmarkEnd w:id="130"/>
    <w:p>
      <w:pPr>
        <w:ind w:left="1148" w:hanging="500"/>
        <w:spacing w:after="0"/>
        <w:tabs>
          <w:tab w:leader="none" w:pos="1148" w:val="left"/>
        </w:tabs>
        <w:numPr>
          <w:ilvl w:val="1"/>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left="8" w:firstLine="1126"/>
        <w:spacing w:after="0" w:line="268" w:lineRule="auto"/>
        <w:tabs>
          <w:tab w:leader="none" w:pos="1603" w:val="left"/>
        </w:tabs>
        <w:numPr>
          <w:ilvl w:val="2"/>
          <w:numId w:val="90"/>
        </w:numPr>
        <w:rPr>
          <w:rFonts w:ascii="Arial" w:cs="Arial" w:eastAsia="Arial" w:hAnsi="Arial"/>
          <w:sz w:val="17"/>
          <w:szCs w:val="17"/>
          <w:color w:val="auto"/>
        </w:rPr>
      </w:pPr>
      <w:r>
        <w:rPr>
          <w:rFonts w:ascii="Arial" w:cs="Arial" w:eastAsia="Arial" w:hAnsi="Arial"/>
          <w:sz w:val="17"/>
          <w:szCs w:val="17"/>
          <w:b w:val="1"/>
          <w:bCs w:val="1"/>
          <w:u w:val="single" w:color="auto"/>
          <w:color w:val="auto"/>
        </w:rPr>
        <w:t>Tax Withholding</w:t>
      </w:r>
      <w:r>
        <w:rPr>
          <w:rFonts w:ascii="Arial" w:cs="Arial" w:eastAsia="Arial" w:hAnsi="Arial"/>
          <w:sz w:val="17"/>
          <w:szCs w:val="17"/>
          <w:color w:val="auto"/>
        </w:rPr>
        <w:t>. The Company and any of its Affiliates are authorized to withhold from any Award granted, or any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relating to an Award, including from a distribution of Stock, taxes due or potentially payable in connection with any transaction involving an Award, and to take such other action as the Committee may deem advisable to enable the Company, its Affiliates and Participants to satisfy the payment of withholding taxes and other tax obligations relating to any Award in such amounts as may be determined by the Committee. The Committee shall determine, in its sole discretion, the form of payment acceptable for such tax withholding obligations, including the delivery of cash or cash equivalents, Stock (including through delivery of previously owned shares, net settlement, a broker-assisted sale, or other cashless withholding or reduction of the amount of shares otherwise issuable or delivered pursuant to the Award), other property, or any other legal consideration the Committee deems appropriate. Any determination made by the Committee to allow a Participant who is subject to Rule 16b-3 to pay taxes with shares of Stock through net settlement or previously owned shares shall be approved by either a committee made up of solely two or more Qualified Members or the full Board. If such tax withholding amounts are satisfied through net settlement or previously owned shares, the maximum number of shares of Stock that may be so withheld or surrendered shall be the number of shares of Stock that have an aggregate Fair Market Value on the date of withholding or surrender equal to the aggregate amount of such tax liabilities determined based on the greatest withholding rates for federal, state, foreign and/or local tax purposes, including payroll taxes, that may be utilized without creating adverse accounting treatment for the Company with respect to such Award, as determined by the Committee.</w:t>
      </w:r>
    </w:p>
    <w:p>
      <w:pPr>
        <w:spacing w:after="0" w:line="184" w:lineRule="exact"/>
        <w:rPr>
          <w:rFonts w:ascii="Arial" w:cs="Arial" w:eastAsia="Arial" w:hAnsi="Arial"/>
          <w:sz w:val="17"/>
          <w:szCs w:val="17"/>
          <w:color w:val="auto"/>
        </w:rPr>
      </w:pPr>
    </w:p>
    <w:p>
      <w:pPr>
        <w:jc w:val="both"/>
        <w:ind w:left="8" w:firstLine="1126"/>
        <w:spacing w:after="0" w:line="293" w:lineRule="auto"/>
        <w:tabs>
          <w:tab w:leader="none" w:pos="1545" w:val="left"/>
        </w:tabs>
        <w:numPr>
          <w:ilvl w:val="2"/>
          <w:numId w:val="90"/>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Limitation on Rights Conferred under Plan</w:t>
      </w:r>
      <w:r>
        <w:rPr>
          <w:rFonts w:ascii="Arial" w:cs="Arial" w:eastAsia="Arial" w:hAnsi="Arial"/>
          <w:sz w:val="16"/>
          <w:szCs w:val="16"/>
          <w:color w:val="auto"/>
        </w:rPr>
        <w:t>. Neither the Plan nor any action taken hereunder shall be construed as (i) giving any</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Person or Participant the right to continue as an Eligible Person or Participant or in the employ or service of the Company or any of its Affiliates,</w:t>
      </w:r>
    </w:p>
    <w:p>
      <w:pPr>
        <w:spacing w:after="0" w:line="1" w:lineRule="exact"/>
        <w:rPr>
          <w:rFonts w:ascii="Arial" w:cs="Arial" w:eastAsia="Arial" w:hAnsi="Arial"/>
          <w:sz w:val="16"/>
          <w:szCs w:val="16"/>
          <w:color w:val="auto"/>
        </w:rPr>
      </w:pPr>
    </w:p>
    <w:p>
      <w:pPr>
        <w:jc w:val="both"/>
        <w:ind w:left="8" w:hanging="8"/>
        <w:spacing w:after="0" w:line="273" w:lineRule="auto"/>
        <w:tabs>
          <w:tab w:leader="none" w:pos="275"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interfering in any way with the right of the Company or any of its Affiliates to terminate any Eligible Person’s or Participant’s employment or service relationship at any time, (iii) giving an Eligible Person or Participant any claim to be granted any Award under the Plan or to be treated uniformly with other Participants and/or employees and/or other service providers, or (iv) conferring on a Participant any of the rights of a stockholder of the Company unless and until the Participant is duly issued or transferred shares of Stock in accordance with the terms of an Award.</w:t>
      </w:r>
    </w:p>
    <w:p>
      <w:pPr>
        <w:spacing w:after="0" w:line="172" w:lineRule="exact"/>
        <w:rPr>
          <w:rFonts w:ascii="Arial" w:cs="Arial" w:eastAsia="Arial" w:hAnsi="Arial"/>
          <w:sz w:val="17"/>
          <w:szCs w:val="17"/>
          <w:color w:val="auto"/>
        </w:rPr>
      </w:pPr>
    </w:p>
    <w:p>
      <w:pPr>
        <w:jc w:val="both"/>
        <w:ind w:left="8" w:firstLine="1126"/>
        <w:spacing w:after="0" w:line="274" w:lineRule="auto"/>
        <w:tabs>
          <w:tab w:leader="none" w:pos="1549" w:val="left"/>
        </w:tabs>
        <w:numPr>
          <w:ilvl w:val="2"/>
          <w:numId w:val="91"/>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Submission to Jurisdiction</w:t>
      </w:r>
      <w:r>
        <w:rPr>
          <w:rFonts w:ascii="Arial" w:cs="Arial" w:eastAsia="Arial" w:hAnsi="Arial"/>
          <w:sz w:val="17"/>
          <w:szCs w:val="17"/>
          <w:color w:val="auto"/>
        </w:rPr>
        <w:t>. All questions arising with respect to the provisions of the Plan and Awards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application of the laws of the State of Delaware, without giving effect to any conflict of law provisions thereof, except to the extent Delaware law is preempted by federal law. The obligation of the Company to sell and deliver Stock hereunder is subject to applicable federal and state laws and to the approval of any governmental authority required in connection with the authorization, issuance, sale, or delivery of such Stock. With respect to any claim or dispute related to or arising under the Plan, the Company and each Participant who accepts an Award hereby consent to the exclusive jurisdiction, forum and venue of the state and federal courts located in Fort Worth, Texas.</w:t>
      </w:r>
    </w:p>
    <w:p>
      <w:pPr>
        <w:spacing w:after="0" w:line="173" w:lineRule="exact"/>
        <w:rPr>
          <w:rFonts w:ascii="Arial" w:cs="Arial" w:eastAsia="Arial" w:hAnsi="Arial"/>
          <w:sz w:val="17"/>
          <w:szCs w:val="17"/>
          <w:color w:val="auto"/>
        </w:rPr>
      </w:pPr>
    </w:p>
    <w:p>
      <w:pPr>
        <w:jc w:val="both"/>
        <w:ind w:left="8" w:firstLine="1126"/>
        <w:spacing w:after="0" w:line="269" w:lineRule="auto"/>
        <w:tabs>
          <w:tab w:leader="none" w:pos="1599" w:val="left"/>
        </w:tabs>
        <w:numPr>
          <w:ilvl w:val="2"/>
          <w:numId w:val="91"/>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 and Reformation</w:t>
      </w:r>
      <w:r>
        <w:rPr>
          <w:rFonts w:ascii="Arial" w:cs="Arial" w:eastAsia="Arial" w:hAnsi="Arial"/>
          <w:sz w:val="17"/>
          <w:szCs w:val="17"/>
          <w:color w:val="auto"/>
        </w:rPr>
        <w:t>. If any provision of the Plan or any Award is or becomes or is deemed to be invalid, illegal,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unenforceable in any jurisdiction or as to any person or Award, or would disqualify the Plan or any Award under any law deemed applicable by the Committee, such provision shall be construed or deemed amended to conform to the applicable law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If any of the terms or provisions of the Plan or any Award Agreement conflict with the requirements of Rule 16b-3 (as those terms or provisions are applied to Eligible Persons who are subject to Section 16 of the Exchange Act) or Section 422 of the Code (with respect to ISOs), then those conflicting terms or provisions shall be deemed inoperative to the extent they so conflict with the requirements of Rule 16b-3 (unless the Board or the Committee, as appropriate, has expressly determined that the Plan or such Award should not comply with Rule 16b-3) or Section 422 of the Code, in each case, only to the extent Rule 16b-3 and such sections of the Code are applicable. With respect to ISOs, if the Plan does not contain any provision required to be included herein under Section 422 of the Code, that provision shall be deemed to be incorporated herein with the same force and effect as if that provision had been set out at length 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to the extent any Option that is intended to qualify as an ISO cannot so qualify, that Option (to that extent) shall be deemed a Nonstatutory Option for all purposes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346075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8"/>
          </w:cols>
          <w:pgMar w:left="472" w:top="580" w:right="339" w:bottom="1440" w:gutter="0" w:footer="0" w:header="0"/>
        </w:sectPr>
      </w:pPr>
    </w:p>
    <w:bookmarkStart w:id="131" w:name="page132"/>
    <w:bookmarkEnd w:id="131"/>
    <w:p>
      <w:pPr>
        <w:jc w:val="both"/>
        <w:ind w:left="-960" w:firstLine="1126"/>
        <w:spacing w:after="0" w:line="258" w:lineRule="auto"/>
        <w:tabs>
          <w:tab w:leader="none" w:pos="648"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Unfunded Status of Awards</w:t>
      </w:r>
      <w:r>
        <w:rPr>
          <w:rFonts w:ascii="Arial" w:cs="Arial" w:eastAsia="Arial" w:hAnsi="Arial"/>
          <w:sz w:val="18"/>
          <w:szCs w:val="18"/>
          <w:color w:val="auto"/>
        </w:rPr>
        <w:t>;</w:t>
      </w:r>
      <w:r>
        <w:rPr>
          <w:rFonts w:ascii="Arial" w:cs="Arial" w:eastAsia="Arial" w:hAnsi="Arial"/>
          <w:sz w:val="18"/>
          <w:szCs w:val="18"/>
          <w:b w:val="1"/>
          <w:bCs w:val="1"/>
          <w:color w:val="auto"/>
        </w:rPr>
        <w:t xml:space="preserve"> No Trust or Fund Created</w:t>
      </w:r>
      <w:r>
        <w:rPr>
          <w:rFonts w:ascii="Arial" w:cs="Arial" w:eastAsia="Arial" w:hAnsi="Arial"/>
          <w:sz w:val="18"/>
          <w:szCs w:val="18"/>
          <w:color w:val="auto"/>
        </w:rPr>
        <w:t>. The Plan is intended to constitute an “unfunded” plan for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awards. Neither the Plan nor any Award shall create or be construed to create a trust or separate fund of any kind or a fiduciary relationship between the Company or any Affiliate of the Company and a Participant or any other person. To the extent that any person acquires a right to receive payments from the Company or any Affiliate of the Company pursuant to an Award, such right shall be no greater than the right of any general unsecured creditor of the Company or such Affiliate of the Company.</w:t>
      </w:r>
    </w:p>
    <w:p>
      <w:pPr>
        <w:spacing w:after="0" w:line="183" w:lineRule="exact"/>
        <w:rPr>
          <w:rFonts w:ascii="Arial" w:cs="Arial" w:eastAsia="Arial" w:hAnsi="Arial"/>
          <w:sz w:val="18"/>
          <w:szCs w:val="18"/>
          <w:color w:val="auto"/>
        </w:rPr>
      </w:pPr>
    </w:p>
    <w:p>
      <w:pPr>
        <w:jc w:val="both"/>
        <w:ind w:left="-960" w:firstLine="1126"/>
        <w:spacing w:after="0" w:line="256" w:lineRule="auto"/>
        <w:tabs>
          <w:tab w:leader="none" w:pos="534"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Nonexclusivity of the Plan</w:t>
      </w:r>
      <w:r>
        <w:rPr>
          <w:rFonts w:ascii="Arial" w:cs="Arial" w:eastAsia="Arial" w:hAnsi="Arial"/>
          <w:sz w:val="18"/>
          <w:szCs w:val="18"/>
          <w:color w:val="auto"/>
        </w:rPr>
        <w:t>. Neither the adoption of the Plan by the Board nor its submission to the stockholders of the Company for</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shall be construed as creating any limitations on the power of the Board or a committee thereof to adopt such other incentive arrangements as it may deem desirable. Nothing contained in the Plan shall be construed to prevent the Company or any of its Affiliates from taking any corporate action which is deemed by the Company or such Affiliate of the Company to be appropriate or in its best interest, whether or not such action would have an adverse effect on the Plan or any Award made under the Plan. No employee, beneficiary or other person shall have any claim against the Company or any of its Affiliates as a result of any such action.</w:t>
      </w:r>
    </w:p>
    <w:p>
      <w:pPr>
        <w:spacing w:after="0" w:line="187" w:lineRule="exact"/>
        <w:rPr>
          <w:rFonts w:ascii="Arial" w:cs="Arial" w:eastAsia="Arial" w:hAnsi="Arial"/>
          <w:sz w:val="18"/>
          <w:szCs w:val="18"/>
          <w:color w:val="auto"/>
        </w:rPr>
      </w:pPr>
    </w:p>
    <w:p>
      <w:pPr>
        <w:jc w:val="both"/>
        <w:ind w:left="-960" w:firstLine="1126"/>
        <w:spacing w:after="0" w:line="314" w:lineRule="auto"/>
        <w:tabs>
          <w:tab w:leader="none" w:pos="564" w:val="left"/>
        </w:tabs>
        <w:numPr>
          <w:ilvl w:val="0"/>
          <w:numId w:val="92"/>
        </w:numPr>
        <w:rPr>
          <w:rFonts w:ascii="Arial" w:cs="Arial" w:eastAsia="Arial" w:hAnsi="Arial"/>
          <w:sz w:val="16"/>
          <w:szCs w:val="16"/>
          <w:color w:val="auto"/>
        </w:rPr>
      </w:pPr>
      <w:r>
        <w:rPr>
          <w:rFonts w:ascii="Arial" w:cs="Arial" w:eastAsia="Arial" w:hAnsi="Arial"/>
          <w:sz w:val="16"/>
          <w:szCs w:val="16"/>
          <w:b w:val="1"/>
          <w:bCs w:val="1"/>
          <w:u w:val="single" w:color="auto"/>
          <w:color w:val="auto"/>
        </w:rPr>
        <w:t>Fractional Shares</w:t>
      </w:r>
      <w:r>
        <w:rPr>
          <w:rFonts w:ascii="Arial" w:cs="Arial" w:eastAsia="Arial" w:hAnsi="Arial"/>
          <w:sz w:val="16"/>
          <w:szCs w:val="16"/>
          <w:color w:val="auto"/>
        </w:rPr>
        <w:t>. No fractional shares of Stock shall be issued or delivered pursuant to the Plan or any Award, and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shall determine in its sole discretion whether cash, other securities, or other property shall be paid or transferred in lieu of any fractional shares of Stock or whether such fractional shares of Stock or any rights thereto shall be cancelled, terminated, or otherwise eliminated with or without consideration.</w:t>
      </w:r>
    </w:p>
    <w:p>
      <w:pPr>
        <w:spacing w:after="0" w:line="141" w:lineRule="exact"/>
        <w:rPr>
          <w:rFonts w:ascii="Arial" w:cs="Arial" w:eastAsia="Arial" w:hAnsi="Arial"/>
          <w:sz w:val="16"/>
          <w:szCs w:val="16"/>
          <w:color w:val="auto"/>
        </w:rPr>
      </w:pPr>
    </w:p>
    <w:p>
      <w:pPr>
        <w:jc w:val="both"/>
        <w:ind w:left="-960" w:firstLine="1126"/>
        <w:spacing w:after="0" w:line="270" w:lineRule="auto"/>
        <w:tabs>
          <w:tab w:leader="none" w:pos="577" w:val="left"/>
        </w:tabs>
        <w:numPr>
          <w:ilvl w:val="0"/>
          <w:numId w:val="92"/>
        </w:numPr>
        <w:rPr>
          <w:rFonts w:ascii="Arial" w:cs="Arial" w:eastAsia="Arial" w:hAnsi="Arial"/>
          <w:sz w:val="17"/>
          <w:szCs w:val="17"/>
          <w:color w:val="auto"/>
        </w:rPr>
      </w:pPr>
      <w:r>
        <w:rPr>
          <w:rFonts w:ascii="Arial" w:cs="Arial" w:eastAsia="Arial" w:hAnsi="Arial"/>
          <w:sz w:val="17"/>
          <w:szCs w:val="17"/>
          <w:b w:val="1"/>
          <w:bCs w:val="1"/>
          <w:u w:val="single" w:color="auto"/>
          <w:color w:val="auto"/>
        </w:rPr>
        <w:t>Interpretation</w:t>
      </w:r>
      <w:r>
        <w:rPr>
          <w:rFonts w:ascii="Arial" w:cs="Arial" w:eastAsia="Arial" w:hAnsi="Arial"/>
          <w:sz w:val="17"/>
          <w:szCs w:val="17"/>
          <w:color w:val="auto"/>
        </w:rPr>
        <w:t>. Headings are given to the Sections and subsections of the Plan solely as a convenience to facilitate reference. Such</w:t>
      </w:r>
      <w:r>
        <w:rPr>
          <w:rFonts w:ascii="Arial" w:cs="Arial" w:eastAsia="Arial" w:hAnsi="Arial"/>
          <w:sz w:val="17"/>
          <w:szCs w:val="17"/>
          <w:b w:val="1"/>
          <w:bCs w:val="1"/>
          <w:color w:val="auto"/>
        </w:rPr>
        <w:t xml:space="preserve"> </w:t>
      </w:r>
      <w:r>
        <w:rPr>
          <w:rFonts w:ascii="Arial" w:cs="Arial" w:eastAsia="Arial" w:hAnsi="Arial"/>
          <w:sz w:val="17"/>
          <w:szCs w:val="17"/>
          <w:color w:val="auto"/>
        </w:rPr>
        <w:t>headings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In the event of any conflict between the terms and conditions of an Award Agreement and the Plan, the provisions of the Plan shall control.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w:t>
      </w:r>
    </w:p>
    <w:p>
      <w:pPr>
        <w:spacing w:after="0" w:line="176" w:lineRule="exact"/>
        <w:rPr>
          <w:rFonts w:ascii="Arial" w:cs="Arial" w:eastAsia="Arial" w:hAnsi="Arial"/>
          <w:sz w:val="17"/>
          <w:szCs w:val="17"/>
          <w:color w:val="auto"/>
        </w:rPr>
      </w:pPr>
    </w:p>
    <w:p>
      <w:pPr>
        <w:jc w:val="both"/>
        <w:ind w:left="-960" w:firstLine="1126"/>
        <w:spacing w:after="0" w:line="314" w:lineRule="auto"/>
        <w:tabs>
          <w:tab w:leader="none" w:pos="632" w:val="left"/>
        </w:tabs>
        <w:numPr>
          <w:ilvl w:val="0"/>
          <w:numId w:val="92"/>
        </w:numPr>
        <w:rPr>
          <w:rFonts w:ascii="Arial" w:cs="Arial" w:eastAsia="Arial" w:hAnsi="Arial"/>
          <w:sz w:val="16"/>
          <w:szCs w:val="16"/>
          <w:color w:val="auto"/>
        </w:rPr>
      </w:pPr>
      <w:r>
        <w:rPr>
          <w:rFonts w:ascii="Arial" w:cs="Arial" w:eastAsia="Arial" w:hAnsi="Arial"/>
          <w:sz w:val="16"/>
          <w:szCs w:val="16"/>
          <w:b w:val="1"/>
          <w:bCs w:val="1"/>
          <w:u w:val="single" w:color="auto"/>
          <w:color w:val="auto"/>
        </w:rPr>
        <w:t>Facility of Payment</w:t>
      </w:r>
      <w:r>
        <w:rPr>
          <w:rFonts w:ascii="Arial" w:cs="Arial" w:eastAsia="Arial" w:hAnsi="Arial"/>
          <w:sz w:val="16"/>
          <w:szCs w:val="16"/>
          <w:color w:val="auto"/>
        </w:rPr>
        <w:t>. Any amounts payable hereunder to any individual under legal disability or who, in the judgment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is unable to manage properly his financial affairs, may be paid to the legal representative of such individual, or may be applied for the benefit of such individual in any manner that the Committee may select, and the Company shall be relieved of any further liability for payment of such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324485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1836420</wp:posOffset>
            </wp:positionH>
            <wp:positionV relativeFrom="paragraph">
              <wp:posOffset>-4175125</wp:posOffset>
            </wp:positionV>
            <wp:extent cx="13919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32" w:name="page133"/>
    <w:bookmarkEnd w:id="132"/>
    <w:p>
      <w:pPr>
        <w:jc w:val="both"/>
        <w:ind w:left="-960" w:firstLine="1126"/>
        <w:spacing w:after="0" w:line="286" w:lineRule="auto"/>
        <w:tabs>
          <w:tab w:leader="none" w:pos="564" w:val="left"/>
        </w:tabs>
        <w:numPr>
          <w:ilvl w:val="0"/>
          <w:numId w:val="93"/>
        </w:numPr>
        <w:rPr>
          <w:rFonts w:ascii="Arial" w:cs="Arial" w:eastAsia="Arial" w:hAnsi="Arial"/>
          <w:sz w:val="16"/>
          <w:szCs w:val="16"/>
          <w:color w:val="auto"/>
        </w:rPr>
      </w:pPr>
      <w:r>
        <w:rPr>
          <w:rFonts w:ascii="Arial" w:cs="Arial" w:eastAsia="Arial" w:hAnsi="Arial"/>
          <w:sz w:val="16"/>
          <w:szCs w:val="16"/>
          <w:b w:val="1"/>
          <w:bCs w:val="1"/>
          <w:u w:val="single" w:color="auto"/>
          <w:color w:val="auto"/>
        </w:rPr>
        <w:t>Conditions to Delivery of Stock</w:t>
      </w:r>
      <w:r>
        <w:rPr>
          <w:rFonts w:ascii="Arial" w:cs="Arial" w:eastAsia="Arial" w:hAnsi="Arial"/>
          <w:sz w:val="16"/>
          <w:szCs w:val="16"/>
          <w:color w:val="auto"/>
        </w:rPr>
        <w:t>. Nothing herein or in any Award Agreement shall require the Company to issue any shares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any Award if that issuance would, in the opinion of counsel for the Company, constitute a violation of the Securities Act, any other applicable statute or regulation, or the rules of any applicable securities exchange or securities association, as then in effect. In addition, each Participant who receives an Award under the Plan shall not sell or otherwise dispose of Stock that is acquired upon grant, exercise or vesting of an Award in any manner that would constitute a violation of any applicable federal or state securities laws, the Plan or the rules, regulations or other requirements of the SEC or any stock exchange upon which the Stock is then listed. At the time of any exercise of an Option, or at the time of any grant of any other Award, the Company may, as a condition precedent to the exercise of such Option or settlement of any other Award, require from the Participant (or in the event of his or her death, his or her legal representatives, heirs, legatees, or distributees) such written representations, if any, concerning the holder’s intentions with regard to the retention or disposition of the shares of Stock being acquired pursuant to the Award and such written covenants and agreements, if any, as to the manner of disposal of such shares as, in the opinion of counsel to the Company, may be necessary to ensure that any disposition by that holder (or in the event of the holder’s death, his or her legal representatives, heirs, legatees, or distributees) will not involve a violation of the Securities Act, any other applicable state or federal statute or regulation, or any rule of any applicable securities exchange or securities association, as then in effect. Stock or other securities shall not be delivered pursuant to any Award until payment in full of any amount required to be paid pursuant to the Plan or the applicable Award Agreement (including any Exercise Price or tax withholding) is received by the Company.</w:t>
      </w:r>
    </w:p>
    <w:p>
      <w:pPr>
        <w:spacing w:after="0" w:line="170" w:lineRule="exact"/>
        <w:rPr>
          <w:rFonts w:ascii="Arial" w:cs="Arial" w:eastAsia="Arial" w:hAnsi="Arial"/>
          <w:sz w:val="16"/>
          <w:szCs w:val="16"/>
          <w:color w:val="auto"/>
        </w:rPr>
      </w:pPr>
    </w:p>
    <w:p>
      <w:pPr>
        <w:jc w:val="both"/>
        <w:ind w:left="-960" w:firstLine="1126"/>
        <w:spacing w:after="0" w:line="268" w:lineRule="auto"/>
        <w:tabs>
          <w:tab w:leader="none" w:pos="577" w:val="left"/>
        </w:tabs>
        <w:numPr>
          <w:ilvl w:val="0"/>
          <w:numId w:val="93"/>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409A of the Code</w:t>
      </w:r>
      <w:r>
        <w:rPr>
          <w:rFonts w:ascii="Arial" w:cs="Arial" w:eastAsia="Arial" w:hAnsi="Arial"/>
          <w:sz w:val="17"/>
          <w:szCs w:val="17"/>
          <w:color w:val="auto"/>
        </w:rPr>
        <w:t>. It is the general intention, but not the obligation, of the Committee to design Awards to comply with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be exempt from the Nonqualified Deferred Compensation Rules, and Awards will be operated and construed accordingly. Neither this </w:t>
      </w:r>
      <w:r>
        <w:rPr>
          <w:rFonts w:ascii="Arial" w:cs="Arial" w:eastAsia="Arial" w:hAnsi="Arial"/>
          <w:sz w:val="17"/>
          <w:szCs w:val="17"/>
          <w:u w:val="single" w:color="auto"/>
          <w:color w:val="auto"/>
        </w:rPr>
        <w:t>Section 9(k)</w:t>
      </w:r>
      <w:r>
        <w:rPr>
          <w:rFonts w:ascii="Arial" w:cs="Arial" w:eastAsia="Arial" w:hAnsi="Arial"/>
          <w:sz w:val="17"/>
          <w:szCs w:val="17"/>
          <w:color w:val="auto"/>
        </w:rPr>
        <w:t xml:space="preserve"> nor any other provision of the Plan is or contains a representation to any Participant regarding the tax consequences of the grant, vesting, exercise, settlement, or sale of any Award (or the Stock underlying such Award) granted hereunder, and should not be interpreted as such. In no event shall the Company be liable for all or any portion of any taxes, penalties, interest or other expenses that may be incurred by the Participant on account of non-compliance with the Nonqualified Deferred Compensation Rules. Notwithstanding any provision in the Plan or an Award Agreement to the contrary, in the event that a “specified employee” (as defined under the Nonqualified Deferred Compensation Rules) becomes entitled to a payment under an Award that would be subject to additional taxes and interest under the Nonqualified Deferred Compensation Rules if the Participant’s receipt of such payment or benefits is not delayed until the earlier of (i) the date of the Participant’s death, or (ii) the date that is six months after the Participant’s “separation from service,” as defined under the Nonqualified Deferred Compensation Rules (such date, the “</w:t>
      </w:r>
      <w:r>
        <w:rPr>
          <w:rFonts w:ascii="Arial" w:cs="Arial" w:eastAsia="Arial" w:hAnsi="Arial"/>
          <w:sz w:val="17"/>
          <w:szCs w:val="17"/>
          <w:b w:val="1"/>
          <w:bCs w:val="1"/>
          <w:u w:val="single" w:color="auto"/>
          <w:color w:val="auto"/>
        </w:rPr>
        <w:t>Section 409A Payment Date</w:t>
      </w:r>
      <w:r>
        <w:rPr>
          <w:rFonts w:ascii="Arial" w:cs="Arial" w:eastAsia="Arial" w:hAnsi="Arial"/>
          <w:sz w:val="17"/>
          <w:szCs w:val="17"/>
          <w:color w:val="auto"/>
        </w:rPr>
        <w:t>”), then such payment or benefit shall not be provided to the Participant until the Section 409A Payment Date. Any amounts subject to the preceding sentence that would otherwise be payable prior to the Section 409A Payment Date will be aggregated and paid in a lump sum without interest on the Section 409A Payment Date. The applicable provisions of the Nonqualified Deferred Compensation Rules are hereby incorporated by reference and shall control over any Plan or Award Agreement provision in conflict therewith.</w:t>
      </w:r>
    </w:p>
    <w:p>
      <w:pPr>
        <w:spacing w:after="0" w:line="184" w:lineRule="exact"/>
        <w:rPr>
          <w:rFonts w:ascii="Arial" w:cs="Arial" w:eastAsia="Arial" w:hAnsi="Arial"/>
          <w:sz w:val="17"/>
          <w:szCs w:val="17"/>
          <w:color w:val="auto"/>
        </w:rPr>
      </w:pPr>
    </w:p>
    <w:p>
      <w:pPr>
        <w:jc w:val="both"/>
        <w:ind w:left="-960" w:firstLine="1126"/>
        <w:spacing w:after="0" w:line="294" w:lineRule="auto"/>
        <w:tabs>
          <w:tab w:leader="none" w:pos="591" w:val="left"/>
        </w:tabs>
        <w:numPr>
          <w:ilvl w:val="0"/>
          <w:numId w:val="93"/>
        </w:numPr>
        <w:rPr>
          <w:rFonts w:ascii="Arial" w:cs="Arial" w:eastAsia="Arial" w:hAnsi="Arial"/>
          <w:sz w:val="16"/>
          <w:szCs w:val="16"/>
          <w:color w:val="auto"/>
        </w:rPr>
      </w:pPr>
      <w:r>
        <w:rPr>
          <w:rFonts w:ascii="Arial" w:cs="Arial" w:eastAsia="Arial" w:hAnsi="Arial"/>
          <w:sz w:val="16"/>
          <w:szCs w:val="16"/>
          <w:b w:val="1"/>
          <w:bCs w:val="1"/>
          <w:u w:val="single" w:color="auto"/>
          <w:color w:val="auto"/>
        </w:rPr>
        <w:t>Clawback</w:t>
      </w:r>
      <w:r>
        <w:rPr>
          <w:rFonts w:ascii="Arial" w:cs="Arial" w:eastAsia="Arial" w:hAnsi="Arial"/>
          <w:sz w:val="16"/>
          <w:szCs w:val="16"/>
          <w:color w:val="auto"/>
        </w:rPr>
        <w:t>. The Plan and all Awards granted hereunder are subject to any written clawback policies that the Company,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of the Board or an authorized committee thereof, may adopt either prior to or following the Amendment Effective Date, including any policy adopted to conform to the Dodd-Frank Wall Street Reform and Consumer Protection Act of 2010 and rules promulgated thereunder by the SEC and that the Company determines should apply to Awards. Any such policy may subject a Participant’s Awards and amounts paid or realized with respect to Awards to reduction, cancelation, forfeiture or recoupment if certain specified events or wrongful conduct occur, including an accounting restatement due to the Company’s material noncompliance with financial reporting regulations or other events or wrongful conduct specified in any such clawback policy.</w:t>
      </w:r>
    </w:p>
    <w:p>
      <w:pPr>
        <w:spacing w:after="0" w:line="159" w:lineRule="exact"/>
        <w:rPr>
          <w:rFonts w:ascii="Arial" w:cs="Arial" w:eastAsia="Arial" w:hAnsi="Arial"/>
          <w:sz w:val="16"/>
          <w:szCs w:val="16"/>
          <w:color w:val="auto"/>
        </w:rPr>
      </w:pPr>
    </w:p>
    <w:p>
      <w:pPr>
        <w:ind w:left="-960" w:right="20" w:firstLine="1126"/>
        <w:spacing w:after="0" w:line="282" w:lineRule="auto"/>
        <w:tabs>
          <w:tab w:leader="none" w:pos="623"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Status under ERISA</w:t>
      </w:r>
      <w:r>
        <w:rPr>
          <w:rFonts w:ascii="Arial" w:cs="Arial" w:eastAsia="Arial" w:hAnsi="Arial"/>
          <w:sz w:val="18"/>
          <w:szCs w:val="18"/>
          <w:color w:val="auto"/>
        </w:rPr>
        <w:t>. The Plan shall not constitute an “employee benefit plan” for purposes of Section 3(3) of the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Income Security Act of 1974, as amended.</w:t>
      </w:r>
    </w:p>
    <w:p>
      <w:pPr>
        <w:spacing w:after="0" w:line="161" w:lineRule="exact"/>
        <w:rPr>
          <w:rFonts w:ascii="Arial" w:cs="Arial" w:eastAsia="Arial" w:hAnsi="Arial"/>
          <w:sz w:val="18"/>
          <w:szCs w:val="18"/>
          <w:color w:val="auto"/>
        </w:rPr>
      </w:pPr>
    </w:p>
    <w:p>
      <w:pPr>
        <w:jc w:val="both"/>
        <w:ind w:left="-960" w:firstLine="1126"/>
        <w:spacing w:after="0" w:line="258" w:lineRule="auto"/>
        <w:tabs>
          <w:tab w:leader="none" w:pos="577"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Plan Effective Date and Term</w:t>
      </w:r>
      <w:r>
        <w:rPr>
          <w:rFonts w:ascii="Arial" w:cs="Arial" w:eastAsia="Arial" w:hAnsi="Arial"/>
          <w:sz w:val="18"/>
          <w:szCs w:val="18"/>
          <w:color w:val="auto"/>
        </w:rPr>
        <w:t>. The Plan was adopted by the Board to be effective on the Amendment Effective Date. No Awards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be granted under the Plan on and after the tenth anniversary of the Original Effective Date, which is August 21, 2030. However, any Award granted prior to such termination (or any earlier termination pursuant to </w:t>
      </w:r>
      <w:r>
        <w:rPr>
          <w:rFonts w:ascii="Arial" w:cs="Arial" w:eastAsia="Arial" w:hAnsi="Arial"/>
          <w:sz w:val="18"/>
          <w:szCs w:val="18"/>
          <w:u w:val="single" w:color="auto"/>
          <w:color w:val="auto"/>
        </w:rPr>
        <w:t>Section 10</w:t>
      </w:r>
      <w:r>
        <w:rPr>
          <w:rFonts w:ascii="Arial" w:cs="Arial" w:eastAsia="Arial" w:hAnsi="Arial"/>
          <w:sz w:val="18"/>
          <w:szCs w:val="18"/>
          <w:color w:val="auto"/>
        </w:rPr>
        <w:t>), and the authority of the Board or Committee to amend, alter, adjust, suspend, discontinue, or terminate any such Award or to waive any conditions or rights under such Award in accordance with the terms of the Plan, shall extend beyond such termination until the final disposition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351155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33" w:name="page134"/>
    <w:bookmarkEnd w:id="133"/>
    <w:p>
      <w:pPr>
        <w:jc w:val="both"/>
        <w:ind w:firstLine="640"/>
        <w:spacing w:after="0" w:line="289" w:lineRule="auto"/>
        <w:tabs>
          <w:tab w:leader="none" w:pos="1368"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Amendments to the Plan and Awards</w:t>
      </w:r>
      <w:r>
        <w:rPr>
          <w:rFonts w:ascii="Arial" w:cs="Arial" w:eastAsia="Arial" w:hAnsi="Arial"/>
          <w:sz w:val="16"/>
          <w:szCs w:val="16"/>
          <w:color w:val="auto"/>
        </w:rPr>
        <w:t>. The Committee may amend, alter, suspend, discontinue or terminate any Award or Award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the Plan or the Committee’s authority to grant Awards without the consent of stockholders or Participants, except that any amendment or alteration to the Plan, including any increase in any share limitation, shall be subject to the approval of the Company’s stockholders not later than the annual meeting next following such Committee action if such stockholder approval is required by any federal or state law or regulation or the rules of any stock exchange or automated quotation system on which the Stock may then be listed or quoted, and the Committee may otherwise, in its discretion, determine to submit other changes to the Plan to stockholders for approval;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without the consent of an affected Participant, no such Committee action may materially and adversely affect the rights of such Participant under any previously granted and outstanding Award. For purposes of clarity, any adjustments made to Awards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will be deemed not to materially and adversely affect the rights of any Participant under any previously granted and outstanding Award and therefore may be made without the consent of affected Participants.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80"/>
          </w:cols>
          <w:pgMar w:left="480" w:top="580"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 AMENDMENT TO CREDIT AGREEMENT</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This SEVENTH AMENDMENT TO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December 9, 2022 (the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xml:space="preserve">”), is among </w:t>
      </w:r>
      <w:r>
        <w:rPr>
          <w:rFonts w:ascii="Arial" w:cs="Arial" w:eastAsia="Arial" w:hAnsi="Arial"/>
          <w:sz w:val="18"/>
          <w:szCs w:val="18"/>
          <w:b w:val="1"/>
          <w:bCs w:val="1"/>
          <w:color w:val="auto"/>
        </w:rPr>
        <w:t>HIGHPEAK ENERGY,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w:t>
      </w:r>
      <w:r>
        <w:rPr>
          <w:rFonts w:ascii="Arial" w:cs="Arial" w:eastAsia="Arial" w:hAnsi="Arial"/>
          <w:sz w:val="18"/>
          <w:szCs w:val="18"/>
          <w:b w:val="1"/>
          <w:bCs w:val="1"/>
          <w:color w:val="auto"/>
        </w:rPr>
        <w:t>WELLS FARGO BANK,</w:t>
      </w:r>
      <w:r>
        <w:rPr>
          <w:rFonts w:ascii="Arial" w:cs="Arial" w:eastAsia="Arial" w:hAnsi="Arial"/>
          <w:sz w:val="18"/>
          <w:szCs w:val="18"/>
          <w:color w:val="auto"/>
        </w:rPr>
        <w:t xml:space="preserve"> </w:t>
      </w:r>
      <w:r>
        <w:rPr>
          <w:rFonts w:ascii="Arial" w:cs="Arial" w:eastAsia="Arial" w:hAnsi="Arial"/>
          <w:sz w:val="18"/>
          <w:szCs w:val="18"/>
          <w:b w:val="1"/>
          <w:bCs w:val="1"/>
          <w:color w:val="auto"/>
        </w:rPr>
        <w:t>NATIONAL ASSOCIATION</w:t>
      </w:r>
      <w:r>
        <w:rPr>
          <w:rFonts w:ascii="Arial" w:cs="Arial" w:eastAsia="Arial" w:hAnsi="Arial"/>
          <w:sz w:val="18"/>
          <w:szCs w:val="18"/>
          <w:color w:val="auto"/>
        </w:rPr>
        <w:t>,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each Issuing Bank, the Guarantors,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institutions party hereto as Lenders.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1304"/>
        <w:spacing w:after="0" w:line="263" w:lineRule="auto"/>
        <w:tabs>
          <w:tab w:leader="none" w:pos="193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Borrower, the Administrative Agent and the Lenders are party to that certain Credit Agreement dated as of December 17, 2020 (as may be amended, restated,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pursuant to which the Lenders have made certain credit available to and on behalf of the Borrower.</w:t>
      </w:r>
    </w:p>
    <w:p>
      <w:pPr>
        <w:spacing w:after="0" w:line="183" w:lineRule="exact"/>
        <w:rPr>
          <w:rFonts w:ascii="Arial" w:cs="Arial" w:eastAsia="Arial" w:hAnsi="Arial"/>
          <w:sz w:val="18"/>
          <w:szCs w:val="18"/>
          <w:color w:val="auto"/>
        </w:rPr>
      </w:pPr>
    </w:p>
    <w:p>
      <w:pPr>
        <w:ind w:firstLine="1304"/>
        <w:spacing w:after="0" w:line="277" w:lineRule="auto"/>
        <w:tabs>
          <w:tab w:leader="none" w:pos="197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Borrower has requested amendments to certain provisions of the Credit Agreement, and the parties hereto have agreed to amend certain provisions of the Credit Agreement, as more fully set forth herein.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Defined Terms</w:t>
      </w:r>
      <w:r>
        <w:rPr>
          <w:rFonts w:ascii="Arial" w:cs="Arial" w:eastAsia="Arial" w:hAnsi="Arial"/>
          <w:sz w:val="16"/>
          <w:szCs w:val="16"/>
          <w:color w:val="auto"/>
        </w:rPr>
        <w:t>. Each capitalized term which is defined in the Credit Agreement, but which is not defined in this Amendment, shall have the meaning ascribed such term in the Credit Agreement after giving effect to this Amendment. Unless otherwise indicated, all references to sections in this Amendment refer to sections in the Credit Agreement. For the purposes of this Amendment, the following term shall have the following meaning:</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Subject to satisfaction of the conditions of effectiveness set forth in Section 3 of this Amendment, on the Seventh Amendment Effective Date, Section 1.02 to the Credit Agreement is hereby amended by amending the following definitions in their entireties to read as follows: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Senior Notes</w:t>
      </w:r>
      <w:r>
        <w:rPr>
          <w:rFonts w:ascii="Arial" w:cs="Arial" w:eastAsia="Arial" w:hAnsi="Arial"/>
          <w:sz w:val="18"/>
          <w:szCs w:val="18"/>
          <w:color w:val="auto"/>
        </w:rPr>
        <w:t>” means Specified Additional Debt issued or incurred, in one or more issuances or incurrences, on or after the Fifth Amendment Effective Date but prior to June 30, 2023, in an aggregate amount of up to $250,000,000.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Senior Notes Indenture</w:t>
      </w:r>
      <w:r>
        <w:rPr>
          <w:rFonts w:ascii="Arial" w:cs="Arial" w:eastAsia="Arial" w:hAnsi="Arial"/>
          <w:sz w:val="18"/>
          <w:szCs w:val="18"/>
          <w:color w:val="auto"/>
        </w:rPr>
        <w:t>” means, collectively, one or more Indentures governing the Specified Senior Notes between the Borrower, as issuer, and Specified Senior Notes Trustee.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Precedent as of the Seventh Amendment Effective Date</w:t>
      </w:r>
      <w:r>
        <w:rPr>
          <w:rFonts w:ascii="Arial" w:cs="Arial" w:eastAsia="Arial" w:hAnsi="Arial"/>
          <w:sz w:val="18"/>
          <w:szCs w:val="18"/>
          <w:color w:val="auto"/>
        </w:rPr>
        <w:t>. This Amendment shall become effective on the date, when each of the following conditions is satisfied (or waived in accordance with Section 12.02 of the Credit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3.1 The Administrative Agent shall have executed and received from the Lenders and the Borrower, counterparts (in such number as may be requested by the Administrative Agent) of this Amendment signed on behalf of each such Person.</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Administrative Agent and the Lenders shall have received all fees and other amounts due and payable on or prior to the date hereof.</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SEVENTH AMENDMENT TO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both"/>
        <w:ind w:firstLine="648"/>
        <w:spacing w:after="0" w:line="277" w:lineRule="auto"/>
        <w:rPr>
          <w:sz w:val="20"/>
          <w:szCs w:val="20"/>
          <w:color w:val="auto"/>
        </w:rPr>
      </w:pPr>
      <w:r>
        <w:rPr>
          <w:rFonts w:ascii="Arial" w:cs="Arial" w:eastAsia="Arial" w:hAnsi="Arial"/>
          <w:sz w:val="18"/>
          <w:szCs w:val="18"/>
          <w:color w:val="auto"/>
        </w:rPr>
        <w:t>3.3 Immediately before and after giving effect to this Amendment, no Default, Event of Default or Borrowing Base Deficiency shall have occurred and be continuing as of the Seventh Amendment Effective Date.</w:t>
      </w:r>
    </w:p>
    <w:p>
      <w:pPr>
        <w:spacing w:after="0" w:line="170" w:lineRule="exact"/>
        <w:rPr>
          <w:sz w:val="20"/>
          <w:szCs w:val="20"/>
          <w:color w:val="auto"/>
        </w:rPr>
      </w:pPr>
    </w:p>
    <w:p>
      <w:pPr>
        <w:jc w:val="both"/>
        <w:ind w:firstLine="1038"/>
        <w:spacing w:after="0" w:line="259" w:lineRule="auto"/>
        <w:rPr>
          <w:sz w:val="20"/>
          <w:szCs w:val="20"/>
          <w:color w:val="auto"/>
        </w:rPr>
      </w:pPr>
      <w:r>
        <w:rPr>
          <w:rFonts w:ascii="Arial" w:cs="Arial" w:eastAsia="Arial" w:hAnsi="Arial"/>
          <w:sz w:val="18"/>
          <w:szCs w:val="18"/>
          <w:color w:val="auto"/>
        </w:rPr>
        <w:t xml:space="preserve">The Administrative Agent is hereby authorized and directed to declare this Amendment to be effective when it has received documents confirming or certifying, to the satisfaction of the Administrative Agent, compliance with the conditions set forth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or the waiver of such conditions as permitted in Section 12.02 of the Credit Agreement. Such declaration shall be final, conclusive and binding upon all parties to the Credit Agreement for all purposes.</w:t>
      </w:r>
    </w:p>
    <w:p>
      <w:pPr>
        <w:spacing w:after="0" w:line="187"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Confirmation</w:t>
      </w:r>
      <w:r>
        <w:rPr>
          <w:rFonts w:ascii="Arial" w:cs="Arial" w:eastAsia="Arial" w:hAnsi="Arial"/>
          <w:sz w:val="18"/>
          <w:szCs w:val="18"/>
          <w:color w:val="auto"/>
        </w:rPr>
        <w:t>. The provisions of the Credit Agreement, as amended by this Amendment, shall remain in full force and effect following the effectiveness of this Amendment.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Borrower and each Guarantor hereby (a) acknowledges and consents to the terms of this Amendment and (b) ratifies and affirms its obligations under, and acknowledges its continued liability under, each Loan Document to which it is a party and agrees that each Loan Document to which it is a party remains in full force and effect as expressly amended, restated, supplemented or otherwise modified hereby or otherwise in connection with a delivery made herewith and (c) represents and warrants to the Administrative Agent and the Lenders that as of the date hereof, after giving effect to the terms of this Amendment: (i) all of the representations and warranties contained in each Loan Document to which it is a party are true and correct in all material respects, except that (A) to the extent any such representations and warranties are expressly limited to an earlier date, in which case, such representations and warranties shall continue to be true and correct in all material respects as of such specified earlier date and (B) to the extent any such representation and warranty is qualified by materiality, such representation and warranty (as so qualified) is true and correct in all respects and (ii) no Default or Event of Default has occurred and is continuing.</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by one or more of the parties hereto in any number of separate counterparts, and all of such counterparts taken together shall constitute one and the same instrument. Delivery of an executed counterpart of a signature page to this Amendment by telecopy, facsimile or other electronic means (e.g., .pdf) shall be effective as delivery of a manually executed counterpart hereof.</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Electronic Execution of Loan Documents</w:t>
      </w:r>
      <w:r>
        <w:rPr>
          <w:rFonts w:ascii="Arial" w:cs="Arial" w:eastAsia="Arial" w:hAnsi="Arial"/>
          <w:sz w:val="17"/>
          <w:szCs w:val="17"/>
          <w:color w:val="auto"/>
        </w:rPr>
        <w:t>. The words “execution,” “signed,” “signature,” and words of like import in this Amendment and the other Loan Documents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Oral Agreement</w:t>
      </w:r>
      <w:r>
        <w:rPr>
          <w:rFonts w:ascii="Arial" w:cs="Arial" w:eastAsia="Arial" w:hAnsi="Arial"/>
          <w:sz w:val="18"/>
          <w:szCs w:val="18"/>
          <w:color w:val="auto"/>
        </w:rPr>
        <w:t>. This Amendment, the Credit Agreement and the other Loan Documents executed in connection herewith and therewith represent the final agreement between the parties and may not be contradicted by evidence of prior, contemporaneous, or unwritten oral agreements of the parties. There are no subsequent oral agreements between the parties.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LAWS OF THE STATE OF TEXAS.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SEVENTH AMENDMENT TO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6" w:name="page137"/>
    <w:bookmarkEnd w:id="136"/>
    <w:p>
      <w:pPr>
        <w:jc w:val="both"/>
        <w:ind w:firstLine="648"/>
        <w:spacing w:after="0" w:line="311"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The Borrower agrees to pay or reimburse the Administrative Agent for all of its reasonable and documented out-of-pocket costs and expenses incurred in connection with this Amendment, any other documents prepared in connection herewith and the transactions contemplated hereby, including, without limitation, the reasonable fees and disbursements of one law firm acting as counsel to the Administrative Agent.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Amendment shall be binding upon and inure to the benefit of the parties hereto and their respective successors and permitted assigns.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Section 12.09(b), (c) and (d) of the Credit Agreement shall apply to this Amendment, </w:t>
      </w:r>
      <w:r>
        <w:rPr>
          <w:rFonts w:ascii="Arial" w:cs="Arial" w:eastAsia="Arial" w:hAnsi="Arial"/>
          <w:sz w:val="18"/>
          <w:szCs w:val="18"/>
          <w:i w:val="1"/>
          <w:iCs w:val="1"/>
          <w:color w:val="auto"/>
        </w:rPr>
        <w:t>mutatis mutandis.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Loan Document</w:t>
      </w:r>
      <w:r>
        <w:rPr>
          <w:rFonts w:ascii="Arial" w:cs="Arial" w:eastAsia="Arial" w:hAnsi="Arial"/>
          <w:sz w:val="18"/>
          <w:szCs w:val="18"/>
          <w:color w:val="auto"/>
        </w:rPr>
        <w:t>. This Amendment is a Loan Document.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BEGIN NEXT PAGE]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SEVENTH AMENDMENT TO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7" w:name="page138"/>
    <w:bookmarkEnd w:id="137"/>
    <w:p>
      <w:pPr>
        <w:ind w:left="660"/>
        <w:spacing w:after="0"/>
        <w:rPr>
          <w:sz w:val="20"/>
          <w:szCs w:val="20"/>
          <w:color w:val="auto"/>
        </w:rPr>
      </w:pPr>
      <w:r>
        <w:rPr>
          <w:rFonts w:ascii="Arial" w:cs="Arial" w:eastAsia="Arial" w:hAnsi="Arial"/>
          <w:sz w:val="16"/>
          <w:szCs w:val="16"/>
          <w:color w:val="auto"/>
        </w:rPr>
        <w:t>IN WITNESS WHEREOF, the parties hereto have caused this Amendment to be duly executed effective as of the day and year first above written.</w:t>
      </w: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BORROWER</w:t>
      </w:r>
      <w:r>
        <w:rPr>
          <w:rFonts w:ascii="Arial" w:cs="Arial" w:eastAsia="Arial" w:hAnsi="Arial"/>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HIGHPEAK ENERGY, INC.</w:t>
      </w:r>
      <w:r>
        <w:rPr>
          <w:rFonts w:ascii="Arial" w:cs="Arial" w:eastAsia="Arial" w:hAnsi="Arial"/>
          <w:sz w:val="18"/>
          <w:szCs w:val="18"/>
          <w:color w:val="auto"/>
        </w:rPr>
        <w:t>, a Delaware corporation</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Jack Hightower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GUARANTORS</w:t>
      </w:r>
      <w:r>
        <w:rPr>
          <w:rFonts w:ascii="Arial" w:cs="Arial" w:eastAsia="Arial" w:hAnsi="Arial"/>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HIGHPEAK ENERGY ACQUISITION CORP.</w:t>
      </w:r>
      <w:r>
        <w:rPr>
          <w:rFonts w:ascii="Arial" w:cs="Arial" w:eastAsia="Arial" w:hAnsi="Arial"/>
          <w:sz w:val="18"/>
          <w:szCs w:val="18"/>
          <w:color w:val="auto"/>
        </w:rPr>
        <w:t>, a</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Delaware corporation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HIGHPEAK ENERGY EMPLOYEES, INC.</w:t>
      </w:r>
      <w:r>
        <w:rPr>
          <w:rFonts w:ascii="Arial" w:cs="Arial" w:eastAsia="Arial" w:hAnsi="Arial"/>
          <w:sz w:val="18"/>
          <w:szCs w:val="18"/>
          <w:color w:val="auto"/>
        </w:rPr>
        <w:t>, a</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Delaware corporation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LAZY JJ PROPERTIES, LLC</w:t>
      </w:r>
      <w:r>
        <w:rPr>
          <w:rFonts w:ascii="Arial" w:cs="Arial" w:eastAsia="Arial" w:hAnsi="Arial"/>
          <w:sz w:val="18"/>
          <w:szCs w:val="18"/>
          <w:color w:val="auto"/>
        </w:rPr>
        <w:t>, a Delaware limited</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liability company</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Jack Hightower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HIGHPEAK ENERGY ASSETS, LLC</w:t>
      </w:r>
      <w:r>
        <w:rPr>
          <w:rFonts w:ascii="Arial" w:cs="Arial" w:eastAsia="Arial" w:hAnsi="Arial"/>
          <w:sz w:val="18"/>
          <w:szCs w:val="18"/>
          <w:color w:val="auto"/>
        </w:rPr>
        <w:t>, a</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Delaware limited liability company</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HIGHPEAK ENERGY HOLDINGS, LLC</w:t>
      </w:r>
      <w:r>
        <w:rPr>
          <w:rFonts w:ascii="Arial" w:cs="Arial" w:eastAsia="Arial" w:hAnsi="Arial"/>
          <w:sz w:val="18"/>
          <w:szCs w:val="18"/>
          <w:color w:val="auto"/>
        </w:rPr>
        <w:t>, a</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Delaware limited liability company</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Jack Hightower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SEVENTH AMENDMENT TO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38" w:name="page139"/>
    <w:bookmarkEnd w:id="138"/>
    <w:p>
      <w:pPr>
        <w:ind w:left="5640"/>
        <w:spacing w:after="0"/>
        <w:rPr>
          <w:sz w:val="20"/>
          <w:szCs w:val="20"/>
          <w:color w:val="auto"/>
        </w:rPr>
      </w:pPr>
      <w:r>
        <w:rPr>
          <w:rFonts w:ascii="Arial" w:cs="Arial" w:eastAsia="Arial" w:hAnsi="Arial"/>
          <w:sz w:val="18"/>
          <w:szCs w:val="18"/>
          <w:b w:val="1"/>
          <w:bCs w:val="1"/>
          <w:u w:val="single" w:color="auto"/>
          <w:color w:val="auto"/>
        </w:rPr>
        <w:t>ADMINISTRATIVE AGENT</w:t>
      </w:r>
      <w:r>
        <w:rPr>
          <w:rFonts w:ascii="Arial" w:cs="Arial" w:eastAsia="Arial" w:hAnsi="Arial"/>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WELLS FARGO BANK, NATIONAL</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ASSOCIATION,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Tim Green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LENDERS</w:t>
      </w:r>
      <w:r>
        <w:rPr>
          <w:rFonts w:ascii="Arial" w:cs="Arial" w:eastAsia="Arial" w:hAnsi="Arial"/>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WELLS FARGO BANK, NATIONAL</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ASSOCIATION</w:t>
      </w:r>
      <w:r>
        <w:rPr>
          <w:rFonts w:ascii="Arial" w:cs="Arial" w:eastAsia="Arial" w:hAnsi="Arial"/>
          <w:sz w:val="18"/>
          <w:szCs w:val="18"/>
          <w:color w:val="auto"/>
        </w:rPr>
        <w: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Lender and as an Issuing Bank</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Tim Green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SEVENTH AMENDMENT TO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139" w:name="page140"/>
    <w:bookmarkEnd w:id="139"/>
    <w:p>
      <w:pPr>
        <w:ind w:left="5640"/>
        <w:spacing w:after="0"/>
        <w:rPr>
          <w:sz w:val="20"/>
          <w:szCs w:val="20"/>
          <w:color w:val="auto"/>
        </w:rPr>
      </w:pPr>
      <w:r>
        <w:rPr>
          <w:rFonts w:ascii="Arial" w:cs="Arial" w:eastAsia="Arial" w:hAnsi="Arial"/>
          <w:sz w:val="18"/>
          <w:szCs w:val="18"/>
          <w:b w:val="1"/>
          <w:bCs w:val="1"/>
          <w:u w:val="single" w:color="auto"/>
          <w:color w:val="auto"/>
        </w:rPr>
        <w:t>LENDERS</w:t>
      </w:r>
      <w:r>
        <w:rPr>
          <w:rFonts w:ascii="Arial" w:cs="Arial" w:eastAsia="Arial" w:hAnsi="Arial"/>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FIFTH THIRD BANK, NATIONAL</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ASSOCIATION</w:t>
      </w:r>
      <w:r>
        <w:rPr>
          <w:rFonts w:ascii="Arial" w:cs="Arial" w:eastAsia="Arial" w:hAnsi="Arial"/>
          <w:sz w:val="18"/>
          <w:szCs w:val="18"/>
          <w:color w:val="auto"/>
        </w:rPr>
        <w: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as a Lender and as an Issuing Bank</w:t>
      </w:r>
    </w:p>
    <w:p>
      <w:pPr>
        <w:spacing w:after="0" w:line="200" w:lineRule="exact"/>
        <w:rPr>
          <w:sz w:val="20"/>
          <w:szCs w:val="20"/>
          <w:color w:val="auto"/>
        </w:rPr>
      </w:pPr>
    </w:p>
    <w:p>
      <w:pPr>
        <w:spacing w:after="0" w:line="23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 Condley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Dan Condley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SEVENTH AMENDMENT TO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140" w:name="page141"/>
    <w:bookmarkEnd w:id="140"/>
    <w:p>
      <w:pPr>
        <w:ind w:left="5640"/>
        <w:spacing w:after="0"/>
        <w:rPr>
          <w:sz w:val="20"/>
          <w:szCs w:val="20"/>
          <w:color w:val="auto"/>
        </w:rPr>
      </w:pPr>
      <w:r>
        <w:rPr>
          <w:rFonts w:ascii="Arial" w:cs="Arial" w:eastAsia="Arial" w:hAnsi="Arial"/>
          <w:sz w:val="18"/>
          <w:szCs w:val="18"/>
          <w:b w:val="1"/>
          <w:bCs w:val="1"/>
          <w:u w:val="single" w:color="auto"/>
          <w:color w:val="auto"/>
        </w:rPr>
        <w:t>LENDERS</w:t>
      </w:r>
      <w:r>
        <w:rPr>
          <w:rFonts w:ascii="Arial" w:cs="Arial" w:eastAsia="Arial" w:hAnsi="Arial"/>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CITIZENS BANK N.A.,</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Scott Donaldson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22225</wp:posOffset>
            </wp:positionV>
            <wp:extent cx="24942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Donaldson</w:t>
      </w:r>
    </w:p>
    <w:p>
      <w:pPr>
        <w:spacing w:after="0" w:line="23" w:lineRule="exact"/>
        <w:rPr>
          <w:sz w:val="20"/>
          <w:szCs w:val="20"/>
          <w:color w:val="auto"/>
        </w:rPr>
      </w:pPr>
    </w:p>
    <w:p>
      <w:pPr>
        <w:jc w:val="right"/>
        <w:ind w:right="2399"/>
        <w:spacing w:after="0"/>
        <w:tabs>
          <w:tab w:leader="none" w:pos="1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SEVENTH AMENDMENT TO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141" w:name="page142"/>
    <w:bookmarkEnd w:id="141"/>
    <w:p>
      <w:pPr>
        <w:ind w:left="5640"/>
        <w:spacing w:after="0"/>
        <w:rPr>
          <w:sz w:val="20"/>
          <w:szCs w:val="20"/>
          <w:color w:val="auto"/>
        </w:rPr>
      </w:pPr>
      <w:r>
        <w:rPr>
          <w:rFonts w:ascii="Arial" w:cs="Arial" w:eastAsia="Arial" w:hAnsi="Arial"/>
          <w:sz w:val="18"/>
          <w:szCs w:val="18"/>
          <w:b w:val="1"/>
          <w:bCs w:val="1"/>
          <w:u w:val="single" w:color="auto"/>
          <w:color w:val="auto"/>
        </w:rPr>
        <w:t>LENDERS</w:t>
      </w:r>
      <w:r>
        <w:rPr>
          <w:rFonts w:ascii="Arial" w:cs="Arial" w:eastAsia="Arial" w:hAnsi="Arial"/>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BANK OF AMERICA, N.A.,</w:t>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Megan Baqui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Megan Baqui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SEVENTH AMENDMENT TO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142" w:name="page143"/>
    <w:bookmarkEnd w:id="142"/>
    <w:p>
      <w:pPr>
        <w:ind w:left="5640"/>
        <w:spacing w:after="0"/>
        <w:rPr>
          <w:sz w:val="20"/>
          <w:szCs w:val="20"/>
          <w:color w:val="auto"/>
        </w:rPr>
      </w:pPr>
      <w:r>
        <w:rPr>
          <w:rFonts w:ascii="Arial" w:cs="Arial" w:eastAsia="Arial" w:hAnsi="Arial"/>
          <w:sz w:val="18"/>
          <w:szCs w:val="18"/>
          <w:b w:val="1"/>
          <w:bCs w:val="1"/>
          <w:u w:val="single" w:color="auto"/>
          <w:color w:val="auto"/>
        </w:rPr>
        <w:t>LENDERS</w:t>
      </w:r>
      <w:r>
        <w:rPr>
          <w:rFonts w:ascii="Arial" w:cs="Arial" w:eastAsia="Arial" w:hAnsi="Arial"/>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CREDIT SUISSE AG, NEW YORK BRANCH,</w:t>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Komal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Komal Shah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Wesley Cronin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Wesley Cronin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SEVENTH AMENDMENT TO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143" w:name="page144"/>
    <w:bookmarkEnd w:id="143"/>
    <w:p>
      <w:pPr>
        <w:ind w:left="5640"/>
        <w:spacing w:after="0"/>
        <w:rPr>
          <w:sz w:val="20"/>
          <w:szCs w:val="20"/>
          <w:color w:val="auto"/>
        </w:rPr>
      </w:pPr>
      <w:r>
        <w:rPr>
          <w:rFonts w:ascii="Arial" w:cs="Arial" w:eastAsia="Arial" w:hAnsi="Arial"/>
          <w:sz w:val="18"/>
          <w:szCs w:val="18"/>
          <w:b w:val="1"/>
          <w:bCs w:val="1"/>
          <w:u w:val="single" w:color="auto"/>
          <w:color w:val="auto"/>
        </w:rPr>
        <w:t>LENDERS</w:t>
      </w:r>
      <w:r>
        <w:rPr>
          <w:rFonts w:ascii="Arial" w:cs="Arial" w:eastAsia="Arial" w:hAnsi="Arial"/>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BOKF, NA dba BANK OF TEXAS,</w:t>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Miller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SEVENTH AMENDMENT TO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144" w:name="page145"/>
    <w:bookmarkEnd w:id="144"/>
    <w:p>
      <w:pPr>
        <w:ind w:left="5640"/>
        <w:spacing w:after="0"/>
        <w:rPr>
          <w:sz w:val="20"/>
          <w:szCs w:val="20"/>
          <w:color w:val="auto"/>
        </w:rPr>
      </w:pPr>
      <w:r>
        <w:rPr>
          <w:rFonts w:ascii="Arial" w:cs="Arial" w:eastAsia="Arial" w:hAnsi="Arial"/>
          <w:sz w:val="18"/>
          <w:szCs w:val="18"/>
          <w:b w:val="1"/>
          <w:bCs w:val="1"/>
          <w:u w:val="single" w:color="auto"/>
          <w:color w:val="auto"/>
        </w:rPr>
        <w:t>LENDERS</w:t>
      </w:r>
      <w:r>
        <w:rPr>
          <w:rFonts w:ascii="Arial" w:cs="Arial" w:eastAsia="Arial" w:hAnsi="Arial"/>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AMARILLO NATIONAL BANK,</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Angelica Padilla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Angelica Padilla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Vice 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SEVENTH AMENDMENT TO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145" w:name="page146"/>
    <w:bookmarkEnd w:id="145"/>
    <w:p>
      <w:pPr>
        <w:ind w:left="5640"/>
        <w:spacing w:after="0"/>
        <w:rPr>
          <w:sz w:val="20"/>
          <w:szCs w:val="20"/>
          <w:color w:val="auto"/>
        </w:rPr>
      </w:pPr>
      <w:r>
        <w:rPr>
          <w:rFonts w:ascii="Arial" w:cs="Arial" w:eastAsia="Arial" w:hAnsi="Arial"/>
          <w:sz w:val="18"/>
          <w:szCs w:val="18"/>
          <w:b w:val="1"/>
          <w:bCs w:val="1"/>
          <w:u w:val="single" w:color="auto"/>
          <w:color w:val="auto"/>
        </w:rPr>
        <w:t>LENDERS</w:t>
      </w:r>
      <w:r>
        <w:rPr>
          <w:rFonts w:ascii="Arial" w:cs="Arial" w:eastAsia="Arial" w:hAnsi="Arial"/>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UMB BANK N.A.,</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Erica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Erica Spencer</w:t>
      </w:r>
    </w:p>
    <w:p>
      <w:pPr>
        <w:spacing w:after="0" w:line="23" w:lineRule="exact"/>
        <w:rPr>
          <w:sz w:val="20"/>
          <w:szCs w:val="20"/>
          <w:color w:val="auto"/>
        </w:rPr>
      </w:pPr>
    </w:p>
    <w:p>
      <w:pPr>
        <w:jc w:val="right"/>
        <w:ind w:right="2399"/>
        <w:spacing w:after="0"/>
        <w:tabs>
          <w:tab w:leader="none" w:pos="1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SEVENTH AMENDMENT TO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146" w:name="page147"/>
    <w:bookmarkEnd w:id="146"/>
    <w:p>
      <w:pPr>
        <w:ind w:left="5640"/>
        <w:spacing w:after="0"/>
        <w:rPr>
          <w:sz w:val="20"/>
          <w:szCs w:val="20"/>
          <w:color w:val="auto"/>
        </w:rPr>
      </w:pPr>
      <w:r>
        <w:rPr>
          <w:rFonts w:ascii="Arial" w:cs="Arial" w:eastAsia="Arial" w:hAnsi="Arial"/>
          <w:sz w:val="18"/>
          <w:szCs w:val="18"/>
          <w:b w:val="1"/>
          <w:bCs w:val="1"/>
          <w:u w:val="single" w:color="auto"/>
          <w:color w:val="auto"/>
        </w:rPr>
        <w:t>LENDERS</w:t>
      </w:r>
      <w:r>
        <w:rPr>
          <w:rFonts w:ascii="Arial" w:cs="Arial" w:eastAsia="Arial" w:hAnsi="Arial"/>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ZIONS BANCORPORATION, N.A.,</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dba AMEGY BANK,</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Jill McSorley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Jill McSorley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 Amegy Bank Division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SEVENTH AMENDMENT TO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Signature Page</w:t>
      </w:r>
    </w:p>
    <w:p>
      <w:pPr>
        <w:sectPr>
          <w:pgSz w:w="11900" w:h="16838" w:orient="portrait"/>
          <w:cols w:equalWidth="0" w:num="1">
            <w:col w:w="10139"/>
          </w:cols>
          <w:pgMar w:left="320" w:top="580" w:right="1440"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800" w:type="dxa"/>
            <w:vAlign w:val="bottom"/>
            <w:gridSpan w:val="3"/>
          </w:tcPr>
          <w:p>
            <w:pPr>
              <w:ind w:left="1660"/>
              <w:spacing w:after="0"/>
              <w:rPr>
                <w:sz w:val="20"/>
                <w:szCs w:val="20"/>
                <w:color w:val="auto"/>
              </w:rPr>
            </w:pPr>
            <w:r>
              <w:rPr>
                <w:rFonts w:ascii="Arial" w:cs="Arial" w:eastAsia="Arial" w:hAnsi="Arial"/>
                <w:sz w:val="18"/>
                <w:szCs w:val="18"/>
                <w:b w:val="1"/>
                <w:bCs w:val="1"/>
                <w:color w:val="auto"/>
              </w:rPr>
              <w:t>EXHIBIT 21.1</w:t>
            </w: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700" w:type="dxa"/>
            <w:vAlign w:val="bottom"/>
            <w:gridSpan w:val="4"/>
          </w:tcPr>
          <w:p>
            <w:pPr>
              <w:jc w:val="center"/>
              <w:ind w:right="3560"/>
              <w:spacing w:after="0"/>
              <w:rPr>
                <w:sz w:val="20"/>
                <w:szCs w:val="20"/>
                <w:color w:val="auto"/>
              </w:rPr>
            </w:pPr>
            <w:r>
              <w:rPr>
                <w:rFonts w:ascii="Arial" w:cs="Arial" w:eastAsia="Arial" w:hAnsi="Arial"/>
                <w:sz w:val="18"/>
                <w:szCs w:val="18"/>
                <w:b w:val="1"/>
                <w:bCs w:val="1"/>
                <w:color w:val="auto"/>
              </w:rPr>
              <w:t>HIGHPEAK ENERGY, INC.</w:t>
            </w: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700" w:type="dxa"/>
            <w:vAlign w:val="bottom"/>
            <w:gridSpan w:val="4"/>
          </w:tcPr>
          <w:p>
            <w:pPr>
              <w:jc w:val="center"/>
              <w:ind w:right="3560"/>
              <w:spacing w:after="0"/>
              <w:rPr>
                <w:sz w:val="20"/>
                <w:szCs w:val="20"/>
                <w:color w:val="auto"/>
              </w:rPr>
            </w:pPr>
            <w:r>
              <w:rPr>
                <w:rFonts w:ascii="Arial" w:cs="Arial" w:eastAsia="Arial" w:hAnsi="Arial"/>
                <w:sz w:val="18"/>
                <w:szCs w:val="18"/>
                <w:b w:val="1"/>
                <w:bCs w:val="1"/>
                <w:color w:val="auto"/>
                <w:w w:val="87"/>
              </w:rPr>
              <w:t>Subsidiaries</w:t>
            </w:r>
          </w:p>
        </w:tc>
        <w:tc>
          <w:tcPr>
            <w:tcW w:w="0" w:type="dxa"/>
            <w:vAlign w:val="bottom"/>
          </w:tcPr>
          <w:p>
            <w:pPr>
              <w:spacing w:after="0"/>
              <w:rPr>
                <w:sz w:val="1"/>
                <w:szCs w:val="1"/>
                <w:color w:val="auto"/>
              </w:rPr>
            </w:pPr>
          </w:p>
        </w:tc>
      </w:tr>
      <w:tr>
        <w:trPr>
          <w:trHeight w:val="823"/>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4900" w:type="dxa"/>
            <w:vAlign w:val="bottom"/>
          </w:tcPr>
          <w:p>
            <w:pPr>
              <w:spacing w:after="0"/>
              <w:rPr>
                <w:sz w:val="24"/>
                <w:szCs w:val="24"/>
                <w:color w:val="auto"/>
              </w:rPr>
            </w:pPr>
          </w:p>
        </w:tc>
        <w:tc>
          <w:tcPr>
            <w:tcW w:w="280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1"/>
              </w:rPr>
              <w:t>Jurisdiction of Organization</w:t>
            </w:r>
          </w:p>
        </w:tc>
        <w:tc>
          <w:tcPr>
            <w:tcW w:w="0" w:type="dxa"/>
            <w:vAlign w:val="bottom"/>
          </w:tcPr>
          <w:p>
            <w:pPr>
              <w:spacing w:after="0"/>
              <w:rPr>
                <w:sz w:val="1"/>
                <w:szCs w:val="1"/>
                <w:color w:val="auto"/>
              </w:rPr>
            </w:pP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18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HighPeak Energy Acquisition Corp.</w:t>
            </w:r>
          </w:p>
        </w:tc>
        <w:tc>
          <w:tcPr>
            <w:tcW w:w="490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9"/>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HighPeak Energy Employees, Inc.</w:t>
            </w:r>
          </w:p>
        </w:tc>
        <w:tc>
          <w:tcPr>
            <w:tcW w:w="490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9"/>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HighPeak Energy Holdings, LLC</w:t>
            </w:r>
          </w:p>
        </w:tc>
        <w:tc>
          <w:tcPr>
            <w:tcW w:w="490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9"/>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HighPeak Energy Assets, LLC</w:t>
            </w:r>
          </w:p>
        </w:tc>
        <w:tc>
          <w:tcPr>
            <w:tcW w:w="490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9"/>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Lazy JJ Properties, LLC</w:t>
            </w:r>
          </w:p>
        </w:tc>
        <w:tc>
          <w:tcPr>
            <w:tcW w:w="490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9"/>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S-3 (File No. 333-261706) and in the Registration Statement on Form S-8 (File No. 333-249888) of HighPeak Energy, Inc., of our report dated March 6, 2023, relating to the consolidated financial statements as of December 31, 2022 and 2021, and for the years ended December 31, 2022 and 2021 and the periods from August 22, 2020 to December 31, 2020 and January 1, 2020 to August 21, 2020, which appears in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6, 2023</w:t>
      </w:r>
    </w:p>
    <w:p>
      <w:pPr>
        <w:sectPr>
          <w:pgSz w:w="11900" w:h="16838" w:orient="portrait"/>
          <w:cols w:equalWidth="0" w:num="1">
            <w:col w:w="11240"/>
          </w:cols>
          <w:pgMar w:left="320" w:top="121"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540" w:type="dxa"/>
            <w:vAlign w:val="bottom"/>
          </w:tcPr>
          <w:p>
            <w:pPr>
              <w:jc w:val="right"/>
              <w:spacing w:after="0"/>
              <w:rPr>
                <w:sz w:val="20"/>
                <w:szCs w:val="20"/>
                <w:color w:val="auto"/>
              </w:rPr>
            </w:pPr>
            <w:r>
              <w:rPr>
                <w:rFonts w:ascii="Arial" w:cs="Arial" w:eastAsia="Arial" w:hAnsi="Arial"/>
                <w:sz w:val="18"/>
                <w:szCs w:val="18"/>
                <w:b w:val="1"/>
                <w:bCs w:val="1"/>
                <w:color w:val="auto"/>
              </w:rPr>
              <w:t>EXHIBIT 23.2</w:t>
            </w:r>
          </w:p>
        </w:tc>
        <w:tc>
          <w:tcPr>
            <w:tcW w:w="0" w:type="dxa"/>
            <w:vAlign w:val="bottom"/>
          </w:tcPr>
          <w:p>
            <w:pPr>
              <w:spacing w:after="0"/>
              <w:rPr>
                <w:sz w:val="1"/>
                <w:szCs w:val="1"/>
                <w:color w:val="auto"/>
              </w:rPr>
            </w:pPr>
          </w:p>
        </w:tc>
      </w:tr>
      <w:tr>
        <w:trPr>
          <w:trHeight w:val="445"/>
        </w:trPr>
        <w:tc>
          <w:tcPr>
            <w:tcW w:w="352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awley</w:t>
            </w:r>
            <w:r>
              <w:rPr>
                <w:rFonts w:ascii="Arial" w:cs="Arial" w:eastAsia="Arial" w:hAnsi="Arial"/>
                <w:sz w:val="22"/>
                <w:szCs w:val="22"/>
                <w:color w:val="auto"/>
              </w:rPr>
              <w:t>, G</w:t>
            </w:r>
            <w:r>
              <w:rPr>
                <w:rFonts w:ascii="Arial" w:cs="Arial" w:eastAsia="Arial" w:hAnsi="Arial"/>
                <w:sz w:val="14"/>
                <w:szCs w:val="14"/>
                <w:color w:val="auto"/>
              </w:rPr>
              <w:t>illespie</w:t>
            </w:r>
            <w:r>
              <w:rPr>
                <w:rFonts w:ascii="Arial" w:cs="Arial" w:eastAsia="Arial" w:hAnsi="Arial"/>
                <w:sz w:val="22"/>
                <w:szCs w:val="22"/>
                <w:color w:val="auto"/>
              </w:rPr>
              <w:t xml:space="preserve"> &amp; A</w:t>
            </w:r>
            <w:r>
              <w:rPr>
                <w:rFonts w:ascii="Arial" w:cs="Arial" w:eastAsia="Arial" w:hAnsi="Arial"/>
                <w:sz w:val="14"/>
                <w:szCs w:val="14"/>
                <w:color w:val="auto"/>
              </w:rPr>
              <w:t>ssociates</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5"/>
              </w:rPr>
              <w:t>PETROLEUM CONSULTANTS</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520" w:type="dxa"/>
            <w:vAlign w:val="bottom"/>
            <w:vMerge w:val="restart"/>
          </w:tcPr>
          <w:p>
            <w:pPr>
              <w:spacing w:after="0"/>
              <w:rPr>
                <w:sz w:val="20"/>
                <w:szCs w:val="20"/>
                <w:color w:val="auto"/>
              </w:rPr>
            </w:pPr>
            <w:r>
              <w:rPr>
                <w:rFonts w:ascii="Arial" w:cs="Arial" w:eastAsia="Arial" w:hAnsi="Arial"/>
                <w:sz w:val="18"/>
                <w:szCs w:val="18"/>
                <w:color w:val="auto"/>
              </w:rPr>
              <w:t>13640 BRIARWICK DRIVE, SUITE 100</w:t>
            </w:r>
          </w:p>
        </w:tc>
        <w:tc>
          <w:tcPr>
            <w:tcW w:w="4180" w:type="dxa"/>
            <w:vAlign w:val="bottom"/>
          </w:tcPr>
          <w:p>
            <w:pPr>
              <w:jc w:val="center"/>
              <w:spacing w:after="0"/>
              <w:rPr>
                <w:sz w:val="20"/>
                <w:szCs w:val="20"/>
                <w:color w:val="auto"/>
              </w:rPr>
            </w:pPr>
            <w:r>
              <w:rPr>
                <w:rFonts w:ascii="Arial" w:cs="Arial" w:eastAsia="Arial" w:hAnsi="Arial"/>
                <w:sz w:val="18"/>
                <w:szCs w:val="18"/>
                <w:color w:val="auto"/>
                <w:w w:val="93"/>
              </w:rPr>
              <w:t>306 WEST SEVENTH STREET,</w:t>
            </w:r>
          </w:p>
        </w:tc>
        <w:tc>
          <w:tcPr>
            <w:tcW w:w="3540" w:type="dxa"/>
            <w:vAlign w:val="bottom"/>
            <w:vMerge w:val="restart"/>
          </w:tcPr>
          <w:p>
            <w:pPr>
              <w:jc w:val="right"/>
              <w:spacing w:after="0"/>
              <w:rPr>
                <w:sz w:val="20"/>
                <w:szCs w:val="20"/>
                <w:color w:val="auto"/>
              </w:rPr>
            </w:pPr>
            <w:r>
              <w:rPr>
                <w:rFonts w:ascii="Arial" w:cs="Arial" w:eastAsia="Arial" w:hAnsi="Arial"/>
                <w:sz w:val="18"/>
                <w:szCs w:val="18"/>
                <w:color w:val="auto"/>
              </w:rPr>
              <w:t>1000 LOUISIANA STREET, SUITE 1900</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93"/>
              </w:rPr>
              <w:t>SUITE 302</w:t>
            </w: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52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3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AUSTIN, TEXAS 78729-1106</w:t>
            </w:r>
          </w:p>
        </w:tc>
        <w:tc>
          <w:tcPr>
            <w:tcW w:w="4180" w:type="dxa"/>
            <w:vAlign w:val="bottom"/>
          </w:tcPr>
          <w:p>
            <w:pPr>
              <w:jc w:val="center"/>
              <w:spacing w:after="0"/>
              <w:rPr>
                <w:sz w:val="20"/>
                <w:szCs w:val="20"/>
                <w:color w:val="auto"/>
              </w:rPr>
            </w:pPr>
            <w:r>
              <w:rPr>
                <w:rFonts w:ascii="Arial" w:cs="Arial" w:eastAsia="Arial" w:hAnsi="Arial"/>
                <w:sz w:val="18"/>
                <w:szCs w:val="18"/>
                <w:color w:val="auto"/>
                <w:w w:val="93"/>
              </w:rPr>
              <w:t>FORT WORTH, TEXAS 76102-4987</w:t>
            </w:r>
          </w:p>
        </w:tc>
        <w:tc>
          <w:tcPr>
            <w:tcW w:w="3540" w:type="dxa"/>
            <w:vAlign w:val="bottom"/>
          </w:tcPr>
          <w:p>
            <w:pPr>
              <w:jc w:val="right"/>
              <w:spacing w:after="0"/>
              <w:rPr>
                <w:sz w:val="20"/>
                <w:szCs w:val="20"/>
                <w:color w:val="auto"/>
              </w:rPr>
            </w:pPr>
            <w:r>
              <w:rPr>
                <w:rFonts w:ascii="Arial" w:cs="Arial" w:eastAsia="Arial" w:hAnsi="Arial"/>
                <w:sz w:val="18"/>
                <w:szCs w:val="18"/>
                <w:color w:val="auto"/>
              </w:rPr>
              <w:t>HOUSTON, TEXAS 77002-5008</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512-249-7000</w:t>
            </w:r>
          </w:p>
        </w:tc>
        <w:tc>
          <w:tcPr>
            <w:tcW w:w="4180" w:type="dxa"/>
            <w:vAlign w:val="bottom"/>
          </w:tcPr>
          <w:p>
            <w:pPr>
              <w:jc w:val="center"/>
              <w:spacing w:after="0"/>
              <w:rPr>
                <w:sz w:val="20"/>
                <w:szCs w:val="20"/>
                <w:color w:val="auto"/>
              </w:rPr>
            </w:pPr>
            <w:r>
              <w:rPr>
                <w:rFonts w:ascii="Arial" w:cs="Arial" w:eastAsia="Arial" w:hAnsi="Arial"/>
                <w:sz w:val="18"/>
                <w:szCs w:val="18"/>
                <w:color w:val="auto"/>
                <w:w w:val="90"/>
              </w:rPr>
              <w:t>817- 336-2461</w:t>
            </w:r>
          </w:p>
        </w:tc>
        <w:tc>
          <w:tcPr>
            <w:tcW w:w="3540" w:type="dxa"/>
            <w:vAlign w:val="bottom"/>
          </w:tcPr>
          <w:p>
            <w:pPr>
              <w:jc w:val="right"/>
              <w:spacing w:after="0"/>
              <w:rPr>
                <w:sz w:val="20"/>
                <w:szCs w:val="20"/>
                <w:color w:val="auto"/>
              </w:rPr>
            </w:pPr>
            <w:r>
              <w:rPr>
                <w:rFonts w:ascii="Arial" w:cs="Arial" w:eastAsia="Arial" w:hAnsi="Arial"/>
                <w:sz w:val="18"/>
                <w:szCs w:val="18"/>
                <w:color w:val="auto"/>
              </w:rPr>
              <w:t>713-651-9944</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0"/>
              </w:rPr>
              <w:t>www.cgaus.com</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7"/>
          <w:szCs w:val="17"/>
          <w:color w:val="auto"/>
        </w:rPr>
        <w:t>As independent petroleum engineers, we hereby consent to the inclusion in HighPeak Energy</w:t>
      </w:r>
      <w:r>
        <w:rPr>
          <w:rFonts w:ascii="Arial" w:cs="Arial" w:eastAsia="Arial" w:hAnsi="Arial"/>
          <w:sz w:val="17"/>
          <w:szCs w:val="17"/>
          <w:b w:val="1"/>
          <w:bCs w:val="1"/>
          <w:color w:val="auto"/>
        </w:rPr>
        <w:t>,</w:t>
      </w:r>
      <w:r>
        <w:rPr>
          <w:rFonts w:ascii="Arial" w:cs="Arial" w:eastAsia="Arial" w:hAnsi="Arial"/>
          <w:sz w:val="17"/>
          <w:szCs w:val="17"/>
          <w:color w:val="auto"/>
        </w:rPr>
        <w:t xml:space="preserve"> Inc</w:t>
      </w:r>
      <w:r>
        <w:rPr>
          <w:rFonts w:ascii="Arial" w:cs="Arial" w:eastAsia="Arial" w:hAnsi="Arial"/>
          <w:sz w:val="17"/>
          <w:szCs w:val="17"/>
          <w:b w:val="1"/>
          <w:bCs w:val="1"/>
          <w:color w:val="auto"/>
        </w:rPr>
        <w:t>.</w:t>
      </w:r>
      <w:r>
        <w:rPr>
          <w:rFonts w:ascii="Arial" w:cs="Arial" w:eastAsia="Arial" w:hAnsi="Arial"/>
          <w:sz w:val="17"/>
          <w:szCs w:val="17"/>
          <w:color w:val="auto"/>
        </w:rPr>
        <w:t>’s Annual Report on Form 10-K, of our reserves reports of HighPeak Energy, Inc. proved oil and natural gas reserves estimates and associated estimates of future net revenues and their present value as of December 31, 2022, 2021 and 2020, included in or made a part of the Annual Report on Form 10-K, to the inclusion of its summary report dated January 23, 2023, January 18, 2022 and 2021, respectively, as exhibits to the Annual Report on Form 10-K and to the incorporation by reference in the Registration Statements on Form S-3 (File No. 333-261706) and on Form S-8 (File No. 333-249888) of such report.</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CAWLEY, GILLESPIE &amp; ASSOCIATES,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Texas Registered Engineering Firm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W. Todd Brooker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 Todd Brooker, P.E.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6, 2023</w:t>
      </w:r>
    </w:p>
    <w:p>
      <w:pPr>
        <w:sectPr>
          <w:pgSz w:w="11900" w:h="16838" w:orient="portrait"/>
          <w:cols w:equalWidth="0" w:num="1">
            <w:col w:w="11240"/>
          </w:cols>
          <w:pgMar w:left="320" w:top="12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Hightower, certify that:</w:t>
      </w:r>
    </w:p>
    <w:p>
      <w:pPr>
        <w:spacing w:after="0" w:line="225"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HighPeak Energy, Inc. (the “registrant”);</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80" w:hanging="328"/>
        <w:spacing w:after="0" w:line="263" w:lineRule="auto"/>
        <w:tabs>
          <w:tab w:leader="none" w:pos="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Jack Hightower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18"/>
          <w:szCs w:val="18"/>
          <w:color w:val="auto"/>
        </w:rPr>
        <w:t>Date:</w:t>
        <w:tab/>
        <w:t>March 6, 2023</w:t>
      </w:r>
    </w:p>
    <w:p>
      <w:pPr>
        <w:sectPr>
          <w:pgSz w:w="11900" w:h="16838" w:orient="portrait"/>
          <w:cols w:equalWidth="0" w:num="1">
            <w:col w:w="11240"/>
          </w:cols>
          <w:pgMar w:left="320" w:top="12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Tholen, certify that:</w:t>
      </w:r>
    </w:p>
    <w:p>
      <w:pPr>
        <w:spacing w:after="0" w:line="225"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HighPeak Energy, Inc. (the “registrant”);</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9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80" w:hanging="328"/>
        <w:spacing w:after="0" w:line="263" w:lineRule="auto"/>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Steven Tholen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18"/>
          <w:szCs w:val="18"/>
          <w:color w:val="auto"/>
        </w:rPr>
        <w:t>Date:</w:t>
        <w:tab/>
        <w:t>March 6, 2023</w:t>
      </w:r>
    </w:p>
    <w:p>
      <w:pPr>
        <w:sectPr>
          <w:pgSz w:w="11900" w:h="16838" w:orient="portrait"/>
          <w:cols w:equalWidth="0" w:num="1">
            <w:col w:w="11240"/>
          </w:cols>
          <w:pgMar w:left="320" w:top="12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18 U.S.C.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1350</w:t>
      </w:r>
    </w:p>
    <w:p>
      <w:pPr>
        <w:spacing w:after="0" w:line="21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connection with the Annual Report on Form 10-K for the year ended December 31, 2022 of HighPeak Energy, Inc. (the “Company”), as filed with the Securities and Exchange Commission on the date hereof (the “Report”), I, Jack Hightower, Chief Executive Officer of the Company, certify, pursuant to 18 U.S.C. Section 1350, as adopted pursuant to Section 906 of the Sarbanes-Oxley Act of 2002, that, to my knowledge:</w:t>
      </w:r>
    </w:p>
    <w:p>
      <w:pPr>
        <w:ind w:left="1460" w:hanging="480"/>
        <w:spacing w:after="0"/>
        <w:tabs>
          <w:tab w:leader="none" w:pos="1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60" w:lineRule="exact"/>
        <w:rPr>
          <w:rFonts w:ascii="Arial" w:cs="Arial" w:eastAsia="Arial" w:hAnsi="Arial"/>
          <w:sz w:val="16"/>
          <w:szCs w:val="16"/>
          <w:color w:val="auto"/>
        </w:rPr>
      </w:pPr>
    </w:p>
    <w:p>
      <w:pPr>
        <w:ind w:left="1460" w:right="120" w:hanging="480"/>
        <w:spacing w:after="0" w:line="277" w:lineRule="auto"/>
        <w:tabs>
          <w:tab w:leader="none" w:pos="1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Jack Hightower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18"/>
          <w:szCs w:val="18"/>
          <w:color w:val="auto"/>
        </w:rPr>
        <w:t>Date:</w:t>
        <w:tab/>
        <w:t>March 6, 2023</w:t>
      </w:r>
    </w:p>
    <w:p>
      <w:pPr>
        <w:sectPr>
          <w:pgSz w:w="11900" w:h="16838" w:orient="portrait"/>
          <w:cols w:equalWidth="0" w:num="1">
            <w:col w:w="11240"/>
          </w:cols>
          <w:pgMar w:left="320" w:top="121"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18 U.S.C.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1350</w:t>
      </w:r>
    </w:p>
    <w:p>
      <w:pPr>
        <w:spacing w:after="0" w:line="21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connection with the Annual Report on Form 10-K for the year ended December 31, 2022 of HighPeak Energy, Inc. (the “Company”), as filed with the Securities and Exchange Commission on the date hereof (the “Report”), I, Steven Tholen, Chief Financial Officer of the Company, certify, pursuant to 18 U.S.C. Section 1350, as adopted pursuant to Section 906 of the Sarbanes-Oxley Act of 2002, that, to my knowledge:</w:t>
      </w:r>
    </w:p>
    <w:p>
      <w:pPr>
        <w:ind w:left="1460" w:hanging="480"/>
        <w:spacing w:after="0"/>
        <w:tabs>
          <w:tab w:leader="none" w:pos="1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60" w:lineRule="exact"/>
        <w:rPr>
          <w:rFonts w:ascii="Arial" w:cs="Arial" w:eastAsia="Arial" w:hAnsi="Arial"/>
          <w:sz w:val="16"/>
          <w:szCs w:val="16"/>
          <w:color w:val="auto"/>
        </w:rPr>
      </w:pPr>
    </w:p>
    <w:p>
      <w:pPr>
        <w:ind w:left="1460" w:right="120" w:hanging="480"/>
        <w:spacing w:after="0" w:line="277" w:lineRule="auto"/>
        <w:tabs>
          <w:tab w:leader="none" w:pos="1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Steven Tholen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18"/>
          <w:szCs w:val="18"/>
          <w:color w:val="auto"/>
        </w:rPr>
        <w:t>Date:</w:t>
        <w:tab/>
        <w:t>March 6, 2023</w:t>
      </w:r>
    </w:p>
    <w:p>
      <w:pPr>
        <w:sectPr>
          <w:pgSz w:w="11900" w:h="16838" w:orient="portrait"/>
          <w:cols w:equalWidth="0" w:num="1">
            <w:col w:w="11240"/>
          </w:cols>
          <w:pgMar w:left="320" w:top="121"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4740" w:type="dxa"/>
            <w:vAlign w:val="bottom"/>
            <w:vMerge w:val="restart"/>
          </w:tcPr>
          <w:p>
            <w:pPr>
              <w:jc w:val="center"/>
              <w:spacing w:after="0"/>
              <w:rPr>
                <w:sz w:val="20"/>
                <w:szCs w:val="20"/>
                <w:color w:val="auto"/>
              </w:rPr>
            </w:pPr>
            <w:r>
              <w:rPr>
                <w:rFonts w:ascii="Arial" w:cs="Arial" w:eastAsia="Arial" w:hAnsi="Arial"/>
                <w:sz w:val="29"/>
                <w:szCs w:val="29"/>
                <w:color w:val="auto"/>
              </w:rPr>
              <w:t>C</w:t>
            </w:r>
            <w:r>
              <w:rPr>
                <w:rFonts w:ascii="Arial" w:cs="Arial" w:eastAsia="Arial" w:hAnsi="Arial"/>
                <w:sz w:val="20"/>
                <w:szCs w:val="20"/>
                <w:color w:val="auto"/>
              </w:rPr>
              <w:t>awley</w:t>
            </w:r>
            <w:r>
              <w:rPr>
                <w:rFonts w:ascii="Arial" w:cs="Arial" w:eastAsia="Arial" w:hAnsi="Arial"/>
                <w:sz w:val="29"/>
                <w:szCs w:val="29"/>
                <w:color w:val="auto"/>
              </w:rPr>
              <w:t>, G</w:t>
            </w:r>
            <w:r>
              <w:rPr>
                <w:rFonts w:ascii="Arial" w:cs="Arial" w:eastAsia="Arial" w:hAnsi="Arial"/>
                <w:sz w:val="20"/>
                <w:szCs w:val="20"/>
                <w:color w:val="auto"/>
              </w:rPr>
              <w:t>illespie</w:t>
            </w:r>
            <w:r>
              <w:rPr>
                <w:rFonts w:ascii="Arial" w:cs="Arial" w:eastAsia="Arial" w:hAnsi="Arial"/>
                <w:sz w:val="29"/>
                <w:szCs w:val="29"/>
                <w:color w:val="auto"/>
              </w:rPr>
              <w:t xml:space="preserve"> &amp; A</w:t>
            </w:r>
            <w:r>
              <w:rPr>
                <w:rFonts w:ascii="Arial" w:cs="Arial" w:eastAsia="Arial" w:hAnsi="Arial"/>
                <w:sz w:val="20"/>
                <w:szCs w:val="20"/>
                <w:color w:val="auto"/>
              </w:rPr>
              <w:t>ssociates</w:t>
            </w:r>
            <w:r>
              <w:rPr>
                <w:rFonts w:ascii="Arial" w:cs="Arial" w:eastAsia="Arial" w:hAnsi="Arial"/>
                <w:sz w:val="29"/>
                <w:szCs w:val="29"/>
                <w:color w:val="auto"/>
              </w:rPr>
              <w:t>, I</w:t>
            </w:r>
            <w:r>
              <w:rPr>
                <w:rFonts w:ascii="Arial" w:cs="Arial" w:eastAsia="Arial" w:hAnsi="Arial"/>
                <w:sz w:val="20"/>
                <w:szCs w:val="20"/>
                <w:color w:val="auto"/>
              </w:rPr>
              <w:t>nc</w:t>
            </w:r>
            <w:r>
              <w:rPr>
                <w:rFonts w:ascii="Arial" w:cs="Arial" w:eastAsia="Arial" w:hAnsi="Arial"/>
                <w:sz w:val="29"/>
                <w:szCs w:val="29"/>
                <w:color w:val="auto"/>
              </w:rPr>
              <w:t>.</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c>
          <w:tcPr>
            <w:tcW w:w="0" w:type="dxa"/>
            <w:vAlign w:val="bottom"/>
          </w:tcPr>
          <w:p>
            <w:pPr>
              <w:spacing w:after="0"/>
              <w:rPr>
                <w:sz w:val="1"/>
                <w:szCs w:val="1"/>
                <w:color w:val="auto"/>
              </w:rPr>
            </w:pPr>
          </w:p>
        </w:tc>
      </w:tr>
      <w:tr>
        <w:trPr>
          <w:trHeight w:val="343"/>
        </w:trPr>
        <w:tc>
          <w:tcPr>
            <w:tcW w:w="324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4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Arial" w:cs="Arial" w:eastAsia="Arial" w:hAnsi="Arial"/>
                <w:sz w:val="12"/>
                <w:szCs w:val="12"/>
                <w:color w:val="auto"/>
              </w:rPr>
              <w:t>petroleum consultants</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3240" w:type="dxa"/>
            <w:vAlign w:val="bottom"/>
          </w:tcPr>
          <w:p>
            <w:pPr>
              <w:spacing w:after="0"/>
              <w:rPr>
                <w:sz w:val="20"/>
                <w:szCs w:val="20"/>
                <w:color w:val="auto"/>
              </w:rPr>
            </w:pPr>
            <w:r>
              <w:rPr>
                <w:rFonts w:ascii="Arial" w:cs="Arial" w:eastAsia="Arial" w:hAnsi="Arial"/>
                <w:sz w:val="18"/>
                <w:szCs w:val="18"/>
                <w:color w:val="auto"/>
              </w:rPr>
              <w:t>13640 BRIARWICK DRIVE, SUITE 100</w:t>
            </w:r>
          </w:p>
        </w:tc>
        <w:tc>
          <w:tcPr>
            <w:tcW w:w="4740" w:type="dxa"/>
            <w:vAlign w:val="bottom"/>
          </w:tcPr>
          <w:p>
            <w:pPr>
              <w:jc w:val="center"/>
              <w:spacing w:after="0"/>
              <w:rPr>
                <w:sz w:val="20"/>
                <w:szCs w:val="20"/>
                <w:color w:val="auto"/>
              </w:rPr>
            </w:pPr>
            <w:r>
              <w:rPr>
                <w:rFonts w:ascii="Arial" w:cs="Arial" w:eastAsia="Arial" w:hAnsi="Arial"/>
                <w:sz w:val="18"/>
                <w:szCs w:val="18"/>
                <w:color w:val="auto"/>
                <w:w w:val="93"/>
              </w:rPr>
              <w:t>306 WEST SEVENTH STREET, SUITE 302</w:t>
            </w:r>
          </w:p>
        </w:tc>
        <w:tc>
          <w:tcPr>
            <w:tcW w:w="3260" w:type="dxa"/>
            <w:vAlign w:val="bottom"/>
          </w:tcPr>
          <w:p>
            <w:pPr>
              <w:jc w:val="right"/>
              <w:spacing w:after="0"/>
              <w:rPr>
                <w:sz w:val="20"/>
                <w:szCs w:val="20"/>
                <w:color w:val="auto"/>
              </w:rPr>
            </w:pPr>
            <w:r>
              <w:rPr>
                <w:rFonts w:ascii="Arial" w:cs="Arial" w:eastAsia="Arial" w:hAnsi="Arial"/>
                <w:sz w:val="18"/>
                <w:szCs w:val="18"/>
                <w:color w:val="auto"/>
                <w:w w:val="99"/>
              </w:rPr>
              <w:t>1000 LOUISIANA STREET, SUITE 1900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AUSTIN, TEXAS 78729-1106</w:t>
            </w:r>
          </w:p>
        </w:tc>
        <w:tc>
          <w:tcPr>
            <w:tcW w:w="4740" w:type="dxa"/>
            <w:vAlign w:val="bottom"/>
          </w:tcPr>
          <w:p>
            <w:pPr>
              <w:jc w:val="center"/>
              <w:spacing w:after="0"/>
              <w:rPr>
                <w:sz w:val="20"/>
                <w:szCs w:val="20"/>
                <w:color w:val="auto"/>
              </w:rPr>
            </w:pPr>
            <w:r>
              <w:rPr>
                <w:rFonts w:ascii="Arial" w:cs="Arial" w:eastAsia="Arial" w:hAnsi="Arial"/>
                <w:sz w:val="18"/>
                <w:szCs w:val="18"/>
                <w:color w:val="auto"/>
                <w:w w:val="93"/>
              </w:rPr>
              <w:t>FORT WORTH, TEXAS 76102-4987</w:t>
            </w:r>
          </w:p>
        </w:tc>
        <w:tc>
          <w:tcPr>
            <w:tcW w:w="3260" w:type="dxa"/>
            <w:vAlign w:val="bottom"/>
          </w:tcPr>
          <w:p>
            <w:pPr>
              <w:jc w:val="right"/>
              <w:spacing w:after="0"/>
              <w:rPr>
                <w:sz w:val="20"/>
                <w:szCs w:val="20"/>
                <w:color w:val="auto"/>
              </w:rPr>
            </w:pPr>
            <w:r>
              <w:rPr>
                <w:rFonts w:ascii="Arial" w:cs="Arial" w:eastAsia="Arial" w:hAnsi="Arial"/>
                <w:sz w:val="18"/>
                <w:szCs w:val="18"/>
                <w:color w:val="auto"/>
              </w:rPr>
              <w:t>HOUSTON, TEXAS 77002-5008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512-249-7000</w:t>
            </w:r>
          </w:p>
        </w:tc>
        <w:tc>
          <w:tcPr>
            <w:tcW w:w="4740" w:type="dxa"/>
            <w:vAlign w:val="bottom"/>
          </w:tcPr>
          <w:p>
            <w:pPr>
              <w:jc w:val="center"/>
              <w:spacing w:after="0"/>
              <w:rPr>
                <w:sz w:val="20"/>
                <w:szCs w:val="20"/>
                <w:color w:val="auto"/>
              </w:rPr>
            </w:pPr>
            <w:r>
              <w:rPr>
                <w:rFonts w:ascii="Arial" w:cs="Arial" w:eastAsia="Arial" w:hAnsi="Arial"/>
                <w:sz w:val="18"/>
                <w:szCs w:val="18"/>
                <w:color w:val="auto"/>
                <w:w w:val="90"/>
              </w:rPr>
              <w:t>817- 336-2461</w:t>
            </w:r>
          </w:p>
        </w:tc>
        <w:tc>
          <w:tcPr>
            <w:tcW w:w="3260" w:type="dxa"/>
            <w:vAlign w:val="bottom"/>
          </w:tcPr>
          <w:p>
            <w:pPr>
              <w:jc w:val="right"/>
              <w:spacing w:after="0"/>
              <w:rPr>
                <w:sz w:val="20"/>
                <w:szCs w:val="20"/>
                <w:color w:val="auto"/>
              </w:rPr>
            </w:pPr>
            <w:r>
              <w:rPr>
                <w:rFonts w:ascii="Arial" w:cs="Arial" w:eastAsia="Arial" w:hAnsi="Arial"/>
                <w:sz w:val="18"/>
                <w:szCs w:val="18"/>
                <w:color w:val="auto"/>
              </w:rPr>
              <w:t>713-651-9944</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4740" w:type="dxa"/>
            <w:vAlign w:val="bottom"/>
          </w:tcPr>
          <w:p>
            <w:pPr>
              <w:jc w:val="center"/>
              <w:spacing w:after="0"/>
              <w:rPr>
                <w:sz w:val="20"/>
                <w:szCs w:val="20"/>
                <w:color w:val="auto"/>
              </w:rPr>
            </w:pPr>
            <w:r>
              <w:rPr>
                <w:rFonts w:ascii="Arial" w:cs="Arial" w:eastAsia="Arial" w:hAnsi="Arial"/>
                <w:sz w:val="18"/>
                <w:szCs w:val="18"/>
                <w:color w:val="auto"/>
                <w:w w:val="91"/>
              </w:rPr>
              <w:t>www.cgaus.com</w:t>
            </w: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Arial" w:cs="Arial" w:eastAsia="Arial" w:hAnsi="Arial"/>
                <w:sz w:val="18"/>
                <w:szCs w:val="18"/>
                <w:color w:val="auto"/>
                <w:w w:val="89"/>
              </w:rPr>
              <w:t>January 23, 2023</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rPr>
              <w:t>Mr. Jack Hightower</w:t>
            </w:r>
          </w:p>
        </w:tc>
        <w:tc>
          <w:tcPr>
            <w:tcW w:w="47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Chairman &amp; CEO</w:t>
            </w:r>
          </w:p>
        </w:tc>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HighPeak Energy, Inc.</w:t>
            </w:r>
          </w:p>
        </w:tc>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421 W 3rd St, Suite 1000</w:t>
            </w:r>
          </w:p>
        </w:tc>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Fort Worth, Texas 76102</w:t>
            </w:r>
          </w:p>
        </w:tc>
        <w:tc>
          <w:tcPr>
            <w:tcW w:w="47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Evaluation Summary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HighPeak Energy, Inc. Interests</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Total Proved Reserves</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Certain Properties in Texas</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As of December 31, 2022</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Pursuant to the Guidelines of the Securities and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Exchange Commission for Reporting Corporate</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Reserves and Future Net Revenue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Hightower:</w:t>
      </w:r>
    </w:p>
    <w:p>
      <w:pPr>
        <w:spacing w:after="0" w:line="225"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 xml:space="preserve">As you have requested, this report was completed on January 23, 2023 for the purpose of submitting our estimates of proved reserves and forecasts of economics attributable to the </w:t>
      </w:r>
      <w:r>
        <w:rPr>
          <w:rFonts w:ascii="Arial" w:cs="Arial" w:eastAsia="Arial" w:hAnsi="Arial"/>
          <w:sz w:val="16"/>
          <w:szCs w:val="16"/>
          <w:i w:val="1"/>
          <w:iCs w:val="1"/>
          <w:color w:val="auto"/>
        </w:rPr>
        <w:t>HighPeak Energy, Inc.</w:t>
      </w:r>
      <w:r>
        <w:rPr>
          <w:rFonts w:ascii="Arial" w:cs="Arial" w:eastAsia="Arial" w:hAnsi="Arial"/>
          <w:sz w:val="16"/>
          <w:szCs w:val="16"/>
          <w:color w:val="auto"/>
        </w:rPr>
        <w:t xml:space="preserve"> (“HighPeak”) interests and for inclusion as an exhibit in a filing made with the U.S. Securities and Exchange Commission (“SEC”). This report includes 100% of HighPeak’s proved reserves, which are made up of oil and gas properties in Borden, Glasscock, Howard, Martin, and Mitchell Counties, Texas. This report utilized an effective date of December 31, 2022 and was prepared in accordance with the disclosure requirements set forth in SEC regulations. This evaluation was prepared using constant prices and costs, and conforms to Item 1202(a)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(8) of Regulation S-K and other rules of the SEC. A composite summary of the results of this evaluation are presented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Proved</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Proved</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Developed</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Developed</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Proved</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Proved</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Total</w:t>
            </w:r>
          </w:p>
        </w:tc>
      </w:tr>
      <w:tr>
        <w:trPr>
          <w:trHeight w:val="230"/>
        </w:trPr>
        <w:tc>
          <w:tcPr>
            <w:tcW w:w="25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Producing</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Non-Producing</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Developed</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Undeveloped</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Proved</w:t>
            </w:r>
          </w:p>
        </w:tc>
      </w:tr>
      <w:tr>
        <w:trPr>
          <w:trHeight w:val="209"/>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Net Reserves</w:t>
            </w:r>
          </w:p>
        </w:tc>
        <w:tc>
          <w:tcPr>
            <w:tcW w:w="16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540" w:type="dxa"/>
            <w:vAlign w:val="bottom"/>
          </w:tcPr>
          <w:p>
            <w:pPr>
              <w:ind w:left="500"/>
              <w:spacing w:after="0"/>
              <w:rPr>
                <w:sz w:val="20"/>
                <w:szCs w:val="20"/>
                <w:color w:val="auto"/>
              </w:rPr>
            </w:pPr>
            <w:r>
              <w:rPr>
                <w:rFonts w:ascii="Arial" w:cs="Arial" w:eastAsia="Arial" w:hAnsi="Arial"/>
                <w:sz w:val="18"/>
                <w:szCs w:val="18"/>
                <w:color w:val="auto"/>
              </w:rPr>
              <w:t>Oil</w:t>
            </w:r>
          </w:p>
        </w:tc>
        <w:tc>
          <w:tcPr>
            <w:tcW w:w="1660" w:type="dxa"/>
            <w:vAlign w:val="bottom"/>
          </w:tcPr>
          <w:p>
            <w:pPr>
              <w:ind w:left="380"/>
              <w:spacing w:after="0"/>
              <w:rPr>
                <w:sz w:val="20"/>
                <w:szCs w:val="20"/>
                <w:color w:val="auto"/>
              </w:rPr>
            </w:pPr>
            <w:r>
              <w:rPr>
                <w:rFonts w:ascii="Arial" w:cs="Arial" w:eastAsia="Arial" w:hAnsi="Arial"/>
                <w:sz w:val="18"/>
                <w:szCs w:val="18"/>
                <w:color w:val="auto"/>
              </w:rPr>
              <w:t>- Mbbl</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40,428.4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7,417.0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47,845.4</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50,970.8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98,816.2</w:t>
            </w:r>
          </w:p>
        </w:tc>
      </w:tr>
      <w:tr>
        <w:trPr>
          <w:trHeight w:val="216"/>
        </w:trPr>
        <w:tc>
          <w:tcPr>
            <w:tcW w:w="2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Gas</w:t>
            </w: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MMcf</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29,028.3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3,641.2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32,669.5</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25,968.5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58,637.9</w:t>
            </w:r>
          </w:p>
        </w:tc>
      </w:tr>
      <w:tr>
        <w:trPr>
          <w:trHeight w:val="216"/>
        </w:trPr>
        <w:tc>
          <w:tcPr>
            <w:tcW w:w="2540" w:type="dxa"/>
            <w:vAlign w:val="bottom"/>
          </w:tcPr>
          <w:p>
            <w:pPr>
              <w:ind w:left="500"/>
              <w:spacing w:after="0"/>
              <w:rPr>
                <w:sz w:val="20"/>
                <w:szCs w:val="20"/>
                <w:color w:val="auto"/>
              </w:rPr>
            </w:pPr>
            <w:r>
              <w:rPr>
                <w:rFonts w:ascii="Arial" w:cs="Arial" w:eastAsia="Arial" w:hAnsi="Arial"/>
                <w:sz w:val="18"/>
                <w:szCs w:val="18"/>
                <w:color w:val="auto"/>
              </w:rPr>
              <w:t>NGL</w:t>
            </w:r>
          </w:p>
        </w:tc>
        <w:tc>
          <w:tcPr>
            <w:tcW w:w="1660" w:type="dxa"/>
            <w:vAlign w:val="bottom"/>
          </w:tcPr>
          <w:p>
            <w:pPr>
              <w:ind w:left="380"/>
              <w:spacing w:after="0"/>
              <w:rPr>
                <w:sz w:val="20"/>
                <w:szCs w:val="20"/>
                <w:color w:val="auto"/>
              </w:rPr>
            </w:pPr>
            <w:r>
              <w:rPr>
                <w:rFonts w:ascii="Arial" w:cs="Arial" w:eastAsia="Arial" w:hAnsi="Arial"/>
                <w:sz w:val="18"/>
                <w:szCs w:val="18"/>
                <w:color w:val="auto"/>
              </w:rPr>
              <w:t>- Mbbl</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7,041.8</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926.6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7,968.4</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6,400.6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14,369.0</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540" w:type="dxa"/>
            <w:vAlign w:val="bottom"/>
          </w:tcPr>
          <w:p>
            <w:pPr>
              <w:ind w:left="500"/>
              <w:spacing w:after="0"/>
              <w:rPr>
                <w:sz w:val="20"/>
                <w:szCs w:val="20"/>
                <w:color w:val="auto"/>
              </w:rPr>
            </w:pPr>
            <w:r>
              <w:rPr>
                <w:rFonts w:ascii="Arial" w:cs="Arial" w:eastAsia="Arial" w:hAnsi="Arial"/>
                <w:sz w:val="18"/>
                <w:szCs w:val="18"/>
                <w:color w:val="auto"/>
              </w:rPr>
              <w:t>Oil</w:t>
            </w:r>
          </w:p>
        </w:tc>
        <w:tc>
          <w:tcPr>
            <w:tcW w:w="1660" w:type="dxa"/>
            <w:vAlign w:val="bottom"/>
          </w:tcPr>
          <w:p>
            <w:pPr>
              <w:ind w:left="380"/>
              <w:spacing w:after="0"/>
              <w:rPr>
                <w:sz w:val="20"/>
                <w:szCs w:val="20"/>
                <w:color w:val="auto"/>
              </w:rPr>
            </w:pPr>
            <w:r>
              <w:rPr>
                <w:rFonts w:ascii="Arial" w:cs="Arial" w:eastAsia="Arial" w:hAnsi="Arial"/>
                <w:sz w:val="18"/>
                <w:szCs w:val="18"/>
                <w:color w:val="auto"/>
              </w:rPr>
              <w:t>- M$</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3,822,010.9</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701,752.1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4,523,762.7</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4,822,794.8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9,346,559.0</w:t>
            </w:r>
          </w:p>
        </w:tc>
      </w:tr>
      <w:tr>
        <w:trPr>
          <w:trHeight w:val="216"/>
        </w:trPr>
        <w:tc>
          <w:tcPr>
            <w:tcW w:w="2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Gas</w:t>
            </w: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M$</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140,783.1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17,867.3</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158,650.3</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126,959.1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285,609.4</w:t>
            </w:r>
          </w:p>
        </w:tc>
      </w:tr>
      <w:tr>
        <w:trPr>
          <w:trHeight w:val="216"/>
        </w:trPr>
        <w:tc>
          <w:tcPr>
            <w:tcW w:w="2540" w:type="dxa"/>
            <w:vAlign w:val="bottom"/>
          </w:tcPr>
          <w:p>
            <w:pPr>
              <w:ind w:left="500"/>
              <w:spacing w:after="0"/>
              <w:rPr>
                <w:sz w:val="20"/>
                <w:szCs w:val="20"/>
                <w:color w:val="auto"/>
              </w:rPr>
            </w:pPr>
            <w:r>
              <w:rPr>
                <w:rFonts w:ascii="Arial" w:cs="Arial" w:eastAsia="Arial" w:hAnsi="Arial"/>
                <w:sz w:val="18"/>
                <w:szCs w:val="18"/>
                <w:color w:val="auto"/>
              </w:rPr>
              <w:t>NGL</w:t>
            </w:r>
          </w:p>
        </w:tc>
        <w:tc>
          <w:tcPr>
            <w:tcW w:w="1660" w:type="dxa"/>
            <w:vAlign w:val="bottom"/>
          </w:tcPr>
          <w:p>
            <w:pPr>
              <w:ind w:left="380"/>
              <w:spacing w:after="0"/>
              <w:rPr>
                <w:sz w:val="20"/>
                <w:szCs w:val="20"/>
                <w:color w:val="auto"/>
              </w:rPr>
            </w:pPr>
            <w:r>
              <w:rPr>
                <w:rFonts w:ascii="Arial" w:cs="Arial" w:eastAsia="Arial" w:hAnsi="Arial"/>
                <w:sz w:val="18"/>
                <w:szCs w:val="18"/>
                <w:color w:val="auto"/>
              </w:rPr>
              <w:t>- M$</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259,020.1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34,260.9</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293,281.1</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233,860.4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527,141.5</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Severance Taxes</w:t>
            </w: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M$</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205,797.7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36,190.2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241,987.9</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248,910.0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490,898.0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Ad Valorem Taxes</w:t>
            </w:r>
          </w:p>
        </w:tc>
        <w:tc>
          <w:tcPr>
            <w:tcW w:w="1660" w:type="dxa"/>
            <w:vAlign w:val="bottom"/>
          </w:tcPr>
          <w:p>
            <w:pPr>
              <w:ind w:left="380"/>
              <w:spacing w:after="0"/>
              <w:rPr>
                <w:sz w:val="20"/>
                <w:szCs w:val="20"/>
                <w:color w:val="auto"/>
              </w:rPr>
            </w:pPr>
            <w:r>
              <w:rPr>
                <w:rFonts w:ascii="Arial" w:cs="Arial" w:eastAsia="Arial" w:hAnsi="Arial"/>
                <w:sz w:val="18"/>
                <w:szCs w:val="18"/>
                <w:color w:val="auto"/>
              </w:rPr>
              <w:t>- M$</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100,400.4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17,942.3</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118,342.7</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123,367.6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241,710.2</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M$</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748,552.0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99,493.9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848,046.0</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709,197.8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1,557,243.6</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Abandonment Costs</w:t>
            </w:r>
          </w:p>
        </w:tc>
        <w:tc>
          <w:tcPr>
            <w:tcW w:w="1660" w:type="dxa"/>
            <w:vAlign w:val="bottom"/>
          </w:tcPr>
          <w:p>
            <w:pPr>
              <w:ind w:left="380"/>
              <w:spacing w:after="0"/>
              <w:rPr>
                <w:sz w:val="20"/>
                <w:szCs w:val="20"/>
                <w:color w:val="auto"/>
              </w:rPr>
            </w:pPr>
            <w:r>
              <w:rPr>
                <w:rFonts w:ascii="Arial" w:cs="Arial" w:eastAsia="Arial" w:hAnsi="Arial"/>
                <w:sz w:val="18"/>
                <w:szCs w:val="18"/>
                <w:color w:val="auto"/>
              </w:rPr>
              <w:t>- M$</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15,464.9</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1,070.0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16,534.9</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7,775.0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24,309.9</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M$</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21,613.7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21,613.7</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934,265.3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955,879.0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Net Operating Income (BFIT)</w:t>
            </w:r>
          </w:p>
        </w:tc>
        <w:tc>
          <w:tcPr>
            <w:tcW w:w="1660" w:type="dxa"/>
            <w:vAlign w:val="bottom"/>
          </w:tcPr>
          <w:p>
            <w:pPr>
              <w:ind w:left="380"/>
              <w:spacing w:after="0"/>
              <w:rPr>
                <w:sz w:val="20"/>
                <w:szCs w:val="20"/>
                <w:color w:val="auto"/>
              </w:rPr>
            </w:pPr>
            <w:r>
              <w:rPr>
                <w:rFonts w:ascii="Arial" w:cs="Arial" w:eastAsia="Arial" w:hAnsi="Arial"/>
                <w:sz w:val="18"/>
                <w:szCs w:val="18"/>
                <w:color w:val="auto"/>
              </w:rPr>
              <w:t>- M$</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3,151,600.1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577,570.2</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3,729,169.4</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3,160,098.0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6,889,267.2</w:t>
            </w:r>
          </w:p>
        </w:tc>
      </w:tr>
      <w:tr>
        <w:trPr>
          <w:trHeight w:val="216"/>
        </w:trPr>
        <w:tc>
          <w:tcPr>
            <w:tcW w:w="254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Discounted @ 10%</w:t>
            </w:r>
          </w:p>
        </w:tc>
        <w:tc>
          <w:tcPr>
            <w:tcW w:w="16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 M$</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1,947,249.5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372,708.4</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2,319,958.3</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1,552,087.0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3,872,045.3</w:t>
            </w:r>
          </w:p>
        </w:tc>
      </w:tr>
      <w:tr>
        <w:trPr>
          <w:trHeight w:val="574"/>
        </w:trPr>
        <w:tc>
          <w:tcPr>
            <w:tcW w:w="25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i w:val="1"/>
          <w:iCs w:val="1"/>
          <w:color w:val="auto"/>
        </w:rPr>
        <w:t>HighPeak Energy, Inc. Interests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23,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Future revenue is prior to deducting state production taxes and ad valorem taxes. Future net cash flow is after deducting these taxes, future capital (development) costs and operating expenses, but before consideration of federal income taxes. The future net cash flow has been discounted at an annual rate of ten percent to determine its “present worth”. The present worth is shown to indicate the effect of time on the value of money and should not be construed as being the fair market value of the reserves by Cawley, Gillespie &amp; Associates, Inc. (“CG&amp;A”).</w:t>
      </w:r>
    </w:p>
    <w:p>
      <w:pPr>
        <w:spacing w:after="0" w:line="17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oil reserves include oil and condensate. Oil and natural gas liquid (NGL) volumes are expressed in barrels (42 U.S. gallons). Gas volumes are expressed in thousands of standard cubic feet (Mcf) at contract temperature and pressure base.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Hydrocarbon Pricing</w:t>
      </w:r>
    </w:p>
    <w:p>
      <w:pPr>
        <w:spacing w:after="0" w:line="27"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6"/>
          <w:szCs w:val="16"/>
          <w:color w:val="auto"/>
        </w:rPr>
        <w:t>As requested for SEC purposes, the base oil and gas prices calculated for December 31, 2022 were $93.67/BBL and $6.358/MMBTU, respectively. As specified by the SEC, a company must use a 12-month average price, calculated as the unweighted arithmetic average of the first-day-of-the-month price for each month within the 12-month period prior to the end of the reporting period. The base oil price is based upon WTI-Cushing spot prices (EIA) during January 2022 through December 2022 and the base gas price is based upon Henry Hub spot prices (Platts Gas Daily) during January 2022 through December 2022. NGL prices were adjusted on a per-property basis and averaged 39.2% of the oil price on a composite basis.</w:t>
      </w:r>
    </w:p>
    <w:p>
      <w:pPr>
        <w:spacing w:after="0" w:line="1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base prices were adjusted for differentials on a per-property basis, which may include local basis differential, treating cost, transportation, gas shrinkage, gas heating value (BTU content) and/or crude quality and gravity corrections. After these adjustments, the net realized prices for the SEC price case over the life of the proved properties was estimated to be $94.59 per barrel for oil, $4.87 per MCF for natural gas and $36.69 per barrel for NGL. Economic factors were held constant in accordance with SEC guidelines.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Development Costs, Expenses and Taxes</w:t>
      </w:r>
    </w:p>
    <w:p>
      <w:pPr>
        <w:spacing w:after="0" w:line="27"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6"/>
          <w:szCs w:val="16"/>
          <w:color w:val="auto"/>
        </w:rPr>
        <w:t>Capital expenditures (Future Development Costs), lease operating expenses and ad valorem tax values were forecast as provided by your office. As you explained, the capital costs were based on the most current estimates, lease operating expenses were based on the analysis of historical expenses, operating overhead is included for non-operated properties and no credit or deduction is made for producing overhead paid to the company by other owners of the operated properties. Operating expenses include water disposal costs which are based on historic costs. Capital costs and lease operating expenses were held constant in accordance with SEC guidelines. Severance tax rates were applied at normal state percentages of oil, gas and NGL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 Conformance and Regulations</w:t>
      </w:r>
    </w:p>
    <w:p>
      <w:pPr>
        <w:spacing w:after="0" w:line="2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reserve classifications and the economic considerations used herein conform to the criteria of the SEC as defined in pages 7 and 8 of this report letter. The reserves and economics are predicated on regulatory agency classifications, rules, policies, laws, taxes and royalties currently in effect except as noted herein. Federal, state, and local laws and regulations, which are currently in effect and that govern the development and production of oil and natural gas, have been considered in the evaluation of proved reserves for this report. The possible effects of changes in legislation or other Federal or State restrictive actions which could affect the reserves and economics have not been considered. These possible changes could have an effect on the reserves and economics. However, we do not anticipate nor are we aware of any legislative changes or restrictive regulatory actions that may impact the recovery of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i w:val="1"/>
          <w:iCs w:val="1"/>
          <w:color w:val="auto"/>
        </w:rPr>
        <w:t>HighPeak Energy, Inc. Interests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23,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This evaluation includes 20 “drilled but uncompleted” wells anticipated to begin production by mid-year 2023 and 127 proved undeveloped locations, all of which are commercial using required SEC pricing. Each of these commercial drilling locations proposed as part of HighPeak’s development plans conforms to the proved undeveloped standards as set forth by the SEC. In our opinion, HighPeak has indicated it has every intent to complete this development plan as scheduled. Furthermore, HighPeak has demonstrated that it has adequate company staffing, financial backing and prior development success to ensure this development plan will be fully executed.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Reserve Estimation Methods</w:t>
      </w:r>
    </w:p>
    <w:p>
      <w:pPr>
        <w:spacing w:after="0" w:line="2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methods employed in estimating reserves are described on page 6 of this report letter. Reserves for proved developed producing wells were estimated using production performance methods for the vast majority of properties. Certain new producing properties with very little production history were forecast using a combination of production performance and analogy to similar production, both of which are considered to provide a relatively high degree of accuracy.</w:t>
      </w:r>
    </w:p>
    <w:p>
      <w:pPr>
        <w:spacing w:after="0" w:line="19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Non-producing reserve estimates, for both developed and undeveloped properties, were forecast using either volumetric or analogy methods, or a combination of both. These methods provide a relatively high degree of accuracy for predicting proved developed non-producing and proved undeveloped reserves. The assumptions, data, methods and procedures used herein are appropriate for the purpose served by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An on-site field inspection of the properties has not been performed nor has the mechanical operation or condition of the wells and their related facilities been examined, nor have the wells been tested by Cawley, Gillespie &amp; Associates, Inc. Possible environmental liability related to the properties has not been investigated nor considered. However, the net cost of plugging and the salvage value of equipment at abandonment have been included herein for commercial wells.</w:t>
      </w:r>
    </w:p>
    <w:p>
      <w:pPr>
        <w:spacing w:after="0" w:line="19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reserve estimates and forecasts were based upon interpretations of data furnished by your office and available from our files. Ownership information and economic factors such as liquid and gas prices, price differentials and expenses was furnished by your office. To some extent, information from public records was used to check and/or supplement these data. The basic engineering and geological data were utilized subject to third party reservations and qualifications. Nothing has come to our attention, however, that would cause us to believe that we are not justified in relying on such data. All estimates represent our best judgment based on the data available at the time of preparation. Due to inherent uncertainties in future production rates, commodity prices and geologic conditions, it should be realized that the reserve estimates, the reserves actually recovered, the revenue derived therefrom and the actual cost incurred could be more or less than the estimated amounts.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Closing</w:t>
      </w:r>
    </w:p>
    <w:p>
      <w:pPr>
        <w:spacing w:after="0" w:line="2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 xml:space="preserve">Cawley, Gillespie &amp; Associates, Inc. is a Texas Registered Engineering Firm (F-693), made up of independent registered professional engineers and geologists that have provided petroleum consulting services to the oil and gas industry for over 60 years. This evaluation was supervised by W. Todd Brooker, President at Cawley, Gillespie &amp; Associates, Inc. and a State of Texas Licensed Professional Engineer (License #83462), with Professional Qualifications noted on the next page. We do not own an interest in the properties or </w:t>
      </w:r>
      <w:r>
        <w:rPr>
          <w:rFonts w:ascii="Arial" w:cs="Arial" w:eastAsia="Arial" w:hAnsi="Arial"/>
          <w:sz w:val="17"/>
          <w:szCs w:val="17"/>
          <w:i w:val="1"/>
          <w:iCs w:val="1"/>
          <w:color w:val="auto"/>
        </w:rPr>
        <w:t>HighPeak Energy, Inc.</w:t>
      </w:r>
      <w:r>
        <w:rPr>
          <w:rFonts w:ascii="Arial" w:cs="Arial" w:eastAsia="Arial" w:hAnsi="Arial"/>
          <w:sz w:val="17"/>
          <w:szCs w:val="17"/>
          <w:color w:val="auto"/>
        </w:rPr>
        <w:t xml:space="preserve"> and are not employed on a contingent basis. We have used all methods and procedures that we consider necessary under the circumstances to prepare this report. Our work-papers and related data utilized in the preparation of these estimates are available in our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i w:val="1"/>
          <w:iCs w:val="1"/>
          <w:color w:val="auto"/>
        </w:rPr>
        <w:t>HighPeak Energy, Inc. Interests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23,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Yours very truly,</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CAWLEY, GILLESPIE &amp; ASSOCIATES, INC.</w:t>
      </w:r>
    </w:p>
    <w:p>
      <w:pPr>
        <w:spacing w:after="0" w:line="27"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Texas Registered Engineering Firm F-693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5600"/>
        <w:spacing w:after="0"/>
        <w:rPr>
          <w:sz w:val="20"/>
          <w:szCs w:val="20"/>
          <w:color w:val="auto"/>
        </w:rPr>
      </w:pPr>
      <w:r>
        <w:rPr>
          <w:rFonts w:ascii="Arial" w:cs="Arial" w:eastAsia="Arial" w:hAnsi="Arial"/>
          <w:sz w:val="18"/>
          <w:szCs w:val="18"/>
          <w:u w:val="single" w:color="auto"/>
          <w:color w:val="auto"/>
        </w:rPr>
        <w:t>/S/ W. TODD BROOKER</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W. T</w:t>
      </w:r>
      <w:r>
        <w:rPr>
          <w:rFonts w:ascii="Arial" w:cs="Arial" w:eastAsia="Arial" w:hAnsi="Arial"/>
          <w:sz w:val="12"/>
          <w:szCs w:val="12"/>
          <w:color w:val="auto"/>
        </w:rPr>
        <w:t>odd</w:t>
      </w:r>
      <w:r>
        <w:rPr>
          <w:rFonts w:ascii="Arial" w:cs="Arial" w:eastAsia="Arial" w:hAnsi="Arial"/>
          <w:sz w:val="18"/>
          <w:szCs w:val="18"/>
          <w:color w:val="auto"/>
        </w:rPr>
        <w:t xml:space="preserve"> B</w:t>
      </w:r>
      <w:r>
        <w:rPr>
          <w:rFonts w:ascii="Arial" w:cs="Arial" w:eastAsia="Arial" w:hAnsi="Arial"/>
          <w:sz w:val="12"/>
          <w:szCs w:val="12"/>
          <w:color w:val="auto"/>
        </w:rPr>
        <w:t>rooker</w:t>
      </w:r>
      <w:r>
        <w:rPr>
          <w:rFonts w:ascii="Arial" w:cs="Arial" w:eastAsia="Arial" w:hAnsi="Arial"/>
          <w:sz w:val="18"/>
          <w:szCs w:val="18"/>
          <w:color w:val="auto"/>
        </w:rPr>
        <w:t>, P.E.</w:t>
      </w:r>
    </w:p>
    <w:p>
      <w:pPr>
        <w:spacing w:after="0" w:line="9"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360"/>
        <w:spacing w:after="0"/>
        <w:rPr>
          <w:sz w:val="20"/>
          <w:szCs w:val="20"/>
          <w:color w:val="auto"/>
        </w:rPr>
      </w:pPr>
      <w:r>
        <w:rPr>
          <w:rFonts w:ascii="Arial" w:cs="Arial" w:eastAsia="Arial" w:hAnsi="Arial"/>
          <w:sz w:val="18"/>
          <w:szCs w:val="18"/>
          <w:u w:val="single" w:color="auto"/>
          <w:color w:val="auto"/>
        </w:rPr>
        <w:t>/S/ ROBERT P. BERGERON</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obert</w:t>
      </w:r>
      <w:r>
        <w:rPr>
          <w:rFonts w:ascii="Arial" w:cs="Arial" w:eastAsia="Arial" w:hAnsi="Arial"/>
          <w:sz w:val="18"/>
          <w:szCs w:val="18"/>
          <w:color w:val="auto"/>
        </w:rPr>
        <w:t xml:space="preserve"> P. B</w:t>
      </w:r>
      <w:r>
        <w:rPr>
          <w:rFonts w:ascii="Arial" w:cs="Arial" w:eastAsia="Arial" w:hAnsi="Arial"/>
          <w:sz w:val="12"/>
          <w:szCs w:val="12"/>
          <w:color w:val="auto"/>
        </w:rPr>
        <w:t>ergeron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 P.E.</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artner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5600"/>
        <w:spacing w:after="0"/>
        <w:rPr>
          <w:sz w:val="20"/>
          <w:szCs w:val="20"/>
          <w:color w:val="auto"/>
        </w:rPr>
      </w:pPr>
      <w:r>
        <w:rPr>
          <w:rFonts w:ascii="Arial" w:cs="Arial" w:eastAsia="Arial" w:hAnsi="Arial"/>
          <w:sz w:val="18"/>
          <w:szCs w:val="18"/>
          <w:u w:val="single" w:color="auto"/>
          <w:color w:val="auto"/>
        </w:rPr>
        <w:t>/S/ NICHOLAS J. LONCAR</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icholas</w:t>
      </w:r>
      <w:r>
        <w:rPr>
          <w:rFonts w:ascii="Arial" w:cs="Arial" w:eastAsia="Arial" w:hAnsi="Arial"/>
          <w:sz w:val="18"/>
          <w:szCs w:val="18"/>
          <w:color w:val="auto"/>
        </w:rPr>
        <w:t xml:space="preserve"> J. L</w:t>
      </w:r>
      <w:r>
        <w:rPr>
          <w:rFonts w:ascii="Arial" w:cs="Arial" w:eastAsia="Arial" w:hAnsi="Arial"/>
          <w:sz w:val="12"/>
          <w:szCs w:val="12"/>
          <w:color w:val="auto"/>
        </w:rPr>
        <w:t>oncar</w:t>
      </w:r>
    </w:p>
    <w:p>
      <w:pPr>
        <w:spacing w:after="0" w:line="9"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eservoir</w:t>
      </w:r>
      <w:r>
        <w:rPr>
          <w:rFonts w:ascii="Arial" w:cs="Arial" w:eastAsia="Arial" w:hAnsi="Arial"/>
          <w:sz w:val="18"/>
          <w:szCs w:val="18"/>
          <w:color w:val="auto"/>
        </w:rPr>
        <w:t xml:space="preserve"> E</w:t>
      </w:r>
      <w:r>
        <w:rPr>
          <w:rFonts w:ascii="Arial" w:cs="Arial" w:eastAsia="Arial" w:hAnsi="Arial"/>
          <w:sz w:val="12"/>
          <w:szCs w:val="12"/>
          <w:color w:val="auto"/>
        </w:rPr>
        <w:t>ngineer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Professional Qualifications of W. Todd Brooker, P.E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i w:val="1"/>
          <w:iCs w:val="1"/>
          <w:color w:val="auto"/>
        </w:rPr>
        <w:t>HighPeak Energy, Inc. Interests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23,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of Cawley, Gillespie &amp; Associates</w:t>
      </w:r>
    </w:p>
    <w:p>
      <w:pPr>
        <w:spacing w:after="0" w:line="200" w:lineRule="exact"/>
        <w:rPr>
          <w:sz w:val="20"/>
          <w:szCs w:val="20"/>
          <w:color w:val="auto"/>
        </w:rPr>
      </w:pPr>
    </w:p>
    <w:p>
      <w:pPr>
        <w:spacing w:after="0" w:line="24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Mr. Brooker has been a Petroleum Consultant for Cawley, Gillespie &amp; Associates (CG&amp;A) since 1992, and became President in 2017. His responsibilities include reserve and economic evaluations, fair market valuations, field studies, pipeline resource studies and acquisition/divestiture analysis. His reserve reports are routinely used for public company SEC disclosures. His experience includes significant projects in both conventional and unconventional resources in every major U.S. producing basin and abroad, including oil and gas shale plays, coalbed methane fields, waterfloods and complex, faulted structures. Prior to CG&amp;A he worked in Gulf of Mexico drilling and production engineering at Chevron USA. Mr. Brooker graduated with honors from the University of Texas at Austin in 1989 with a Bachelor of Science degree in Petroleum Engineering. He is a registered professional engineer in Texas, No. 83462, a member of the Society of Petroleum Engineers (SPE) and a member of the Society of Petroleum Evaluation Engineers (SPEE).</w:t>
      </w:r>
    </w:p>
    <w:p>
      <w:pPr>
        <w:spacing w:after="0" w:line="200" w:lineRule="exact"/>
        <w:rPr>
          <w:sz w:val="20"/>
          <w:szCs w:val="20"/>
          <w:color w:val="auto"/>
        </w:rPr>
      </w:pP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b w:val="1"/>
          <w:bCs w:val="1"/>
          <w:i w:val="1"/>
          <w:iCs w:val="1"/>
          <w:color w:val="auto"/>
        </w:rPr>
        <w:t>CAWLEY, GILLESPIE &amp; ASSOCIATES,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Texas Registered Engineering Firm F-693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i w:val="1"/>
          <w:iCs w:val="1"/>
          <w:color w:val="auto"/>
        </w:rPr>
        <w:t>HighPeak Energy, Inc. Interests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23,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Methods Employed in the Estimation of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The four methods customarily employed in the estimation of reserves are (1) </w:t>
      </w:r>
      <w:r>
        <w:rPr>
          <w:rFonts w:ascii="Arial" w:cs="Arial" w:eastAsia="Arial" w:hAnsi="Arial"/>
          <w:sz w:val="18"/>
          <w:szCs w:val="18"/>
          <w:i w:val="1"/>
          <w:iCs w:val="1"/>
          <w:u w:val="single" w:color="auto"/>
          <w:color w:val="auto"/>
        </w:rPr>
        <w:t>production performance</w:t>
      </w:r>
      <w:r>
        <w:rPr>
          <w:rFonts w:ascii="Arial" w:cs="Arial" w:eastAsia="Arial" w:hAnsi="Arial"/>
          <w:sz w:val="18"/>
          <w:szCs w:val="18"/>
          <w:color w:val="auto"/>
        </w:rPr>
        <w:t xml:space="preserve">, (2) </w:t>
      </w:r>
      <w:r>
        <w:rPr>
          <w:rFonts w:ascii="Arial" w:cs="Arial" w:eastAsia="Arial" w:hAnsi="Arial"/>
          <w:sz w:val="18"/>
          <w:szCs w:val="18"/>
          <w:i w:val="1"/>
          <w:iCs w:val="1"/>
          <w:u w:val="single" w:color="auto"/>
          <w:color w:val="auto"/>
        </w:rPr>
        <w:t>material balance</w:t>
      </w:r>
      <w:r>
        <w:rPr>
          <w:rFonts w:ascii="Arial" w:cs="Arial" w:eastAsia="Arial" w:hAnsi="Arial"/>
          <w:sz w:val="18"/>
          <w:szCs w:val="18"/>
          <w:color w:val="auto"/>
        </w:rPr>
        <w:t xml:space="preserve">, (3) </w:t>
      </w:r>
      <w:r>
        <w:rPr>
          <w:rFonts w:ascii="Arial" w:cs="Arial" w:eastAsia="Arial" w:hAnsi="Arial"/>
          <w:sz w:val="18"/>
          <w:szCs w:val="18"/>
          <w:i w:val="1"/>
          <w:iCs w:val="1"/>
          <w:u w:val="single" w:color="auto"/>
          <w:color w:val="auto"/>
        </w:rPr>
        <w:t>volumetric</w:t>
      </w:r>
      <w:r>
        <w:rPr>
          <w:rFonts w:ascii="Arial" w:cs="Arial" w:eastAsia="Arial" w:hAnsi="Arial"/>
          <w:sz w:val="18"/>
          <w:szCs w:val="18"/>
          <w:color w:val="auto"/>
        </w:rPr>
        <w:t xml:space="preserve"> and (4) </w:t>
      </w:r>
      <w:r>
        <w:rPr>
          <w:rFonts w:ascii="Arial" w:cs="Arial" w:eastAsia="Arial" w:hAnsi="Arial"/>
          <w:sz w:val="18"/>
          <w:szCs w:val="18"/>
          <w:i w:val="1"/>
          <w:iCs w:val="1"/>
          <w:u w:val="single" w:color="auto"/>
          <w:color w:val="auto"/>
        </w:rPr>
        <w:t>analogy</w:t>
      </w:r>
      <w:r>
        <w:rPr>
          <w:rFonts w:ascii="Arial" w:cs="Arial" w:eastAsia="Arial" w:hAnsi="Arial"/>
          <w:sz w:val="18"/>
          <w:szCs w:val="18"/>
          <w:color w:val="auto"/>
        </w:rPr>
        <w:t>. Most estimates, although based primarily on one method, utilize other methods depending on the nature and extent of the data available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the reservoirs.</w:t>
      </w:r>
    </w:p>
    <w:p>
      <w:pPr>
        <w:spacing w:after="0" w:line="18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 xml:space="preserve">Basic information includes production, pressure, geological and laboratory data. However, a large variation exists in the quality, quantity and types of information available on individual properties. Operators are generally required by regulatory authorities to file monthly production reports and </w:t>
      </w:r>
      <w:r>
        <w:rPr>
          <w:rFonts w:ascii="Arial" w:cs="Arial" w:eastAsia="Arial" w:hAnsi="Arial"/>
          <w:sz w:val="17"/>
          <w:szCs w:val="17"/>
          <w:u w:val="single" w:color="auto"/>
          <w:color w:val="auto"/>
        </w:rPr>
        <w:t>may</w:t>
      </w:r>
      <w:r>
        <w:rPr>
          <w:rFonts w:ascii="Arial" w:cs="Arial" w:eastAsia="Arial" w:hAnsi="Arial"/>
          <w:sz w:val="17"/>
          <w:szCs w:val="17"/>
          <w:color w:val="auto"/>
        </w:rPr>
        <w:t xml:space="preserve"> be required to measure and report periodically such data as well pressures, gas-oil ratios, well tests, etc. As a general rule, an operator has complete discretion in obtaining and/or making available geological and engineering data. The resulting lack of uniformity in data renders impossible the application of identical methods to all properties, and may result in significant differences in the accuracy and reliability of estimates.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brief discussion of each method, its basis, data requirements, applicability and generalization as to its relative degree of accuracy follows:</w:t>
      </w:r>
    </w:p>
    <w:p>
      <w:pPr>
        <w:spacing w:after="0" w:line="23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u w:val="single" w:color="auto"/>
          <w:color w:val="auto"/>
        </w:rPr>
        <w:t>Production performance</w:t>
      </w:r>
      <w:r>
        <w:rPr>
          <w:rFonts w:ascii="Arial" w:cs="Arial" w:eastAsia="Arial" w:hAnsi="Arial"/>
          <w:sz w:val="18"/>
          <w:szCs w:val="18"/>
          <w:color w:val="auto"/>
        </w:rPr>
        <w:t>. This method employs graphical analyses of production data on the premise that all factors which have controlled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to date will continue to control and that historical trends can be extrapolated to predict future performance. The only information required is production history. Capacity production can usually be analyzed from graphs of rates versus time or cumulative production. This procedure is referred to as "decline curve" analysis. Both capacity and restricted production can, in some cases, be analyzed from graphs of producing rate relationships of the various production components. Reserve estimates obtained by this method are generally considered to have a relatively high degree of accuracy with the degree of accuracy increasing as production history accumulates.</w:t>
      </w:r>
    </w:p>
    <w:p>
      <w:pPr>
        <w:spacing w:after="0" w:line="19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i w:val="1"/>
          <w:iCs w:val="1"/>
          <w:u w:val="single" w:color="auto"/>
          <w:color w:val="auto"/>
        </w:rPr>
        <w:t>Material balance</w:t>
      </w:r>
      <w:r>
        <w:rPr>
          <w:rFonts w:ascii="Arial" w:cs="Arial" w:eastAsia="Arial" w:hAnsi="Arial"/>
          <w:sz w:val="17"/>
          <w:szCs w:val="17"/>
          <w:color w:val="auto"/>
        </w:rPr>
        <w:t>. This method employs the analysis of the relationship of production and pressure performance on the premise that the reservoir</w:t>
      </w:r>
      <w:r>
        <w:rPr>
          <w:rFonts w:ascii="Arial" w:cs="Arial" w:eastAsia="Arial" w:hAnsi="Arial"/>
          <w:sz w:val="17"/>
          <w:szCs w:val="17"/>
          <w:i w:val="1"/>
          <w:iCs w:val="1"/>
          <w:color w:val="auto"/>
        </w:rPr>
        <w:t xml:space="preserve"> </w:t>
      </w:r>
      <w:r>
        <w:rPr>
          <w:rFonts w:ascii="Arial" w:cs="Arial" w:eastAsia="Arial" w:hAnsi="Arial"/>
          <w:sz w:val="17"/>
          <w:szCs w:val="17"/>
          <w:color w:val="auto"/>
        </w:rPr>
        <w:t>volume and its initial hydrocarbon content are fixed and that this initial hydrocarbon volume and recoveries therefrom can be estimated by analyzing changes in pressure with respect to production relationships. This method requires reliable pressure and temperature data, production data, fluid analyses and knowledge of the nature of the reservoir. The material balance method is applicable to all reservoirs, but the time and expense required for its use is dependent on the nature of the reservoir and its fluids. Reserves for depletion type reservoirs can be estimated from graphs of pressures corrected for compressibility versus cumulative production, requiring only data that are usually available. Estimates for other reservoir types require extensive data and involve complex calculations most suited to computer models which makes this method generally applicable only to reservoirs where there is economic justification for its use. Reserve estimates obtained by this method are generally considered to have a degree of accuracy that is directly related to the complexity of the reservoir and the quality and quantity of data available.</w:t>
      </w:r>
    </w:p>
    <w:p>
      <w:pPr>
        <w:spacing w:after="0" w:line="181" w:lineRule="exact"/>
        <w:rPr>
          <w:sz w:val="20"/>
          <w:szCs w:val="20"/>
          <w:color w:val="auto"/>
        </w:rPr>
      </w:pPr>
    </w:p>
    <w:p>
      <w:pPr>
        <w:jc w:val="both"/>
        <w:ind w:firstLine="486"/>
        <w:spacing w:after="0" w:line="218" w:lineRule="exact"/>
        <w:rPr>
          <w:sz w:val="20"/>
          <w:szCs w:val="20"/>
          <w:color w:val="auto"/>
        </w:rPr>
      </w:pPr>
      <w:r>
        <w:rPr>
          <w:rFonts w:ascii="Arial" w:cs="Arial" w:eastAsia="Arial" w:hAnsi="Arial"/>
          <w:sz w:val="17"/>
          <w:szCs w:val="17"/>
          <w:i w:val="1"/>
          <w:iCs w:val="1"/>
          <w:u w:val="single" w:color="auto"/>
          <w:color w:val="auto"/>
        </w:rPr>
        <w:t>Volumetric</w:t>
      </w:r>
      <w:r>
        <w:rPr>
          <w:rFonts w:ascii="Arial" w:cs="Arial" w:eastAsia="Arial" w:hAnsi="Arial"/>
          <w:sz w:val="17"/>
          <w:szCs w:val="17"/>
          <w:color w:val="auto"/>
        </w:rPr>
        <w:t>. This method employs analyses of physical measurements of rock and fluid properties to calculate the volume of hydrocarbons in-place.</w:t>
      </w:r>
      <w:r>
        <w:rPr>
          <w:rFonts w:ascii="Arial" w:cs="Arial" w:eastAsia="Arial" w:hAnsi="Arial"/>
          <w:sz w:val="17"/>
          <w:szCs w:val="17"/>
          <w:i w:val="1"/>
          <w:iCs w:val="1"/>
          <w:color w:val="auto"/>
        </w:rPr>
        <w:t xml:space="preserve"> </w:t>
      </w:r>
      <w:r>
        <w:rPr>
          <w:rFonts w:ascii="Arial" w:cs="Arial" w:eastAsia="Arial" w:hAnsi="Arial"/>
          <w:sz w:val="17"/>
          <w:szCs w:val="17"/>
          <w:color w:val="auto"/>
        </w:rPr>
        <w:t>The data required are well information sufficient to determine reservoir subsurface datum, thickness, storage volume, fluid content and location. The volumetric meth</w:t>
      </w:r>
      <w:r>
        <w:rPr>
          <w:rFonts w:ascii="MS PGothic" w:cs="MS PGothic" w:eastAsia="MS PGothic" w:hAnsi="MS PGothic"/>
          <w:sz w:val="17"/>
          <w:szCs w:val="17"/>
          <w:color w:val="auto"/>
        </w:rPr>
        <w:t>‐</w:t>
      </w:r>
      <w:r>
        <w:rPr>
          <w:rFonts w:ascii="Arial" w:cs="Arial" w:eastAsia="Arial" w:hAnsi="Arial"/>
          <w:sz w:val="17"/>
          <w:szCs w:val="17"/>
          <w:color w:val="auto"/>
        </w:rPr>
        <w:t>od is most applicable to reservoirs which are not susceptible to analysis by production performance or material balance methods. These are most commonly newly developed and/or no-pressure depleting reservoirs. The amount of hydrocarbons in-place that can be recovered is not an integral part of the volumetric calculations but is an estimate inferred by other methods and a knowledge of the nature of the reservoir. Reserve estimates obtained by this method are generally considered to have a low degree of accuracy; but the degree of accuracy can be relatively high where rock quality and subsurface control is good and the nature of the reservoir is uncomplicated.</w:t>
      </w:r>
    </w:p>
    <w:p>
      <w:pPr>
        <w:spacing w:after="0" w:line="20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i w:val="1"/>
          <w:iCs w:val="1"/>
          <w:u w:val="single" w:color="auto"/>
          <w:color w:val="auto"/>
        </w:rPr>
        <w:t>Analogy</w:t>
      </w:r>
      <w:r>
        <w:rPr>
          <w:rFonts w:ascii="Arial" w:cs="Arial" w:eastAsia="Arial" w:hAnsi="Arial"/>
          <w:sz w:val="17"/>
          <w:szCs w:val="17"/>
          <w:color w:val="auto"/>
        </w:rPr>
        <w:t>. This method, which employs experience and judgment to estimate reserves, is based on observations of similar situations and includes</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of theoretical performance. The analogy method is a common approach used for “resource plays,” where an abundance of wells with similar production profiles facilitates the reliable estimation of future reserves with a relatively high degree of accuracy. The analogy method may also be applicable where the data are insufficient or so inconclusive that reliable reserve estimates cannot be made by other methods. Reserve estimates obtained in this manner are generally considered to have a relatively low degree of accuracy.</w:t>
      </w:r>
    </w:p>
    <w:p>
      <w:pPr>
        <w:spacing w:after="0" w:line="1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Much of the information used in the estimation of reserves is itself arrived at by the use of estimates. These estimates are subject to continuing change as additional information becomes available. Reserve estimates which presently appear to be correct may be found to contain substantial errors as time passes and new information is obtained about well and reservoir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i w:val="1"/>
          <w:iCs w:val="1"/>
          <w:color w:val="auto"/>
        </w:rPr>
        <w:t>HighPeak Energy, Inc. Interests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23,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 Definitions and 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486"/>
        <w:spacing w:after="0" w:line="223" w:lineRule="exact"/>
        <w:rPr>
          <w:sz w:val="20"/>
          <w:szCs w:val="20"/>
          <w:color w:val="auto"/>
        </w:rPr>
      </w:pPr>
      <w:r>
        <w:rPr>
          <w:rFonts w:ascii="Arial" w:cs="Arial" w:eastAsia="Arial" w:hAnsi="Arial"/>
          <w:sz w:val="18"/>
          <w:szCs w:val="18"/>
          <w:color w:val="auto"/>
        </w:rPr>
        <w:t>The Securities and Exchange Commission, in SX Reg. 210</w:t>
      </w:r>
      <w:r>
        <w:rPr>
          <w:rFonts w:ascii="MS PGothic" w:cs="MS PGothic" w:eastAsia="MS PGothic" w:hAnsi="MS PGothic"/>
          <w:sz w:val="18"/>
          <w:szCs w:val="18"/>
          <w:color w:val="auto"/>
        </w:rPr>
        <w:t>‐</w:t>
      </w:r>
      <w:r>
        <w:rPr>
          <w:rFonts w:ascii="Arial" w:cs="Arial" w:eastAsia="Arial" w:hAnsi="Arial"/>
          <w:sz w:val="18"/>
          <w:szCs w:val="18"/>
          <w:color w:val="auto"/>
        </w:rPr>
        <w:t>.4-10 dated November 18, 1981, as amended on September 19, 1989 and January 1, 2010, requires adherence to the following definitions of oil and gas reserves:</w:t>
      </w:r>
    </w:p>
    <w:p>
      <w:pPr>
        <w:spacing w:after="0" w:line="19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Proved oil and gas reserves</w:t>
      </w:r>
      <w:r>
        <w:rPr>
          <w:rFonts w:ascii="Arial" w:cs="Arial" w:eastAsia="Arial" w:hAnsi="Arial"/>
          <w:sz w:val="18"/>
          <w:szCs w:val="18"/>
          <w:color w:val="auto"/>
        </w:rPr>
        <w:t>. 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 The area of a reservoir considered as proved includes: (A) 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"(iv) 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87"/>
              </w:rPr>
              <w:t>Developed oil and gas reserves</w:t>
            </w:r>
            <w:r>
              <w:rPr>
                <w:rFonts w:ascii="Arial" w:cs="Arial" w:eastAsia="Arial" w:hAnsi="Arial"/>
                <w:sz w:val="18"/>
                <w:szCs w:val="18"/>
                <w:color w:val="auto"/>
                <w:w w:val="87"/>
              </w:rPr>
              <w:t>. Developed oil and gas reserves are reserves of any category that can be expected to be recovered:</w:t>
            </w: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438"/>
        </w:trPr>
        <w:tc>
          <w:tcPr>
            <w:tcW w:w="1060" w:type="dxa"/>
            <w:vAlign w:val="bottom"/>
          </w:tcPr>
          <w:p>
            <w:pPr>
              <w:ind w:left="660"/>
              <w:spacing w:after="0"/>
              <w:rPr>
                <w:sz w:val="20"/>
                <w:szCs w:val="20"/>
                <w:color w:val="auto"/>
              </w:rPr>
            </w:pPr>
            <w:r>
              <w:rPr>
                <w:rFonts w:ascii="Arial" w:cs="Arial" w:eastAsia="Arial" w:hAnsi="Arial"/>
                <w:sz w:val="18"/>
                <w:szCs w:val="18"/>
                <w:color w:val="auto"/>
              </w:rPr>
              <w:t>“(i)</w:t>
            </w:r>
          </w:p>
        </w:tc>
        <w:tc>
          <w:tcPr>
            <w:tcW w:w="120" w:type="dxa"/>
            <w:vAlign w:val="bottom"/>
          </w:tcPr>
          <w:p>
            <w:pPr>
              <w:spacing w:after="0"/>
              <w:rPr>
                <w:sz w:val="24"/>
                <w:szCs w:val="24"/>
                <w:color w:val="auto"/>
              </w:rPr>
            </w:pPr>
          </w:p>
        </w:tc>
        <w:tc>
          <w:tcPr>
            <w:tcW w:w="10060" w:type="dxa"/>
            <w:vAlign w:val="bottom"/>
            <w:gridSpan w:val="2"/>
          </w:tcPr>
          <w:p>
            <w:pPr>
              <w:jc w:val="right"/>
              <w:spacing w:after="0"/>
              <w:rPr>
                <w:sz w:val="20"/>
                <w:szCs w:val="20"/>
                <w:color w:val="auto"/>
              </w:rPr>
            </w:pPr>
            <w:r>
              <w:rPr>
                <w:rFonts w:ascii="Arial" w:cs="Arial" w:eastAsia="Arial" w:hAnsi="Arial"/>
                <w:sz w:val="18"/>
                <w:szCs w:val="18"/>
                <w:color w:val="auto"/>
                <w:w w:val="93"/>
              </w:rPr>
              <w:t>Through existing wells with existing equipment and operating methods or in which the cost of the required equipment is relatively minor</w:t>
            </w:r>
          </w:p>
        </w:tc>
      </w:tr>
      <w:tr>
        <w:trPr>
          <w:trHeight w:val="230"/>
        </w:trPr>
        <w:tc>
          <w:tcPr>
            <w:tcW w:w="11240" w:type="dxa"/>
            <w:vAlign w:val="bottom"/>
            <w:gridSpan w:val="4"/>
          </w:tcPr>
          <w:p>
            <w:pPr>
              <w:jc w:val="right"/>
              <w:ind w:right="8360"/>
              <w:spacing w:after="0"/>
              <w:rPr>
                <w:sz w:val="20"/>
                <w:szCs w:val="20"/>
                <w:color w:val="auto"/>
              </w:rPr>
            </w:pPr>
            <w:r>
              <w:rPr>
                <w:rFonts w:ascii="Arial" w:cs="Arial" w:eastAsia="Arial" w:hAnsi="Arial"/>
                <w:sz w:val="18"/>
                <w:szCs w:val="18"/>
                <w:color w:val="auto"/>
                <w:w w:val="90"/>
              </w:rPr>
              <w:t>compared to the cost of a new well; and</w:t>
            </w:r>
          </w:p>
        </w:tc>
      </w:tr>
      <w:tr>
        <w:trPr>
          <w:trHeight w:val="432"/>
        </w:trPr>
        <w:tc>
          <w:tcPr>
            <w:tcW w:w="1060" w:type="dxa"/>
            <w:vAlign w:val="bottom"/>
          </w:tcPr>
          <w:p>
            <w:pPr>
              <w:ind w:left="660"/>
              <w:spacing w:after="0"/>
              <w:rPr>
                <w:sz w:val="20"/>
                <w:szCs w:val="20"/>
                <w:color w:val="auto"/>
              </w:rPr>
            </w:pPr>
            <w:r>
              <w:rPr>
                <w:rFonts w:ascii="Arial" w:cs="Arial" w:eastAsia="Arial" w:hAnsi="Arial"/>
                <w:sz w:val="18"/>
                <w:szCs w:val="18"/>
                <w:color w:val="auto"/>
              </w:rPr>
              <w:t>“(ii)</w:t>
            </w:r>
          </w:p>
        </w:tc>
        <w:tc>
          <w:tcPr>
            <w:tcW w:w="120" w:type="dxa"/>
            <w:vAlign w:val="bottom"/>
          </w:tcPr>
          <w:p>
            <w:pPr>
              <w:spacing w:after="0"/>
              <w:rPr>
                <w:sz w:val="24"/>
                <w:szCs w:val="24"/>
                <w:color w:val="auto"/>
              </w:rPr>
            </w:pPr>
          </w:p>
        </w:tc>
        <w:tc>
          <w:tcPr>
            <w:tcW w:w="10060" w:type="dxa"/>
            <w:vAlign w:val="bottom"/>
            <w:gridSpan w:val="2"/>
          </w:tcPr>
          <w:p>
            <w:pPr>
              <w:jc w:val="right"/>
              <w:spacing w:after="0"/>
              <w:rPr>
                <w:sz w:val="20"/>
                <w:szCs w:val="20"/>
                <w:color w:val="auto"/>
              </w:rPr>
            </w:pPr>
            <w:r>
              <w:rPr>
                <w:rFonts w:ascii="Arial" w:cs="Arial" w:eastAsia="Arial" w:hAnsi="Arial"/>
                <w:sz w:val="18"/>
                <w:szCs w:val="18"/>
                <w:color w:val="auto"/>
                <w:w w:val="94"/>
              </w:rPr>
              <w:t>Through installed extraction equipment and infrastructure operational at the time of the reserves estimate if the extraction is by means</w:t>
            </w:r>
          </w:p>
        </w:tc>
      </w:tr>
    </w:tbl>
    <w:p>
      <w:pPr>
        <w:spacing w:after="0"/>
        <w:rPr>
          <w:sz w:val="20"/>
          <w:szCs w:val="20"/>
          <w:color w:val="auto"/>
        </w:rPr>
      </w:pPr>
      <w:r>
        <w:rPr>
          <w:rFonts w:ascii="Arial" w:cs="Arial" w:eastAsia="Arial" w:hAnsi="Arial"/>
          <w:sz w:val="18"/>
          <w:szCs w:val="18"/>
          <w:color w:val="auto"/>
        </w:rPr>
        <w:t>not involving a well.</w:t>
      </w:r>
    </w:p>
    <w:p>
      <w:pPr>
        <w:spacing w:after="0" w:line="207"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Undeveloped oil and gas reserves</w:t>
      </w:r>
      <w:r>
        <w:rPr>
          <w:rFonts w:ascii="Arial" w:cs="Arial" w:eastAsia="Arial" w:hAnsi="Arial"/>
          <w:sz w:val="18"/>
          <w:szCs w:val="18"/>
          <w:color w:val="auto"/>
        </w:rPr>
        <w:t>. Undeveloped oil and gas reserves are reserves of any category that are expected to be recovered from new wells on undrilled acreage, or from existing wells where a relatively major expenditure is required for recompletion.</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“(ii) Undrilled locations can be classified as having undeveloped reserves only if a development plan has been adopted indicating that they are scheduled to be drilled within five years, unless the specific circumstances, justify a longer time.</w:t>
      </w:r>
    </w:p>
    <w:p>
      <w:pPr>
        <w:spacing w:after="0" w:line="170"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7"/>
          <w:szCs w:val="17"/>
          <w:color w:val="auto"/>
        </w:rPr>
        <w:t>“(iii)</w:t>
      </w:r>
      <w:r>
        <w:rPr>
          <w:sz w:val="20"/>
          <w:szCs w:val="20"/>
          <w:color w:val="auto"/>
        </w:rPr>
        <w:tab/>
      </w:r>
      <w:r>
        <w:rPr>
          <w:rFonts w:ascii="Arial" w:cs="Arial" w:eastAsia="Arial" w:hAnsi="Arial"/>
          <w:sz w:val="17"/>
          <w:szCs w:val="17"/>
          <w:color w:val="auto"/>
        </w:rPr>
        <w:t>Under no circumstances shall estimates for undeveloped reserves be attributable to any acreage for which an application of fluid</w:t>
      </w:r>
    </w:p>
    <w:p>
      <w:pPr>
        <w:spacing w:after="0" w:line="3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i w:val="1"/>
          <w:iCs w:val="1"/>
          <w:color w:val="auto"/>
        </w:rPr>
        <w:t>HighPeak Energy, Inc. Interests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23,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7" w:lineRule="exact"/>
        <w:rPr>
          <w:sz w:val="20"/>
          <w:szCs w:val="20"/>
          <w:color w:val="auto"/>
        </w:rPr>
      </w:pPr>
    </w:p>
    <w:p>
      <w:pPr>
        <w:jc w:val="both"/>
        <w:ind w:right="20" w:firstLine="486"/>
        <w:spacing w:after="0" w:line="282"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u w:val="single" w:color="auto"/>
          <w:color w:val="auto"/>
        </w:rPr>
        <w:t>Probable reserves</w:t>
      </w:r>
      <w:r>
        <w:rPr>
          <w:rFonts w:ascii="Arial" w:cs="Arial" w:eastAsia="Arial" w:hAnsi="Arial"/>
          <w:sz w:val="18"/>
          <w:szCs w:val="18"/>
          <w:color w:val="auto"/>
        </w:rPr>
        <w:t>. Probable reserves are those additional reserves that are less certain to be recovered than proved reserves but which, together with proved reserves, are as likely as not to be recovered.</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 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“(ii) 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“(iii)</w:t>
            </w:r>
          </w:p>
        </w:tc>
        <w:tc>
          <w:tcPr>
            <w:tcW w:w="9960" w:type="dxa"/>
            <w:vAlign w:val="bottom"/>
            <w:gridSpan w:val="2"/>
          </w:tcPr>
          <w:p>
            <w:pPr>
              <w:ind w:left="440"/>
              <w:spacing w:after="0"/>
              <w:rPr>
                <w:sz w:val="20"/>
                <w:szCs w:val="20"/>
                <w:color w:val="auto"/>
              </w:rPr>
            </w:pPr>
            <w:r>
              <w:rPr>
                <w:rFonts w:ascii="Arial" w:cs="Arial" w:eastAsia="Arial" w:hAnsi="Arial"/>
                <w:sz w:val="18"/>
                <w:szCs w:val="18"/>
                <w:color w:val="auto"/>
                <w:w w:val="94"/>
              </w:rPr>
              <w:t>Probable reserves estimates also include potential incremental quantities associated with a greater percentage recovery of the</w:t>
            </w:r>
          </w:p>
        </w:tc>
      </w:tr>
      <w:tr>
        <w:trPr>
          <w:trHeight w:val="230"/>
        </w:trPr>
        <w:tc>
          <w:tcPr>
            <w:tcW w:w="11240" w:type="dxa"/>
            <w:vAlign w:val="bottom"/>
            <w:gridSpan w:val="3"/>
          </w:tcPr>
          <w:p>
            <w:pPr>
              <w:spacing w:after="0"/>
              <w:rPr>
                <w:sz w:val="20"/>
                <w:szCs w:val="20"/>
                <w:color w:val="auto"/>
              </w:rPr>
            </w:pPr>
            <w:r>
              <w:rPr>
                <w:rFonts w:ascii="Arial" w:cs="Arial" w:eastAsia="Arial" w:hAnsi="Arial"/>
                <w:sz w:val="18"/>
                <w:szCs w:val="18"/>
                <w:color w:val="auto"/>
              </w:rPr>
              <w:t>hydrocarbons in place than assumed for proved reserves.</w:t>
            </w:r>
          </w:p>
        </w:tc>
      </w:tr>
      <w:tr>
        <w:trPr>
          <w:trHeight w:val="432"/>
        </w:trPr>
        <w:tc>
          <w:tcPr>
            <w:tcW w:w="1280" w:type="dxa"/>
            <w:vAlign w:val="bottom"/>
          </w:tcPr>
          <w:p>
            <w:pPr>
              <w:ind w:left="660"/>
              <w:spacing w:after="0"/>
              <w:rPr>
                <w:sz w:val="20"/>
                <w:szCs w:val="20"/>
                <w:color w:val="auto"/>
              </w:rPr>
            </w:pPr>
            <w:r>
              <w:rPr>
                <w:rFonts w:ascii="Arial" w:cs="Arial" w:eastAsia="Arial" w:hAnsi="Arial"/>
                <w:sz w:val="18"/>
                <w:szCs w:val="18"/>
                <w:color w:val="auto"/>
              </w:rPr>
              <w:t>“(iv)</w:t>
            </w:r>
          </w:p>
        </w:tc>
        <w:tc>
          <w:tcPr>
            <w:tcW w:w="9960" w:type="dxa"/>
            <w:vAlign w:val="bottom"/>
            <w:gridSpan w:val="2"/>
          </w:tcPr>
          <w:p>
            <w:pPr>
              <w:ind w:left="120"/>
              <w:spacing w:after="0"/>
              <w:rPr>
                <w:sz w:val="20"/>
                <w:szCs w:val="20"/>
                <w:color w:val="auto"/>
              </w:rPr>
            </w:pPr>
            <w:r>
              <w:rPr>
                <w:rFonts w:ascii="Arial" w:cs="Arial" w:eastAsia="Arial" w:hAnsi="Arial"/>
                <w:sz w:val="18"/>
                <w:szCs w:val="18"/>
                <w:color w:val="auto"/>
              </w:rPr>
              <w:t>See also guidelines in paragraphs (17)(iv) and (17)(vi) of this section (below).</w:t>
            </w:r>
          </w:p>
        </w:tc>
      </w:tr>
      <w:tr>
        <w:trPr>
          <w:trHeight w:val="391"/>
        </w:trPr>
        <w:tc>
          <w:tcPr>
            <w:tcW w:w="1280" w:type="dxa"/>
            <w:vAlign w:val="bottom"/>
          </w:tcPr>
          <w:p>
            <w:pPr>
              <w:ind w:left="500"/>
              <w:spacing w:after="0"/>
              <w:rPr>
                <w:sz w:val="20"/>
                <w:szCs w:val="20"/>
                <w:color w:val="auto"/>
              </w:rPr>
            </w:pPr>
            <w:r>
              <w:rPr>
                <w:rFonts w:ascii="Arial" w:cs="Arial" w:eastAsia="Arial" w:hAnsi="Arial"/>
                <w:sz w:val="18"/>
                <w:szCs w:val="18"/>
                <w:color w:val="auto"/>
              </w:rPr>
              <w:t>"(17)</w:t>
            </w:r>
          </w:p>
        </w:tc>
        <w:tc>
          <w:tcPr>
            <w:tcW w:w="9960" w:type="dxa"/>
            <w:vAlign w:val="bottom"/>
            <w:gridSpan w:val="2"/>
          </w:tcPr>
          <w:p>
            <w:pPr>
              <w:spacing w:after="0"/>
              <w:rPr>
                <w:sz w:val="20"/>
                <w:szCs w:val="20"/>
                <w:color w:val="auto"/>
              </w:rPr>
            </w:pPr>
            <w:r>
              <w:rPr>
                <w:rFonts w:ascii="Arial" w:cs="Arial" w:eastAsia="Arial" w:hAnsi="Arial"/>
                <w:sz w:val="18"/>
                <w:szCs w:val="18"/>
                <w:b w:val="1"/>
                <w:bCs w:val="1"/>
                <w:color w:val="auto"/>
                <w:w w:val="96"/>
              </w:rPr>
              <w:t>Possible reserves</w:t>
            </w:r>
            <w:r>
              <w:rPr>
                <w:rFonts w:ascii="Arial" w:cs="Arial" w:eastAsia="Arial" w:hAnsi="Arial"/>
                <w:sz w:val="18"/>
                <w:szCs w:val="18"/>
                <w:color w:val="auto"/>
                <w:w w:val="96"/>
              </w:rPr>
              <w:t>. Possible reserves are those additional reserves that are less certain to be recovered than probable reserves.</w:t>
            </w:r>
          </w:p>
        </w:tc>
      </w:tr>
      <w:tr>
        <w:trPr>
          <w:trHeight w:val="20"/>
        </w:trPr>
        <w:tc>
          <w:tcPr>
            <w:tcW w:w="1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453"/>
        </w:trPr>
        <w:tc>
          <w:tcPr>
            <w:tcW w:w="1280" w:type="dxa"/>
            <w:vAlign w:val="bottom"/>
          </w:tcPr>
          <w:p>
            <w:pPr>
              <w:ind w:left="660"/>
              <w:spacing w:after="0"/>
              <w:rPr>
                <w:sz w:val="20"/>
                <w:szCs w:val="20"/>
                <w:color w:val="auto"/>
              </w:rPr>
            </w:pPr>
            <w:r>
              <w:rPr>
                <w:rFonts w:ascii="Arial" w:cs="Arial" w:eastAsia="Arial" w:hAnsi="Arial"/>
                <w:sz w:val="18"/>
                <w:szCs w:val="18"/>
                <w:color w:val="auto"/>
              </w:rPr>
              <w:t>“(i)</w:t>
            </w:r>
          </w:p>
        </w:tc>
        <w:tc>
          <w:tcPr>
            <w:tcW w:w="9960" w:type="dxa"/>
            <w:vAlign w:val="bottom"/>
            <w:gridSpan w:val="2"/>
          </w:tcPr>
          <w:p>
            <w:pPr>
              <w:ind w:left="40"/>
              <w:spacing w:after="0"/>
              <w:rPr>
                <w:sz w:val="20"/>
                <w:szCs w:val="20"/>
                <w:color w:val="auto"/>
              </w:rPr>
            </w:pPr>
            <w:r>
              <w:rPr>
                <w:rFonts w:ascii="Arial" w:cs="Arial" w:eastAsia="Arial" w:hAnsi="Arial"/>
                <w:sz w:val="18"/>
                <w:szCs w:val="18"/>
                <w:color w:val="auto"/>
                <w:w w:val="91"/>
              </w:rPr>
              <w:t>When deterministic methods are used, the total quantities ultimately recovered from a project have a low probability of exceeding proved</w:t>
            </w:r>
          </w:p>
        </w:tc>
      </w:tr>
    </w:tbl>
    <w:p>
      <w:pPr>
        <w:jc w:val="both"/>
        <w:ind w:right="20"/>
        <w:spacing w:after="0" w:line="260" w:lineRule="auto"/>
        <w:rPr>
          <w:sz w:val="20"/>
          <w:szCs w:val="20"/>
          <w:color w:val="auto"/>
        </w:rPr>
      </w:pPr>
      <w:r>
        <w:rPr>
          <w:rFonts w:ascii="Arial" w:cs="Arial" w:eastAsia="Arial" w:hAnsi="Arial"/>
          <w:sz w:val="18"/>
          <w:szCs w:val="18"/>
          <w:color w:val="auto"/>
        </w:rPr>
        <w:t>plus probable plus possible reserves. When probabilistic methods are used, there should be at least a 10% probability that the total quantities ultimately recovered will equal or exceed the proved plus probable plus possible reserves estimates.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“(ii) 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“(iii) Possible reserves also include incremental quantities associated with a greater percentage recovery of the hydrocarbons in place than the recovery quantities assumed for probable reserves.</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6"/>
          <w:szCs w:val="16"/>
          <w:color w:val="auto"/>
        </w:rPr>
        <w:t>“(iv)</w:t>
      </w:r>
      <w:r>
        <w:rPr>
          <w:sz w:val="20"/>
          <w:szCs w:val="20"/>
          <w:color w:val="auto"/>
        </w:rPr>
        <w:tab/>
      </w:r>
      <w:r>
        <w:rPr>
          <w:rFonts w:ascii="Arial" w:cs="Arial" w:eastAsia="Arial" w:hAnsi="Arial"/>
          <w:sz w:val="16"/>
          <w:szCs w:val="16"/>
          <w:color w:val="auto"/>
        </w:rPr>
        <w:t>The proved plus probable and proved plus probable plus possible reserves estimates must be based on reasonable alternative technical</w:t>
      </w:r>
    </w:p>
    <w:p>
      <w:pPr>
        <w:spacing w:after="0" w:line="46"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and commercial interpretations within the reservoir or subject project that are clearly documented, including comparisons to results in successful similar projects.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“(v) 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“(vi) Pursuant to paragraph (22)(iii) of this section (above),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w:t>
      </w:r>
    </w:p>
    <w:p>
      <w:pPr>
        <w:spacing w:after="0" w:line="15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 xml:space="preserve">Instruction 4 of Item 2(b) of Securities and Exchange Commission Regulation S-K was revised January 1, 2010 to state that "a registrant engaged in oil and gas producing activities shall provide the information required by Subpart 1200 of Regulation S–K." This is relevant in that Instruction 2 to paragraph (a)(2) states: “The registrant is </w:t>
      </w:r>
      <w:r>
        <w:rPr>
          <w:rFonts w:ascii="Arial" w:cs="Arial" w:eastAsia="Arial" w:hAnsi="Arial"/>
          <w:sz w:val="16"/>
          <w:szCs w:val="16"/>
          <w:i w:val="1"/>
          <w:iCs w:val="1"/>
          <w:color w:val="auto"/>
        </w:rPr>
        <w:t>permitted, but not required</w:t>
      </w:r>
      <w:r>
        <w:rPr>
          <w:rFonts w:ascii="Arial" w:cs="Arial" w:eastAsia="Arial" w:hAnsi="Arial"/>
          <w:sz w:val="16"/>
          <w:szCs w:val="16"/>
          <w:color w:val="auto"/>
        </w:rPr>
        <w:t>, to disclose probable or possible reserves pursuant to paragraphs (a)(2)(iv) through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(2)(vii) of this Item.”</w:t>
      </w:r>
    </w:p>
    <w:p>
      <w:pPr>
        <w:spacing w:after="0" w:line="20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u w:val="single" w:color="auto"/>
          <w:color w:val="auto"/>
        </w:rPr>
        <w:t>Reserves</w:t>
      </w:r>
      <w:r>
        <w:rPr>
          <w:rFonts w:ascii="Arial" w:cs="Arial" w:eastAsia="Arial" w:hAnsi="Arial"/>
          <w:sz w:val="18"/>
          <w:szCs w:val="18"/>
          <w:color w:val="auto"/>
        </w:rPr>
        <w:t>. 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“Note to paragraph (26)</w:t>
      </w:r>
      <w:r>
        <w:rPr>
          <w:rFonts w:ascii="Arial" w:cs="Arial" w:eastAsia="Arial" w:hAnsi="Arial"/>
          <w:sz w:val="18"/>
          <w:szCs w:val="18"/>
          <w:color w:val="auto"/>
        </w:rPr>
        <w:t>: Reserves should not be assigned to adjacent reservoirs isolated by major, potentially sealing, faults until those reservoirs are</w:t>
      </w:r>
      <w:r>
        <w:rPr>
          <w:rFonts w:ascii="Arial" w:cs="Arial" w:eastAsia="Arial" w:hAnsi="Arial"/>
          <w:sz w:val="18"/>
          <w:szCs w:val="18"/>
          <w:i w:val="1"/>
          <w:iCs w:val="1"/>
          <w:color w:val="auto"/>
        </w:rPr>
        <w:t xml:space="preserve"> </w:t>
      </w:r>
      <w:r>
        <w:rPr>
          <w:rFonts w:ascii="Arial" w:cs="Arial" w:eastAsia="Arial" w:hAnsi="Arial"/>
          <w:sz w:val="18"/>
          <w:szCs w:val="18"/>
          <w:color w:val="auto"/>
        </w:rPr>
        <w:t>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APPENDIX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Explanatory Comments for Summary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HEADINGS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Description of Table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Identity of Interest Evaluated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Property Description – Location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Reserve Classification and Development Status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Date of Evaluation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FORECAST</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(Columns)</w:t>
      </w:r>
    </w:p>
    <w:p>
      <w:pPr>
        <w:spacing w:after="0" w:line="202" w:lineRule="exact"/>
        <w:rPr>
          <w:sz w:val="20"/>
          <w:szCs w:val="20"/>
          <w:color w:val="auto"/>
        </w:rPr>
      </w:pPr>
    </w:p>
    <w:p>
      <w:pPr>
        <w:ind w:left="420" w:hanging="250"/>
        <w:spacing w:after="0"/>
        <w:tabs>
          <w:tab w:leader="none" w:pos="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(11) (21)</w:t>
      </w:r>
      <w:r>
        <w:rPr>
          <w:rFonts w:ascii="Arial" w:cs="Arial" w:eastAsia="Arial" w:hAnsi="Arial"/>
          <w:sz w:val="16"/>
          <w:szCs w:val="16"/>
          <w:u w:val="single" w:color="auto"/>
          <w:color w:val="auto"/>
        </w:rPr>
        <w:t xml:space="preserve">Calendar </w:t>
      </w:r>
      <w:r>
        <w:rPr>
          <w:rFonts w:ascii="Arial" w:cs="Arial" w:eastAsia="Arial" w:hAnsi="Arial"/>
          <w:sz w:val="16"/>
          <w:szCs w:val="16"/>
          <w:color w:val="auto"/>
        </w:rPr>
        <w:t>or</w:t>
      </w:r>
      <w:r>
        <w:rPr>
          <w:rFonts w:ascii="Arial" w:cs="Arial" w:eastAsia="Arial" w:hAnsi="Arial"/>
          <w:sz w:val="16"/>
          <w:szCs w:val="16"/>
          <w:u w:val="single" w:color="auto"/>
          <w:color w:val="auto"/>
        </w:rPr>
        <w:t xml:space="preserve"> Fiscal </w:t>
      </w:r>
      <w:r>
        <w:rPr>
          <w:rFonts w:ascii="Arial" w:cs="Arial" w:eastAsia="Arial" w:hAnsi="Arial"/>
          <w:sz w:val="16"/>
          <w:szCs w:val="16"/>
          <w:color w:val="auto"/>
        </w:rPr>
        <w:t>years/months commencing on effective date.</w:t>
      </w:r>
    </w:p>
    <w:p>
      <w:pPr>
        <w:spacing w:after="0" w:line="36" w:lineRule="exact"/>
        <w:rPr>
          <w:rFonts w:ascii="Arial" w:cs="Arial" w:eastAsia="Arial" w:hAnsi="Arial"/>
          <w:sz w:val="18"/>
          <w:szCs w:val="18"/>
          <w:color w:val="auto"/>
        </w:rPr>
      </w:pPr>
    </w:p>
    <w:p>
      <w:pPr>
        <w:ind w:left="1460" w:hanging="1290"/>
        <w:spacing w:after="0" w:line="255" w:lineRule="auto"/>
        <w:tabs>
          <w:tab w:leader="none" w:pos="41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(3) (4)</w:t>
      </w:r>
      <w:r>
        <w:rPr>
          <w:rFonts w:ascii="Arial" w:cs="Arial" w:eastAsia="Arial" w:hAnsi="Arial"/>
          <w:sz w:val="18"/>
          <w:szCs w:val="18"/>
          <w:u w:val="single" w:color="auto"/>
          <w:color w:val="auto"/>
        </w:rPr>
        <w:t xml:space="preserve">Gross Production </w:t>
      </w:r>
      <w:r>
        <w:rPr>
          <w:rFonts w:ascii="Arial" w:cs="Arial" w:eastAsia="Arial" w:hAnsi="Arial"/>
          <w:sz w:val="18"/>
          <w:szCs w:val="18"/>
          <w:color w:val="auto"/>
        </w:rPr>
        <w:t>(8/8th) for the years/months which are economical. These are expressed as thousands of barrels (Mbbl) and millions</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cubic feet (MMcf) of gas at standard conditions. Total future production, cumulative production to effective date and ultimate recovery at the effective date are shown following the annual/monthly forecasts.</w:t>
      </w:r>
    </w:p>
    <w:p>
      <w:pPr>
        <w:spacing w:after="0" w:line="3" w:lineRule="exact"/>
        <w:rPr>
          <w:sz w:val="20"/>
          <w:szCs w:val="20"/>
          <w:color w:val="auto"/>
        </w:rPr>
      </w:pPr>
    </w:p>
    <w:p>
      <w:pPr>
        <w:ind w:left="1460" w:hanging="1290"/>
        <w:spacing w:after="0" w:line="250" w:lineRule="auto"/>
        <w:tabs>
          <w:tab w:leader="none" w:pos="41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(6) (7)</w:t>
      </w:r>
      <w:r>
        <w:rPr>
          <w:rFonts w:ascii="Arial" w:cs="Arial" w:eastAsia="Arial" w:hAnsi="Arial"/>
          <w:sz w:val="18"/>
          <w:szCs w:val="18"/>
          <w:u w:val="single" w:color="auto"/>
          <w:color w:val="auto"/>
        </w:rPr>
        <w:t xml:space="preserve">Net Production </w:t>
      </w:r>
      <w:r>
        <w:rPr>
          <w:rFonts w:ascii="Arial" w:cs="Arial" w:eastAsia="Arial" w:hAnsi="Arial"/>
          <w:sz w:val="18"/>
          <w:szCs w:val="18"/>
          <w:color w:val="auto"/>
        </w:rPr>
        <w:t>accruable to evaluated interest is calculated by multiplying the revenue interest times the gross production. These</w:t>
      </w:r>
      <w:r>
        <w:rPr>
          <w:rFonts w:ascii="Arial" w:cs="Arial" w:eastAsia="Arial" w:hAnsi="Arial"/>
          <w:sz w:val="18"/>
          <w:szCs w:val="18"/>
          <w:u w:val="single" w:color="auto"/>
          <w:color w:val="auto"/>
        </w:rPr>
        <w:t xml:space="preserve"> </w:t>
      </w:r>
      <w:r>
        <w:rPr>
          <w:rFonts w:ascii="Arial" w:cs="Arial" w:eastAsia="Arial" w:hAnsi="Arial"/>
          <w:sz w:val="18"/>
          <w:szCs w:val="18"/>
          <w:color w:val="auto"/>
        </w:rPr>
        <w:t>values take into account changes in interest and gas shrinkage.</w:t>
      </w:r>
    </w:p>
    <w:p>
      <w:pPr>
        <w:spacing w:after="0" w:line="1" w:lineRule="exact"/>
        <w:rPr>
          <w:sz w:val="20"/>
          <w:szCs w:val="20"/>
          <w:color w:val="auto"/>
        </w:rPr>
      </w:pPr>
    </w:p>
    <w:p>
      <w:pPr>
        <w:ind w:left="1460" w:right="20" w:hanging="1290"/>
        <w:spacing w:after="0" w:line="250" w:lineRule="auto"/>
        <w:tabs>
          <w:tab w:leader="none" w:pos="1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Average (volume weighted) </w:t>
      </w:r>
      <w:r>
        <w:rPr>
          <w:rFonts w:ascii="Arial" w:cs="Arial" w:eastAsia="Arial" w:hAnsi="Arial"/>
          <w:sz w:val="18"/>
          <w:szCs w:val="18"/>
          <w:u w:val="single" w:color="auto"/>
          <w:color w:val="auto"/>
        </w:rPr>
        <w:t>gross liquid price</w:t>
      </w:r>
      <w:r>
        <w:rPr>
          <w:rFonts w:ascii="Arial" w:cs="Arial" w:eastAsia="Arial" w:hAnsi="Arial"/>
          <w:sz w:val="18"/>
          <w:szCs w:val="18"/>
          <w:color w:val="auto"/>
        </w:rPr>
        <w:t xml:space="preserve"> per barrel before deducting production-severance taxes. (9) Average (volume weighted) </w:t>
      </w:r>
      <w:r>
        <w:rPr>
          <w:rFonts w:ascii="Arial" w:cs="Arial" w:eastAsia="Arial" w:hAnsi="Arial"/>
          <w:sz w:val="18"/>
          <w:szCs w:val="18"/>
          <w:u w:val="single" w:color="auto"/>
          <w:color w:val="auto"/>
        </w:rPr>
        <w:t>gross gas price</w:t>
      </w:r>
      <w:r>
        <w:rPr>
          <w:rFonts w:ascii="Arial" w:cs="Arial" w:eastAsia="Arial" w:hAnsi="Arial"/>
          <w:sz w:val="18"/>
          <w:szCs w:val="18"/>
          <w:color w:val="auto"/>
        </w:rPr>
        <w:t xml:space="preserve"> per Mcf before deducting production-severance taxes.</w:t>
      </w:r>
    </w:p>
    <w:p>
      <w:pPr>
        <w:spacing w:after="0" w:line="1" w:lineRule="exact"/>
        <w:rPr>
          <w:sz w:val="20"/>
          <w:szCs w:val="20"/>
          <w:color w:val="auto"/>
        </w:rPr>
      </w:pPr>
    </w:p>
    <w:p>
      <w:pPr>
        <w:ind w:left="1460" w:hanging="1290"/>
        <w:spacing w:after="0"/>
        <w:tabs>
          <w:tab w:leader="none" w:pos="1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Average (volume weighted) </w:t>
      </w:r>
      <w:r>
        <w:rPr>
          <w:rFonts w:ascii="Arial" w:cs="Arial" w:eastAsia="Arial" w:hAnsi="Arial"/>
          <w:sz w:val="16"/>
          <w:szCs w:val="16"/>
          <w:u w:val="single" w:color="auto"/>
          <w:color w:val="auto"/>
        </w:rPr>
        <w:t>gross NGL price</w:t>
      </w:r>
      <w:r>
        <w:rPr>
          <w:rFonts w:ascii="Arial" w:cs="Arial" w:eastAsia="Arial" w:hAnsi="Arial"/>
          <w:sz w:val="16"/>
          <w:szCs w:val="16"/>
          <w:color w:val="auto"/>
        </w:rPr>
        <w:t xml:space="preserve"> per barrel before deducting production-severance taxes. (12) </w:t>
      </w:r>
      <w:r>
        <w:rPr>
          <w:rFonts w:ascii="Arial" w:cs="Arial" w:eastAsia="Arial" w:hAnsi="Arial"/>
          <w:sz w:val="16"/>
          <w:szCs w:val="16"/>
          <w:u w:val="single" w:color="auto"/>
          <w:color w:val="auto"/>
        </w:rPr>
        <w:t>Revenue</w:t>
      </w:r>
      <w:r>
        <w:rPr>
          <w:rFonts w:ascii="Arial" w:cs="Arial" w:eastAsia="Arial" w:hAnsi="Arial"/>
          <w:sz w:val="16"/>
          <w:szCs w:val="16"/>
          <w:color w:val="auto"/>
        </w:rPr>
        <w:t xml:space="preserve"> derived from oil</w:t>
      </w:r>
    </w:p>
    <w:p>
      <w:pPr>
        <w:spacing w:after="0" w:line="3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sales -- column (5) times column (8).</w:t>
      </w:r>
    </w:p>
    <w:p>
      <w:pPr>
        <w:spacing w:after="0" w:line="9" w:lineRule="exact"/>
        <w:rPr>
          <w:sz w:val="20"/>
          <w:szCs w:val="20"/>
          <w:color w:val="auto"/>
        </w:rPr>
      </w:pPr>
    </w:p>
    <w:p>
      <w:pPr>
        <w:ind w:left="1460" w:hanging="1290"/>
        <w:spacing w:after="0" w:line="250" w:lineRule="auto"/>
        <w:tabs>
          <w:tab w:leader="none" w:pos="14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derived from gas sales -- column (6) times column (9). (14) </w:t>
      </w: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derived from NGL sales -- column (7) times column (10). (15) </w:t>
      </w: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derived from hedge positions.</w:t>
      </w:r>
    </w:p>
    <w:p>
      <w:pPr>
        <w:spacing w:after="0" w:line="1" w:lineRule="exact"/>
        <w:rPr>
          <w:sz w:val="20"/>
          <w:szCs w:val="20"/>
          <w:color w:val="auto"/>
        </w:rPr>
      </w:pPr>
    </w:p>
    <w:p>
      <w:pPr>
        <w:ind w:left="1460" w:hanging="1290"/>
        <w:spacing w:after="0" w:line="192" w:lineRule="auto"/>
        <w:tabs>
          <w:tab w:leader="none" w:pos="14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derived from other sources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included in column (12) through column (15); may include revenue from electrical sales, pipeline gas transportation,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party saltwater disposal, etc.</w:t>
      </w:r>
    </w:p>
    <w:p>
      <w:pPr>
        <w:spacing w:after="0" w:line="1" w:lineRule="exact"/>
        <w:rPr>
          <w:rFonts w:ascii="Arial" w:cs="Arial" w:eastAsia="Arial" w:hAnsi="Arial"/>
          <w:sz w:val="18"/>
          <w:szCs w:val="18"/>
          <w:color w:val="auto"/>
        </w:rPr>
      </w:pPr>
    </w:p>
    <w:p>
      <w:pPr>
        <w:ind w:left="1460" w:hanging="1290"/>
        <w:spacing w:after="0"/>
        <w:tabs>
          <w:tab w:leader="none" w:pos="14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Total Revenue</w:t>
      </w:r>
      <w:r>
        <w:rPr>
          <w:rFonts w:ascii="Arial" w:cs="Arial" w:eastAsia="Arial" w:hAnsi="Arial"/>
          <w:sz w:val="18"/>
          <w:szCs w:val="18"/>
          <w:color w:val="auto"/>
        </w:rPr>
        <w:t xml:space="preserve"> – sum of column (12) through column (16).</w:t>
      </w:r>
    </w:p>
    <w:p>
      <w:pPr>
        <w:spacing w:after="0" w:line="20" w:lineRule="exact"/>
        <w:rPr>
          <w:rFonts w:ascii="Arial" w:cs="Arial" w:eastAsia="Arial" w:hAnsi="Arial"/>
          <w:sz w:val="18"/>
          <w:szCs w:val="18"/>
          <w:color w:val="auto"/>
        </w:rPr>
      </w:pPr>
    </w:p>
    <w:p>
      <w:pPr>
        <w:ind w:left="1460" w:hanging="1290"/>
        <w:spacing w:after="0"/>
        <w:tabs>
          <w:tab w:leader="none" w:pos="14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Production-Severance taxes</w:t>
      </w:r>
      <w:r>
        <w:rPr>
          <w:rFonts w:ascii="Arial" w:cs="Arial" w:eastAsia="Arial" w:hAnsi="Arial"/>
          <w:sz w:val="18"/>
          <w:szCs w:val="18"/>
          <w:color w:val="auto"/>
        </w:rPr>
        <w:t xml:space="preserve"> deducted from gross oil, gas and NGL revenue. (19) </w:t>
      </w:r>
      <w:r>
        <w:rPr>
          <w:rFonts w:ascii="Arial" w:cs="Arial" w:eastAsia="Arial" w:hAnsi="Arial"/>
          <w:sz w:val="18"/>
          <w:szCs w:val="18"/>
          <w:u w:val="single" w:color="auto"/>
          <w:color w:val="auto"/>
        </w:rPr>
        <w:t>Ad Valorem taxes</w:t>
      </w:r>
      <w:r>
        <w:rPr>
          <w:rFonts w:ascii="Arial" w:cs="Arial" w:eastAsia="Arial" w:hAnsi="Arial"/>
          <w:sz w:val="18"/>
          <w:szCs w:val="18"/>
          <w:color w:val="auto"/>
        </w:rPr>
        <w:t>.</w:t>
      </w:r>
    </w:p>
    <w:p>
      <w:pPr>
        <w:spacing w:after="0" w:line="36" w:lineRule="exact"/>
        <w:rPr>
          <w:sz w:val="20"/>
          <w:szCs w:val="20"/>
          <w:color w:val="auto"/>
        </w:rPr>
      </w:pPr>
    </w:p>
    <w:p>
      <w:pPr>
        <w:jc w:val="both"/>
        <w:ind w:left="1460" w:hanging="1290"/>
        <w:spacing w:after="0" w:line="274" w:lineRule="auto"/>
        <w:tabs>
          <w:tab w:leader="none" w:pos="146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$/BOE6</w:t>
      </w:r>
      <w:r>
        <w:rPr>
          <w:rFonts w:ascii="Arial" w:cs="Arial" w:eastAsia="Arial" w:hAnsi="Arial"/>
          <w:sz w:val="17"/>
          <w:szCs w:val="17"/>
          <w:color w:val="auto"/>
        </w:rPr>
        <w:t xml:space="preserve"> – is the total of column (22), column (25), column (26), and column (27) divided by Barrels of Oil Equivalent (“BOE”). BOE is net oil production column (5) plus net gas production column (6) converted to oil at six Mcf gas per one bbl oil plus net NGL</w:t>
      </w:r>
    </w:p>
    <w:p>
      <w:pPr>
        <w:ind w:left="1460"/>
        <w:spacing w:after="0"/>
        <w:rPr>
          <w:sz w:val="20"/>
          <w:szCs w:val="20"/>
          <w:color w:val="auto"/>
        </w:rPr>
      </w:pPr>
      <w:r>
        <w:rPr>
          <w:rFonts w:ascii="Arial" w:cs="Arial" w:eastAsia="Arial" w:hAnsi="Arial"/>
          <w:sz w:val="18"/>
          <w:szCs w:val="18"/>
          <w:color w:val="auto"/>
        </w:rPr>
        <w:t>production column (7) converted to oil at one bbl NGL per 0.65 bbls of oil.</w:t>
      </w:r>
    </w:p>
    <w:p>
      <w:pPr>
        <w:spacing w:after="0" w:line="9" w:lineRule="exact"/>
        <w:rPr>
          <w:sz w:val="20"/>
          <w:szCs w:val="20"/>
          <w:color w:val="auto"/>
        </w:rPr>
      </w:pPr>
    </w:p>
    <w:p>
      <w:pPr>
        <w:ind w:left="1460" w:hanging="1290"/>
        <w:spacing w:after="0" w:line="250" w:lineRule="auto"/>
        <w:tabs>
          <w:tab w:leader="none" w:pos="14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Operating Expenses</w:t>
      </w:r>
      <w:r>
        <w:rPr>
          <w:rFonts w:ascii="Arial" w:cs="Arial" w:eastAsia="Arial" w:hAnsi="Arial"/>
          <w:sz w:val="18"/>
          <w:szCs w:val="18"/>
          <w:color w:val="auto"/>
        </w:rPr>
        <w:t xml:space="preserve"> are direct operating expenses to the evaluated working interest and may include combined fixed rate administrative overhead charges for operated oil and gas producers known as COPAS.</w:t>
      </w:r>
    </w:p>
    <w:p>
      <w:pPr>
        <w:ind w:left="1460" w:hanging="1290"/>
        <w:spacing w:after="0"/>
        <w:tabs>
          <w:tab w:leader="none" w:pos="1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Average </w:t>
      </w:r>
      <w:r>
        <w:rPr>
          <w:rFonts w:ascii="Arial" w:cs="Arial" w:eastAsia="Arial" w:hAnsi="Arial"/>
          <w:sz w:val="18"/>
          <w:szCs w:val="18"/>
          <w:u w:val="single" w:color="auto"/>
          <w:color w:val="auto"/>
        </w:rPr>
        <w:t>gross wells</w:t>
      </w: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1460" w:hanging="1290"/>
        <w:spacing w:after="0"/>
        <w:tabs>
          <w:tab w:leader="none" w:pos="1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Average </w:t>
      </w:r>
      <w:r>
        <w:rPr>
          <w:rFonts w:ascii="Arial" w:cs="Arial" w:eastAsia="Arial" w:hAnsi="Arial"/>
          <w:sz w:val="18"/>
          <w:szCs w:val="18"/>
          <w:u w:val="single" w:color="auto"/>
          <w:color w:val="auto"/>
        </w:rPr>
        <w:t>net wells</w:t>
      </w:r>
      <w:r>
        <w:rPr>
          <w:rFonts w:ascii="Arial" w:cs="Arial" w:eastAsia="Arial" w:hAnsi="Arial"/>
          <w:sz w:val="18"/>
          <w:szCs w:val="18"/>
          <w:color w:val="auto"/>
        </w:rPr>
        <w:t xml:space="preserve"> are gross wells times working interest.</w:t>
      </w:r>
    </w:p>
    <w:p>
      <w:pPr>
        <w:spacing w:after="0" w:line="36" w:lineRule="exact"/>
        <w:rPr>
          <w:rFonts w:ascii="Arial" w:cs="Arial" w:eastAsia="Arial" w:hAnsi="Arial"/>
          <w:sz w:val="18"/>
          <w:szCs w:val="18"/>
          <w:color w:val="auto"/>
        </w:rPr>
      </w:pPr>
    </w:p>
    <w:p>
      <w:pPr>
        <w:ind w:left="1460" w:hanging="1290"/>
        <w:spacing w:after="0"/>
        <w:tabs>
          <w:tab w:leader="none" w:pos="14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Abandonment Cost</w:t>
      </w:r>
      <w:r>
        <w:rPr>
          <w:rFonts w:ascii="Arial" w:cs="Arial" w:eastAsia="Arial" w:hAnsi="Arial"/>
          <w:sz w:val="18"/>
          <w:szCs w:val="18"/>
          <w:color w:val="auto"/>
        </w:rPr>
        <w:t xml:space="preserve"> are cost for plugging and the salvage value of equipment at abandonment.</w:t>
      </w:r>
    </w:p>
    <w:p>
      <w:pPr>
        <w:spacing w:after="0" w:line="36" w:lineRule="exact"/>
        <w:rPr>
          <w:rFonts w:ascii="Arial" w:cs="Arial" w:eastAsia="Arial" w:hAnsi="Arial"/>
          <w:sz w:val="18"/>
          <w:szCs w:val="18"/>
          <w:color w:val="auto"/>
        </w:rPr>
      </w:pPr>
    </w:p>
    <w:p>
      <w:pPr>
        <w:ind w:left="1460" w:hanging="1290"/>
        <w:spacing w:after="0"/>
        <w:tabs>
          <w:tab w:leader="none" w:pos="14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Overhead</w:t>
      </w:r>
      <w:r>
        <w:rPr>
          <w:rFonts w:ascii="Arial" w:cs="Arial" w:eastAsia="Arial" w:hAnsi="Arial"/>
          <w:sz w:val="18"/>
          <w:szCs w:val="18"/>
          <w:color w:val="auto"/>
        </w:rPr>
        <w:t xml:space="preserve"> expenses are contractual non-COPAS headquarters “G&amp;A” overhead charges for operated wells.</w:t>
      </w:r>
    </w:p>
    <w:p>
      <w:pPr>
        <w:spacing w:after="0" w:line="36" w:lineRule="exact"/>
        <w:rPr>
          <w:rFonts w:ascii="Arial" w:cs="Arial" w:eastAsia="Arial" w:hAnsi="Arial"/>
          <w:sz w:val="18"/>
          <w:szCs w:val="18"/>
          <w:color w:val="auto"/>
        </w:rPr>
      </w:pPr>
    </w:p>
    <w:p>
      <w:pPr>
        <w:ind w:left="1460" w:hanging="1290"/>
        <w:spacing w:after="0"/>
        <w:tabs>
          <w:tab w:leader="none" w:pos="14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Other Deductions</w:t>
      </w:r>
      <w:r>
        <w:rPr>
          <w:rFonts w:ascii="Arial" w:cs="Arial" w:eastAsia="Arial" w:hAnsi="Arial"/>
          <w:sz w:val="18"/>
          <w:szCs w:val="18"/>
          <w:color w:val="auto"/>
        </w:rPr>
        <w:t xml:space="preserve"> may include compression-gathering expenses, transportation costs and water disposal costs.</w:t>
      </w:r>
    </w:p>
    <w:p>
      <w:pPr>
        <w:spacing w:after="0" w:line="36" w:lineRule="exact"/>
        <w:rPr>
          <w:rFonts w:ascii="Arial" w:cs="Arial" w:eastAsia="Arial" w:hAnsi="Arial"/>
          <w:sz w:val="18"/>
          <w:szCs w:val="18"/>
          <w:color w:val="auto"/>
        </w:rPr>
      </w:pPr>
    </w:p>
    <w:p>
      <w:pPr>
        <w:jc w:val="both"/>
        <w:ind w:left="1460" w:hanging="1290"/>
        <w:spacing w:after="0" w:line="255" w:lineRule="auto"/>
        <w:tabs>
          <w:tab w:leader="none" w:pos="14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Investment</w:t>
      </w:r>
      <w:r>
        <w:rPr>
          <w:rFonts w:ascii="Arial" w:cs="Arial" w:eastAsia="Arial" w:hAnsi="Arial"/>
          <w:sz w:val="18"/>
          <w:szCs w:val="18"/>
          <w:color w:val="auto"/>
        </w:rPr>
        <w:t>, if any, include re-completions, future drilling costs, pumping units, etc. and may include either tangible or intangible or both, and the costs for plugging and the salvage value of equipment at abandonment may be shown as negative investments at end of life.</w:t>
      </w:r>
    </w:p>
    <w:tbl>
      <w:tblPr>
        <w:tblLayout w:type="fixed"/>
        <w:tblInd w:w="180" w:type="dxa"/>
        <w:tblCellMar>
          <w:top w:w="0" w:type="dxa"/>
          <w:left w:w="0" w:type="dxa"/>
          <w:bottom w:w="0" w:type="dxa"/>
          <w:right w:w="0" w:type="dxa"/>
        </w:tblCellMar>
      </w:tblPr>
      <w:tr>
        <w:trPr>
          <w:trHeight w:val="178"/>
        </w:trPr>
        <w:tc>
          <w:tcPr>
            <w:tcW w:w="1280" w:type="dxa"/>
            <w:vAlign w:val="bottom"/>
          </w:tcPr>
          <w:p>
            <w:pPr>
              <w:jc w:val="right"/>
              <w:ind w:right="550"/>
              <w:spacing w:after="0" w:line="178" w:lineRule="exact"/>
              <w:rPr>
                <w:sz w:val="20"/>
                <w:szCs w:val="20"/>
                <w:color w:val="auto"/>
              </w:rPr>
            </w:pPr>
            <w:r>
              <w:rPr>
                <w:rFonts w:ascii="Arial" w:cs="Arial" w:eastAsia="Arial" w:hAnsi="Arial"/>
                <w:sz w:val="18"/>
                <w:szCs w:val="18"/>
                <w:color w:val="auto"/>
                <w:w w:val="89"/>
              </w:rPr>
              <w:t>(29) (30)</w:t>
            </w:r>
          </w:p>
        </w:tc>
        <w:tc>
          <w:tcPr>
            <w:tcW w:w="9780" w:type="dxa"/>
            <w:vAlign w:val="bottom"/>
            <w:gridSpan w:val="2"/>
          </w:tcPr>
          <w:p>
            <w:pPr>
              <w:spacing w:after="0" w:line="178" w:lineRule="exact"/>
              <w:rPr>
                <w:sz w:val="20"/>
                <w:szCs w:val="20"/>
                <w:color w:val="auto"/>
              </w:rPr>
            </w:pPr>
            <w:r>
              <w:rPr>
                <w:rFonts w:ascii="Arial" w:cs="Arial" w:eastAsia="Arial" w:hAnsi="Arial"/>
                <w:sz w:val="18"/>
                <w:szCs w:val="18"/>
                <w:color w:val="auto"/>
                <w:w w:val="93"/>
              </w:rPr>
              <w:t>Future Net Cash Flow is column (17) less the total of column (18), column (19), column (22), column (25), column (26), column (27)</w:t>
            </w:r>
          </w:p>
        </w:tc>
      </w:tr>
      <w:tr>
        <w:trPr>
          <w:trHeight w:val="20"/>
        </w:trPr>
        <w:tc>
          <w:tcPr>
            <w:tcW w:w="12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8"/>
              </w:rPr>
              <w:t>and column (28). The data in column (29) are accumulated in column (30). Federal income taxes have not been considered.</w:t>
            </w:r>
          </w:p>
        </w:tc>
      </w:tr>
    </w:tbl>
    <w:p>
      <w:pPr>
        <w:ind w:left="1460" w:hanging="1290"/>
        <w:spacing w:after="0"/>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Cumulative Discounted Cash Flow</w:t>
      </w:r>
      <w:r>
        <w:rPr>
          <w:rFonts w:ascii="Arial" w:cs="Arial" w:eastAsia="Arial" w:hAnsi="Arial"/>
          <w:sz w:val="18"/>
          <w:szCs w:val="18"/>
          <w:color w:val="auto"/>
        </w:rPr>
        <w:t xml:space="preserve"> is calculated by discounting monthly cash flows at the specified annual rates.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DCF Profile</w:t>
            </w:r>
          </w:p>
        </w:tc>
        <w:tc>
          <w:tcPr>
            <w:tcW w:w="9980" w:type="dxa"/>
            <w:vAlign w:val="bottom"/>
            <w:gridSpan w:val="2"/>
          </w:tcPr>
          <w:p>
            <w:pPr>
              <w:ind w:left="200"/>
              <w:spacing w:after="0"/>
              <w:rPr>
                <w:sz w:val="20"/>
                <w:szCs w:val="20"/>
                <w:color w:val="auto"/>
              </w:rPr>
            </w:pPr>
            <w:r>
              <w:rPr>
                <w:rFonts w:ascii="Arial" w:cs="Arial" w:eastAsia="Arial" w:hAnsi="Arial"/>
                <w:sz w:val="18"/>
                <w:szCs w:val="18"/>
                <w:color w:val="auto"/>
                <w:w w:val="94"/>
              </w:rPr>
              <w:t>• The cumulative cash flow discounted at six different interest rates are shown at the bottom of columns (30-31). Interest has been</w:t>
            </w:r>
          </w:p>
        </w:tc>
      </w:tr>
      <w:tr>
        <w:trPr>
          <w:trHeight w:val="216"/>
        </w:trPr>
        <w:tc>
          <w:tcPr>
            <w:tcW w:w="108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compounded monthly.</w:t>
            </w:r>
          </w:p>
        </w:tc>
        <w:tc>
          <w:tcPr>
            <w:tcW w:w="140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Life</w:t>
            </w:r>
          </w:p>
        </w:tc>
        <w:tc>
          <w:tcPr>
            <w:tcW w:w="9980" w:type="dxa"/>
            <w:vAlign w:val="bottom"/>
            <w:gridSpan w:val="2"/>
          </w:tcPr>
          <w:p>
            <w:pPr>
              <w:ind w:left="200"/>
              <w:spacing w:after="0"/>
              <w:rPr>
                <w:sz w:val="20"/>
                <w:szCs w:val="20"/>
                <w:color w:val="auto"/>
              </w:rPr>
            </w:pPr>
            <w:r>
              <w:rPr>
                <w:rFonts w:ascii="Arial" w:cs="Arial" w:eastAsia="Arial" w:hAnsi="Arial"/>
                <w:sz w:val="18"/>
                <w:szCs w:val="18"/>
                <w:color w:val="auto"/>
                <w:w w:val="91"/>
              </w:rPr>
              <w:t>• The economic life of the appraised property is noted in the lower right-hand corner of the table. Footnotes • Comments regarding the</w:t>
            </w:r>
          </w:p>
        </w:tc>
      </w:tr>
      <w:tr>
        <w:trPr>
          <w:trHeight w:val="216"/>
        </w:trPr>
        <w:tc>
          <w:tcPr>
            <w:tcW w:w="108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evaluation may be shown in the lower left-hand footnotes.</w:t>
            </w:r>
          </w:p>
        </w:tc>
        <w:tc>
          <w:tcPr>
            <w:tcW w:w="140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Price Deck</w:t>
            </w:r>
          </w:p>
        </w:tc>
        <w:tc>
          <w:tcPr>
            <w:tcW w:w="8580" w:type="dxa"/>
            <w:vAlign w:val="bottom"/>
          </w:tcPr>
          <w:p>
            <w:pPr>
              <w:ind w:left="200"/>
              <w:spacing w:after="0"/>
              <w:rPr>
                <w:sz w:val="20"/>
                <w:szCs w:val="20"/>
                <w:color w:val="auto"/>
              </w:rPr>
            </w:pPr>
            <w:r>
              <w:rPr>
                <w:rFonts w:ascii="Arial" w:cs="Arial" w:eastAsia="Arial" w:hAnsi="Arial"/>
                <w:sz w:val="18"/>
                <w:szCs w:val="18"/>
                <w:color w:val="auto"/>
                <w:w w:val="98"/>
              </w:rPr>
              <w:t>• A table of oil and gas prices, price caps and escalation rates may be shown in the lower middle footnotes.</w:t>
            </w:r>
          </w:p>
        </w:tc>
        <w:tc>
          <w:tcPr>
            <w:tcW w:w="1400" w:type="dxa"/>
            <w:vAlign w:val="bottom"/>
          </w:tcPr>
          <w:p>
            <w:pPr>
              <w:spacing w:after="0"/>
              <w:rPr>
                <w:sz w:val="20"/>
                <w:szCs w:val="20"/>
                <w:color w:val="auto"/>
              </w:rPr>
            </w:pPr>
          </w:p>
        </w:tc>
      </w:tr>
      <w:tr>
        <w:trPr>
          <w:trHeight w:val="459"/>
        </w:trPr>
        <w:tc>
          <w:tcPr>
            <w:tcW w:w="108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Appendix</w:t>
            </w:r>
          </w:p>
        </w:tc>
      </w:tr>
      <w:tr>
        <w:trPr>
          <w:trHeight w:val="193"/>
        </w:trPr>
        <w:tc>
          <w:tcPr>
            <w:tcW w:w="1080" w:type="dxa"/>
            <w:vAlign w:val="bottom"/>
          </w:tcPr>
          <w:p>
            <w:pPr>
              <w:spacing w:after="0"/>
              <w:rPr>
                <w:sz w:val="16"/>
                <w:szCs w:val="16"/>
                <w:color w:val="auto"/>
              </w:rPr>
            </w:pPr>
          </w:p>
        </w:tc>
        <w:tc>
          <w:tcPr>
            <w:tcW w:w="8580" w:type="dxa"/>
            <w:vAlign w:val="bottom"/>
          </w:tcPr>
          <w:p>
            <w:pPr>
              <w:ind w:left="3260"/>
              <w:spacing w:after="0"/>
              <w:rPr>
                <w:sz w:val="20"/>
                <w:szCs w:val="20"/>
                <w:color w:val="auto"/>
              </w:rPr>
            </w:pPr>
            <w:r>
              <w:rPr>
                <w:rFonts w:ascii="Arial" w:cs="Arial" w:eastAsia="Arial" w:hAnsi="Arial"/>
                <w:sz w:val="15"/>
                <w:szCs w:val="15"/>
                <w:i w:val="1"/>
                <w:iCs w:val="1"/>
                <w:color w:val="auto"/>
              </w:rPr>
              <w:t>Cawley, Gillespie &amp; Associates, Inc.</w:t>
            </w:r>
          </w:p>
        </w:tc>
        <w:tc>
          <w:tcPr>
            <w:tcW w:w="1400" w:type="dxa"/>
            <w:vAlign w:val="bottom"/>
          </w:tcPr>
          <w:p>
            <w:pPr>
              <w:jc w:val="right"/>
              <w:spacing w:after="0"/>
              <w:rPr>
                <w:sz w:val="20"/>
                <w:szCs w:val="20"/>
                <w:color w:val="auto"/>
              </w:rPr>
            </w:pPr>
            <w:r>
              <w:rPr>
                <w:rFonts w:ascii="Arial" w:cs="Arial" w:eastAsia="Arial" w:hAnsi="Arial"/>
                <w:sz w:val="15"/>
                <w:szCs w:val="15"/>
                <w:color w:val="auto"/>
              </w:rPr>
              <w:t>Page 1</w:t>
            </w: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1)"/>
      <w:numFmt w:val="decimal"/>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lvl w:ilvl="1">
      <w:lvlJc w:val="left"/>
      <w:lvlText w:val="(%2)"/>
      <w:numFmt w:val="lowerRoman"/>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1)"/>
      <w:numFmt w:val="decimal"/>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1)"/>
      <w:numFmt w:val="decimal"/>
      <w:start w:val="1"/>
    </w:lvl>
  </w:abstractNum>
  <w:abstractNum w:abstractNumId="15">
    <w:nsid w:val="61574095"/>
    <w:multiLevelType w:val="hybridMultilevel"/>
    <w:lvl w:ilvl="0">
      <w:lvlJc w:val="left"/>
      <w:lvlText w:val="(%1)"/>
      <w:numFmt w:val="decimal"/>
      <w:start w:val="3"/>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1."/>
      <w:numFmt w:val="decimal"/>
      <w:start w:val="2"/>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lvl w:ilvl="1">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1)"/>
      <w:numFmt w:val="lowerRoman"/>
      <w:start w:val="3"/>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1)"/>
      <w:numFmt w:val="lowerRoman"/>
      <w:start w:val="4"/>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1)"/>
      <w:numFmt w:val="lowerLetter"/>
      <w:start w:val="1"/>
    </w:lvl>
  </w:abstractNum>
  <w:abstractNum w:abstractNumId="52">
    <w:nsid w:val="4962813B"/>
    <w:multiLevelType w:val="hybridMultilevel"/>
    <w:lvl w:ilvl="0">
      <w:lvlJc w:val="left"/>
      <w:lvlText w:val="(%1)"/>
      <w:numFmt w:val="lowerLetter"/>
      <w:start w:val="1"/>
    </w:lvl>
  </w:abstractNum>
  <w:abstractNum w:abstractNumId="53">
    <w:nsid w:val="60B6DF70"/>
    <w:multiLevelType w:val="hybridMultilevel"/>
    <w:lvl w:ilvl="0">
      <w:lvlJc w:val="left"/>
      <w:lvlText w:val="(%1)"/>
      <w:numFmt w:val="lowerRoman"/>
      <w:start w:val="2"/>
    </w:lvl>
  </w:abstractNum>
  <w:abstractNum w:abstractNumId="54">
    <w:nsid w:val="6A5EE64"/>
    <w:multiLevelType w:val="hybridMultilevel"/>
    <w:lvl w:ilvl="0">
      <w:lvlJc w:val="left"/>
      <w:lvlText w:val="(%1)"/>
      <w:numFmt w:val="lowerRoman"/>
      <w:start w:val="4"/>
    </w:lvl>
  </w:abstractNum>
  <w:abstractNum w:abstractNumId="55">
    <w:nsid w:val="14330624"/>
    <w:multiLevelType w:val="hybridMultilevel"/>
    <w:lvl w:ilvl="0">
      <w:lvlJc w:val="left"/>
      <w:lvlText w:val="(%1)"/>
      <w:numFmt w:val="lowerLetter"/>
      <w:start w:val="1"/>
    </w:lvl>
  </w:abstractNum>
  <w:abstractNum w:abstractNumId="56">
    <w:nsid w:val="7FFFCA11"/>
    <w:multiLevelType w:val="hybridMultilevel"/>
    <w:lvl w:ilvl="0">
      <w:lvlJc w:val="left"/>
      <w:lvlText w:val="(%1)"/>
      <w:numFmt w:val="lowerLetter"/>
      <w:start w:val="1"/>
    </w:lvl>
    <w:lvl w:ilvl="1">
      <w:lvlJc w:val="left"/>
      <w:lvlText w:val="(%2)"/>
      <w:numFmt w:val="lowerLetter"/>
      <w:start w:val="35"/>
    </w:lvl>
  </w:abstractNum>
  <w:abstractNum w:abstractNumId="57">
    <w:nsid w:val="1A27709E"/>
    <w:multiLevelType w:val="hybridMultilevel"/>
    <w:lvl w:ilvl="0">
      <w:lvlJc w:val="left"/>
      <w:lvlText w:val="●"/>
      <w:numFmt w:val="bullet"/>
      <w:start w:val="1"/>
    </w:lvl>
  </w:abstractNum>
  <w:abstractNum w:abstractNumId="58">
    <w:nsid w:val="71EA1109"/>
    <w:multiLevelType w:val="hybridMultilevel"/>
    <w:lvl w:ilvl="0">
      <w:lvlJc w:val="left"/>
      <w:lvlText w:val="(%1)"/>
      <w:numFmt w:val="lowerRoman"/>
      <w:start w:val="1"/>
    </w:lvl>
  </w:abstractNum>
  <w:abstractNum w:abstractNumId="59">
    <w:nsid w:val="100F59DC"/>
    <w:multiLevelType w:val="hybridMultilevel"/>
    <w:lvl w:ilvl="0">
      <w:lvlJc w:val="left"/>
      <w:lvlText w:val="(%1)"/>
      <w:numFmt w:val="lowerLetter"/>
      <w:start w:val="1"/>
    </w:lvl>
  </w:abstractNum>
  <w:abstractNum w:abstractNumId="60">
    <w:nsid w:val="7FB7E0AA"/>
    <w:multiLevelType w:val="hybridMultilevel"/>
    <w:lvl w:ilvl="0">
      <w:lvlJc w:val="left"/>
      <w:lvlText w:val="(%1)"/>
      <w:numFmt w:val="decimal"/>
      <w:start w:val="1"/>
    </w:lvl>
  </w:abstractNum>
  <w:abstractNum w:abstractNumId="61">
    <w:nsid w:val="6EB5BD4"/>
    <w:multiLevelType w:val="hybridMultilevel"/>
    <w:lvl w:ilvl="0">
      <w:lvlJc w:val="left"/>
      <w:lvlText w:val="(%1)"/>
      <w:numFmt w:val="decimal"/>
      <w:start w:val="1"/>
    </w:lvl>
  </w:abstractNum>
  <w:abstractNum w:abstractNumId="62">
    <w:nsid w:val="6F6DD9AC"/>
    <w:multiLevelType w:val="hybridMultilevel"/>
    <w:lvl w:ilvl="0">
      <w:lvlJc w:val="left"/>
      <w:lvlText w:val="(%1)"/>
      <w:numFmt w:val="lowerLetter"/>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
      <w:numFmt w:val="bullet"/>
      <w:start w:val="1"/>
    </w:lvl>
  </w:abstractNum>
  <w:abstractNum w:abstractNumId="65">
    <w:nsid w:val="76272110"/>
    <w:multiLevelType w:val="hybridMultilevel"/>
    <w:lvl w:ilvl="0">
      <w:lvlJc w:val="left"/>
      <w:lvlText w:val="+"/>
      <w:numFmt w:val="bullet"/>
      <w:start w:val="1"/>
    </w:lvl>
  </w:abstractNum>
  <w:abstractNum w:abstractNumId="66">
    <w:nsid w:val="4C04A8AF"/>
    <w:multiLevelType w:val="hybridMultilevel"/>
    <w:lvl w:ilvl="0">
      <w:lvlJc w:val="left"/>
      <w:lvlText w:val="#"/>
      <w:numFmt w:val="bullet"/>
      <w:start w:val="1"/>
    </w:lvl>
  </w:abstractNum>
  <w:abstractNum w:abstractNumId="67">
    <w:nsid w:val="1716703B"/>
    <w:multiLevelType w:val="hybridMultilevel"/>
    <w:lvl w:ilvl="0">
      <w:lvlJc w:val="left"/>
      <w:lvlText w:val="%1."/>
      <w:numFmt w:val="decimal"/>
      <w:start w:val="1"/>
    </w:lvl>
    <w:lvl w:ilvl="1">
      <w:lvlJc w:val="left"/>
      <w:lvlText w:val="(%2)"/>
      <w:numFmt w:val="lowerLetter"/>
      <w:start w:val="1"/>
    </w:lvl>
  </w:abstractNum>
  <w:abstractNum w:abstractNumId="68">
    <w:nsid w:val="14E17E33"/>
    <w:multiLevelType w:val="hybridMultilevel"/>
    <w:lvl w:ilvl="0">
      <w:lvlJc w:val="left"/>
      <w:lvlText w:val="%1"/>
      <w:numFmt w:val="upperLetter"/>
      <w:start w:val="1"/>
    </w:lvl>
    <w:lvl w:ilvl="1">
      <w:lvlJc w:val="left"/>
      <w:lvlText w:val="(%2)"/>
      <w:numFmt w:val="lowerLetter"/>
      <w:start w:val="8"/>
    </w:lvl>
    <w:lvl w:ilvl="2">
      <w:lvlJc w:val="left"/>
      <w:lvlText w:val="(%3)"/>
      <w:numFmt w:val="lowerRoman"/>
      <w:start w:val="1"/>
    </w:lvl>
  </w:abstractNum>
  <w:abstractNum w:abstractNumId="69">
    <w:nsid w:val="3222E7C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70">
    <w:nsid w:val="74DE0EE3"/>
    <w:multiLevelType w:val="hybridMultilevel"/>
    <w:lvl w:ilvl="0">
      <w:lvlJc w:val="left"/>
      <w:lvlText w:val="%1"/>
      <w:numFmt w:val="lowerRoman"/>
      <w:start w:val="1"/>
    </w:lvl>
    <w:lvl w:ilvl="1">
      <w:lvlJc w:val="left"/>
      <w:lvlText w:val="(%2)"/>
      <w:numFmt w:val="lowerRoman"/>
      <w:start w:val="1"/>
    </w:lvl>
  </w:abstractNum>
  <w:abstractNum w:abstractNumId="71">
    <w:nsid w:val="68EBC550"/>
    <w:multiLevelType w:val="hybridMultilevel"/>
    <w:lvl w:ilvl="0">
      <w:lvlJc w:val="left"/>
      <w:lvlText w:val="(%1)"/>
      <w:numFmt w:val="lowerRoman"/>
      <w:start w:val="4"/>
    </w:lvl>
    <w:lvl w:ilvl="1">
      <w:lvlJc w:val="left"/>
      <w:lvlText w:val="%2"/>
      <w:numFmt w:val="lowerRoman"/>
      <w:start w:val="1"/>
    </w:lvl>
  </w:abstractNum>
  <w:abstractNum w:abstractNumId="72">
    <w:nsid w:val="2DF6D648"/>
    <w:multiLevelType w:val="hybridMultilevel"/>
    <w:lvl w:ilvl="0">
      <w:lvlJc w:val="left"/>
      <w:lvlText w:val="(%1)"/>
      <w:numFmt w:val="lowerLetter"/>
      <w:start w:val="10"/>
    </w:lvl>
  </w:abstractNum>
  <w:abstractNum w:abstractNumId="73">
    <w:nsid w:val="46B7D447"/>
    <w:multiLevelType w:val="hybridMultilevel"/>
    <w:lvl w:ilvl="0">
      <w:lvlJc w:val="left"/>
      <w:lvlText w:val="(%1)"/>
      <w:numFmt w:val="lowerLetter"/>
      <w:start w:val="15"/>
    </w:lvl>
  </w:abstractNum>
  <w:abstractNum w:abstractNumId="74">
    <w:nsid w:val="4A2AC315"/>
    <w:multiLevelType w:val="hybridMultilevel"/>
    <w:lvl w:ilvl="0">
      <w:lvlJc w:val="left"/>
      <w:lvlText w:val="(%1)"/>
      <w:numFmt w:val="lowerLetter"/>
      <w:start w:val="27"/>
    </w:lvl>
  </w:abstractNum>
  <w:abstractNum w:abstractNumId="75">
    <w:nsid w:val="39EE01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8"/>
    </w:lvl>
  </w:abstractNum>
  <w:abstractNum w:abstractNumId="76">
    <w:nsid w:val="57FC4FB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77">
    <w:nsid w:val="CC1016F"/>
    <w:multiLevelType w:val="hybridMultilevel"/>
    <w:lvl w:ilvl="0">
      <w:lvlJc w:val="left"/>
      <w:lvlText w:val="(%1)"/>
      <w:numFmt w:val="lowerRoman"/>
      <w:start w:val="2"/>
    </w:lvl>
  </w:abstractNum>
  <w:abstractNum w:abstractNumId="78">
    <w:nsid w:val="43F18422"/>
    <w:multiLevelType w:val="hybridMultilevel"/>
    <w:lvl w:ilvl="0">
      <w:lvlJc w:val="left"/>
      <w:lvlText w:val="(%1)"/>
      <w:numFmt w:val="lowerLetter"/>
      <w:start w:val="2"/>
    </w:lvl>
  </w:abstractNum>
  <w:abstractNum w:abstractNumId="79">
    <w:nsid w:val="60EF0119"/>
    <w:multiLevelType w:val="hybridMultilevel"/>
    <w:lvl w:ilvl="0">
      <w:lvlJc w:val="left"/>
      <w:lvlText w:val="%1."/>
      <w:numFmt w:val="decimal"/>
      <w:start w:val="4"/>
    </w:lvl>
    <w:lvl w:ilvl="1">
      <w:lvlJc w:val="left"/>
      <w:lvlText w:val="(%2)"/>
      <w:numFmt w:val="lowerLetter"/>
      <w:start w:val="1"/>
    </w:lvl>
  </w:abstractNum>
  <w:abstractNum w:abstractNumId="80">
    <w:nsid w:val="26F324BA"/>
    <w:multiLevelType w:val="hybridMultilevel"/>
    <w:lvl w:ilvl="0">
      <w:lvlJc w:val="left"/>
      <w:lvlText w:val="(%1)"/>
      <w:numFmt w:val="lowerLetter"/>
      <w:start w:val="2"/>
    </w:lvl>
    <w:lvl w:ilvl="1">
      <w:lvlJc w:val="left"/>
      <w:lvlText w:val="(%2)"/>
      <w:numFmt w:val="lowerRoman"/>
      <w:start w:val="1"/>
    </w:lvl>
  </w:abstractNum>
  <w:abstractNum w:abstractNumId="81">
    <w:nsid w:val="7F01579B"/>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82">
    <w:nsid w:val="49DA307D"/>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83">
    <w:nsid w:val="7055A5F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4">
    <w:nsid w:val="5FB8370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85">
    <w:nsid w:val="50801EE1"/>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86">
    <w:nsid w:val="488AC1A"/>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87">
    <w:nsid w:val="5FB8011C"/>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88">
    <w:nsid w:val="6AA78F7F"/>
    <w:multiLevelType w:val="hybridMultilevel"/>
    <w:lvl w:ilvl="0">
      <w:lvlJc w:val="left"/>
      <w:lvlText w:val="(%1)"/>
      <w:numFmt w:val="lowerLetter"/>
      <w:start w:val="61"/>
    </w:lvl>
    <w:lvl w:ilvl="1">
      <w:lvlJc w:val="left"/>
      <w:lvlText w:val="(%2)"/>
      <w:numFmt w:val="lowerLetter"/>
      <w:start w:val="5"/>
    </w:lvl>
    <w:lvl w:ilvl="2">
      <w:lvlJc w:val="left"/>
      <w:lvlText w:val="(%3)"/>
      <w:numFmt w:val="lowerRoman"/>
      <w:start w:val="1"/>
    </w:lvl>
  </w:abstractNum>
  <w:abstractNum w:abstractNumId="89">
    <w:nsid w:val="7672BD23"/>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90">
    <w:nsid w:val="6FC75AF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91">
    <w:nsid w:val="6A5F7029"/>
    <w:multiLevelType w:val="hybridMultilevel"/>
    <w:lvl w:ilvl="0">
      <w:lvlJc w:val="left"/>
      <w:lvlText w:val="(%1)"/>
      <w:numFmt w:val="lowerLetter"/>
      <w:start w:val="5"/>
    </w:lvl>
  </w:abstractNum>
  <w:abstractNum w:abstractNumId="92">
    <w:nsid w:val="7D5E18F8"/>
    <w:multiLevelType w:val="hybridMultilevel"/>
    <w:lvl w:ilvl="0">
      <w:lvlJc w:val="left"/>
      <w:lvlText w:val="(%1)"/>
      <w:numFmt w:val="lowerLetter"/>
      <w:start w:val="10"/>
    </w:lvl>
  </w:abstractNum>
  <w:abstractNum w:abstractNumId="93">
    <w:nsid w:val="5F3534A4"/>
    <w:multiLevelType w:val="hybridMultilevel"/>
    <w:lvl w:ilvl="0">
      <w:lvlJc w:val="left"/>
      <w:lvlText w:val="%1."/>
      <w:numFmt w:val="decimal"/>
      <w:start w:val="10"/>
    </w:lvl>
  </w:abstractNum>
  <w:abstractNum w:abstractNumId="94">
    <w:nsid w:val="73A1821B"/>
    <w:multiLevelType w:val="hybridMultilevel"/>
    <w:lvl w:ilvl="0">
      <w:lvlJc w:val="left"/>
      <w:lvlText w:val="%1."/>
      <w:numFmt w:val="upperLetter"/>
      <w:start w:val="1"/>
    </w:lvl>
  </w:abstractNum>
  <w:abstractNum w:abstractNumId="95">
    <w:nsid w:val="7DE67713"/>
    <w:multiLevelType w:val="hybridMultilevel"/>
    <w:lvl w:ilvl="0">
      <w:lvlJc w:val="left"/>
      <w:lvlText w:val="%1."/>
      <w:numFmt w:val="decimal"/>
      <w:start w:val="1"/>
    </w:lvl>
    <w:lvl w:ilvl="1">
      <w:lvlJc w:val="left"/>
      <w:lvlText w:val="(%2)"/>
      <w:numFmt w:val="lowerLetter"/>
      <w:start w:val="1"/>
    </w:lvl>
  </w:abstractNum>
  <w:abstractNum w:abstractNumId="96">
    <w:nsid w:val="555C55B5"/>
    <w:multiLevelType w:val="hybridMultilevel"/>
    <w:lvl w:ilvl="0">
      <w:lvlJc w:val="left"/>
      <w:lvlText w:val="%1."/>
      <w:numFmt w:val="decimal"/>
      <w:start w:val="1"/>
    </w:lvl>
    <w:lvl w:ilvl="1">
      <w:lvlJc w:val="left"/>
      <w:lvlText w:val="(%2)"/>
      <w:numFmt w:val="lowerLetter"/>
      <w:start w:val="1"/>
    </w:lvl>
  </w:abstractNum>
  <w:abstractNum w:abstractNumId="97">
    <w:nsid w:val="3FA62ACA"/>
    <w:multiLevelType w:val="hybridMultilevel"/>
    <w:lvl w:ilvl="0">
      <w:lvlJc w:val="left"/>
      <w:lvlText w:val="%1."/>
      <w:numFmt w:val="decimal"/>
      <w:start w:val="1"/>
    </w:lvl>
  </w:abstractNum>
  <w:abstractNum w:abstractNumId="98">
    <w:nsid w:val="14FCE74E"/>
    <w:multiLevelType w:val="hybridMultilevel"/>
    <w:lvl w:ilvl="0">
      <w:lvlJc w:val="left"/>
      <w:lvlText w:val="%1."/>
      <w:numFmt w:val="decimal"/>
      <w:start w:val="1"/>
    </w:lvl>
  </w:abstractNum>
  <w:abstractNum w:abstractNumId="99">
    <w:nsid w:val="6A3DD3E8"/>
    <w:multiLevelType w:val="hybridMultilevel"/>
    <w:lvl w:ilvl="0">
      <w:lvlJc w:val="left"/>
      <w:lvlText w:val="(%1)"/>
      <w:numFmt w:val="decimal"/>
      <w:start w:val="1"/>
    </w:lvl>
  </w:abstractNum>
  <w:abstractNum w:abstractNumId="100">
    <w:nsid w:val="71C91298"/>
    <w:multiLevelType w:val="hybridMultilevel"/>
    <w:lvl w:ilvl="0">
      <w:lvlJc w:val="left"/>
      <w:lvlText w:val="(%1)"/>
      <w:numFmt w:val="decimal"/>
      <w:start w:val="5"/>
    </w:lvl>
  </w:abstractNum>
  <w:abstractNum w:abstractNumId="101">
    <w:nsid w:val="9DAF632"/>
    <w:multiLevelType w:val="hybridMultilevel"/>
    <w:lvl w:ilvl="0">
      <w:lvlJc w:val="left"/>
      <w:lvlText w:val="(%1)"/>
      <w:numFmt w:val="decimal"/>
      <w:start w:val="8"/>
    </w:lvl>
  </w:abstractNum>
  <w:abstractNum w:abstractNumId="102">
    <w:nsid w:val="53299938"/>
    <w:multiLevelType w:val="hybridMultilevel"/>
    <w:lvl w:ilvl="0">
      <w:lvlJc w:val="left"/>
      <w:lvlText w:val="(%1)"/>
      <w:numFmt w:val="decimal"/>
      <w:start w:val="10"/>
    </w:lvl>
  </w:abstractNum>
  <w:abstractNum w:abstractNumId="103">
    <w:nsid w:val="1FBFE8E0"/>
    <w:multiLevelType w:val="hybridMultilevel"/>
    <w:lvl w:ilvl="0">
      <w:lvlJc w:val="left"/>
      <w:lvlText w:val="(%1)"/>
      <w:numFmt w:val="decimal"/>
      <w:start w:val="13"/>
    </w:lvl>
  </w:abstractNum>
  <w:abstractNum w:abstractNumId="104">
    <w:nsid w:val="5092CA79"/>
    <w:multiLevelType w:val="hybridMultilevel"/>
    <w:lvl w:ilvl="0">
      <w:lvlJc w:val="left"/>
      <w:lvlText w:val="(%1)"/>
      <w:numFmt w:val="decimal"/>
      <w:start w:val="16"/>
    </w:lvl>
  </w:abstractNum>
  <w:abstractNum w:abstractNumId="105">
    <w:nsid w:val="1D545C4D"/>
    <w:multiLevelType w:val="hybridMultilevel"/>
    <w:lvl w:ilvl="0">
      <w:lvlJc w:val="left"/>
      <w:lvlText w:val="(%1)"/>
      <w:numFmt w:val="decimal"/>
      <w:start w:val="20"/>
    </w:lvl>
  </w:abstractNum>
  <w:abstractNum w:abstractNumId="106">
    <w:nsid w:val="59ADEA3D"/>
    <w:multiLevelType w:val="hybridMultilevel"/>
    <w:lvl w:ilvl="0">
      <w:lvlJc w:val="left"/>
      <w:lvlText w:val="(%1)"/>
      <w:numFmt w:val="decimal"/>
      <w:start w:val="22"/>
    </w:lvl>
  </w:abstractNum>
  <w:abstractNum w:abstractNumId="107">
    <w:nsid w:val="288F1A34"/>
    <w:multiLevelType w:val="hybridMultilevel"/>
    <w:lvl w:ilvl="0">
      <w:lvlJc w:val="left"/>
      <w:lvlText w:val="(%1)"/>
      <w:numFmt w:val="decimal"/>
      <w:start w:val="3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jpeg"/><Relationship Id="rId81"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46"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75" Type="http://schemas.openxmlformats.org/officeDocument/2006/relationships/image" Target="media/image132.png"/><Relationship Id="rId176" Type="http://schemas.openxmlformats.org/officeDocument/2006/relationships/image" Target="media/image133.png"/><Relationship Id="rId177" Type="http://schemas.openxmlformats.org/officeDocument/2006/relationships/image" Target="media/image134.png"/><Relationship Id="rId178" Type="http://schemas.openxmlformats.org/officeDocument/2006/relationships/image" Target="media/image135.png"/><Relationship Id="rId179" Type="http://schemas.openxmlformats.org/officeDocument/2006/relationships/image" Target="media/image136.png"/><Relationship Id="rId180"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90" Type="http://schemas.openxmlformats.org/officeDocument/2006/relationships/image" Target="media/image147.png"/><Relationship Id="rId191" Type="http://schemas.openxmlformats.org/officeDocument/2006/relationships/image" Target="media/image148.png"/><Relationship Id="rId192" Type="http://schemas.openxmlformats.org/officeDocument/2006/relationships/image" Target="media/image149.png"/><Relationship Id="rId193" Type="http://schemas.openxmlformats.org/officeDocument/2006/relationships/image" Target="media/image150.png"/><Relationship Id="rId194" Type="http://schemas.openxmlformats.org/officeDocument/2006/relationships/image" Target="media/image151.png"/><Relationship Id="rId195" Type="http://schemas.openxmlformats.org/officeDocument/2006/relationships/image" Target="media/image152.png"/><Relationship Id="rId196" Type="http://schemas.openxmlformats.org/officeDocument/2006/relationships/image" Target="media/image153.png"/><Relationship Id="rId197" Type="http://schemas.openxmlformats.org/officeDocument/2006/relationships/image" Target="media/image154.png"/><Relationship Id="rId198" Type="http://schemas.openxmlformats.org/officeDocument/2006/relationships/image" Target="media/image155.png"/><Relationship Id="rId199" Type="http://schemas.openxmlformats.org/officeDocument/2006/relationships/image" Target="media/image156.png"/><Relationship Id="rId200" Type="http://schemas.openxmlformats.org/officeDocument/2006/relationships/image" Target="media/image157.png"/><Relationship Id="rId201" Type="http://schemas.openxmlformats.org/officeDocument/2006/relationships/image" Target="media/image158.png"/><Relationship Id="rId202" Type="http://schemas.openxmlformats.org/officeDocument/2006/relationships/image" Target="media/image159.png"/><Relationship Id="rId203" Type="http://schemas.openxmlformats.org/officeDocument/2006/relationships/image" Target="media/image160.png"/><Relationship Id="rId204" Type="http://schemas.openxmlformats.org/officeDocument/2006/relationships/image" Target="media/image161.png"/><Relationship Id="rId205" Type="http://schemas.openxmlformats.org/officeDocument/2006/relationships/image" Target="media/image162.png"/><Relationship Id="rId206" Type="http://schemas.openxmlformats.org/officeDocument/2006/relationships/image" Target="media/image163.png"/><Relationship Id="rId207" Type="http://schemas.openxmlformats.org/officeDocument/2006/relationships/image" Target="media/image164.png"/><Relationship Id="rId208"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223" Type="http://schemas.openxmlformats.org/officeDocument/2006/relationships/image" Target="media/image180.png"/><Relationship Id="rId224" Type="http://schemas.openxmlformats.org/officeDocument/2006/relationships/image" Target="media/image181.png"/><Relationship Id="rId225" Type="http://schemas.openxmlformats.org/officeDocument/2006/relationships/image" Target="media/image182.png"/><Relationship Id="rId226" Type="http://schemas.openxmlformats.org/officeDocument/2006/relationships/image" Target="media/image183.png"/><Relationship Id="rId227" Type="http://schemas.openxmlformats.org/officeDocument/2006/relationships/image" Target="media/image184.png"/><Relationship Id="rId228" Type="http://schemas.openxmlformats.org/officeDocument/2006/relationships/image" Target="media/image185.png"/><Relationship Id="rId229" Type="http://schemas.openxmlformats.org/officeDocument/2006/relationships/image" Target="media/image186.png"/><Relationship Id="rId230" Type="http://schemas.openxmlformats.org/officeDocument/2006/relationships/image" Target="media/image187.png"/><Relationship Id="rId231" Type="http://schemas.openxmlformats.org/officeDocument/2006/relationships/image" Target="media/image188.png"/><Relationship Id="rId24" Type="http://schemas.openxmlformats.org/officeDocument/2006/relationships/hyperlink" Target="http://www.sec.gov/Archives/edgar/data/1792849/000143774922002901/ex_332053.htm" TargetMode="External"/><Relationship Id="rId25" Type="http://schemas.openxmlformats.org/officeDocument/2006/relationships/hyperlink" Target="http://www.sec.gov/Archives/edgar/data/1792849/000143774921006064/ex_226973.htm" TargetMode="External"/><Relationship Id="rId82" Type="http://schemas.openxmlformats.org/officeDocument/2006/relationships/hyperlink" Target="http://www.sec.gov/ix?doc=/Archives/edgar/data/1792849/000143774922005397/hpe20211231_10k.htm" TargetMode="External"/><Relationship Id="rId125" Type="http://schemas.openxmlformats.org/officeDocument/2006/relationships/hyperlink" Target="http://www.sec.gov/Archives/edgar/data/1792849/000143774920016653/hpe20200804_s4a.htm#annexa" TargetMode="External"/><Relationship Id="rId126" Type="http://schemas.openxmlformats.org/officeDocument/2006/relationships/hyperlink" Target="http://www.sec.gov/Archives/edgar/data/1792849/000143774920016653/hpe20200804_s4a.htm#annexa-i" TargetMode="External"/><Relationship Id="rId127" Type="http://schemas.openxmlformats.org/officeDocument/2006/relationships/hyperlink" Target="http://www.sec.gov/Archives/edgar/data/1792849/000143774920016653/hpe20200804_s4a.htm#annexaii" TargetMode="External"/><Relationship Id="rId128" Type="http://schemas.openxmlformats.org/officeDocument/2006/relationships/hyperlink" Target="http://www.sec.gov/Archives/edgar/data/1792849/000143774920016653/hpe20200804_s4a.htm#annexa3" TargetMode="External"/><Relationship Id="rId129" Type="http://schemas.openxmlformats.org/officeDocument/2006/relationships/hyperlink" Target="http://www.sec.gov/Archives/edgar/data/1792849/000143774922015749/ex_389480.htm" TargetMode="External"/><Relationship Id="rId130" Type="http://schemas.openxmlformats.org/officeDocument/2006/relationships/hyperlink" Target="http://www.sec.gov/Archives/edgar/data/1792849/000143774922015749/ex_389482.htm" TargetMode="External"/><Relationship Id="rId131" Type="http://schemas.openxmlformats.org/officeDocument/2006/relationships/hyperlink" Target="http://www.sec.gov/Archives/edgar/data/1792849/000143774922016287/ex_390409.htm" TargetMode="External"/><Relationship Id="rId132" Type="http://schemas.openxmlformats.org/officeDocument/2006/relationships/hyperlink" Target="http://www.sec.gov/Archives/edgar/data/1792849/000143774922015749/ex_389481.htm" TargetMode="External"/><Relationship Id="rId133" Type="http://schemas.openxmlformats.org/officeDocument/2006/relationships/hyperlink" Target="http://www.sec.gov/Archives/edgar/data/1792849/000143774920018850/ex_201556.htm" TargetMode="External"/><Relationship Id="rId134" Type="http://schemas.openxmlformats.org/officeDocument/2006/relationships/hyperlink" Target="http://www.sec.gov/Archives/edgar/data/1792849/000143774920018850/ex_201557.htm" TargetMode="External"/><Relationship Id="rId135" Type="http://schemas.openxmlformats.org/officeDocument/2006/relationships/hyperlink" Target="http://www.sec.gov/Archives/edgar/data/1792849/000143774920018850/ex_201560.htm" TargetMode="External"/><Relationship Id="rId136" Type="http://schemas.openxmlformats.org/officeDocument/2006/relationships/hyperlink" Target="http://www.sec.gov/Archives/edgar/data/1792849/000143774920018850/ex_201559.htm" TargetMode="External"/><Relationship Id="rId137" Type="http://schemas.openxmlformats.org/officeDocument/2006/relationships/hyperlink" Target="http://www.sec.gov/Archives/edgar/data/1792849/000143774920018850/ex_201558.htm" TargetMode="External"/><Relationship Id="rId138" Type="http://schemas.openxmlformats.org/officeDocument/2006/relationships/hyperlink" Target="http://www.sec.gov/Archives/edgar/data/1792849/000143774921006064/ex_226993.htm" TargetMode="External"/><Relationship Id="rId139" Type="http://schemas.openxmlformats.org/officeDocument/2006/relationships/hyperlink" Target="http://www.sec.gov/Archives/edgar/data/1792849/000143774922004067/ex_338990.htm" TargetMode="External"/><Relationship Id="rId140" Type="http://schemas.openxmlformats.org/officeDocument/2006/relationships/hyperlink" Target="http://www.sec.gov/Archives/edgar/data/1792849/000143774922026977/ex_445481.htm" TargetMode="External"/><Relationship Id="rId141" Type="http://schemas.openxmlformats.org/officeDocument/2006/relationships/hyperlink" Target="http://www.sec.gov/Archives/edgar/data/1792849/000143774922026977/ex_445480.htm" TargetMode="External"/><Relationship Id="rId142" Type="http://schemas.openxmlformats.org/officeDocument/2006/relationships/hyperlink" Target="http://www.sec.gov/Archives/edgar/data/1792849/000143774922028930/ex_455400.htm" TargetMode="External"/><Relationship Id="rId143" Type="http://schemas.openxmlformats.org/officeDocument/2006/relationships/hyperlink" Target="http://www.sec.gov/Archives/edgar/data/1792849/000143774922016287/ex_390410.htm" TargetMode="External"/><Relationship Id="rId144" Type="http://schemas.openxmlformats.org/officeDocument/2006/relationships/hyperlink" Target="http://www.sec.gov/Archives/edgar/data/1792849/000143774920016653/hpe20200804_s4a.htm#annexf" TargetMode="External"/><Relationship Id="rId145" Type="http://schemas.openxmlformats.org/officeDocument/2006/relationships/hyperlink" Target="http://www.sec.gov/Archives/edgar/data/1792849/000143774920018850/ex_201563.htm" TargetMode="External"/><Relationship Id="rId147" Type="http://schemas.openxmlformats.org/officeDocument/2006/relationships/hyperlink" Target="http://www.sec.gov/Archives/edgar/data/1792849/000143774920023072/ex_212714.htm" TargetMode="External"/><Relationship Id="rId148" Type="http://schemas.openxmlformats.org/officeDocument/2006/relationships/hyperlink" Target="http://www.sec.gov/Archives/edgar/data/1792849/000143774920025626/ex_218259.htm" TargetMode="External"/><Relationship Id="rId149" Type="http://schemas.openxmlformats.org/officeDocument/2006/relationships/hyperlink" Target="http://www.sec.gov/Archives/edgar/data/1792849/000143774921015514/ex_259439.htm" TargetMode="External"/><Relationship Id="rId150" Type="http://schemas.openxmlformats.org/officeDocument/2006/relationships/hyperlink" Target="http://www.sec.gov/Archives/edgar/data/1792849/000143774921023239/ex_288604.htm" TargetMode="External"/><Relationship Id="rId151" Type="http://schemas.openxmlformats.org/officeDocument/2006/relationships/hyperlink" Target="http://www.sec.gov/Archives/edgar/data/1792849/000143774922003178/ex_335022.htm" TargetMode="External"/><Relationship Id="rId152" Type="http://schemas.openxmlformats.org/officeDocument/2006/relationships/hyperlink" Target="http://www.sec.gov/Archives/edgar/data/1792849/000143774922016287/ex_391032.htm" TargetMode="External"/><Relationship Id="rId153" Type="http://schemas.openxmlformats.org/officeDocument/2006/relationships/hyperlink" Target="http://www.sec.gov/Archives/edgar/data/1792849/000143774922024276/ex_432342.htm" TargetMode="External"/><Relationship Id="rId154" Type="http://schemas.openxmlformats.org/officeDocument/2006/relationships/hyperlink" Target="http://www.sec.gov/Archives/edgar/data/1792849/000143774922026040/ex_440589.htm" TargetMode="External"/><Relationship Id="rId155" Type="http://schemas.openxmlformats.org/officeDocument/2006/relationships/hyperlink" Target="http://www.sec.gov/Archives/edgar/data/1792849/000143774921019137/ex_269205.htm" TargetMode="External"/><Relationship Id="rId156" Type="http://schemas.openxmlformats.org/officeDocument/2006/relationships/hyperlink" Target="http://www.sec.gov/Archives/edgar/data/1792849/000143774920022825/ex_211960.htm" TargetMode="External"/><Relationship Id="rId157" Type="http://schemas.openxmlformats.org/officeDocument/2006/relationships/hyperlink" Target="http://www.sec.gov/Archives/edgar/data/1792849/000143774922005397/ex_343362.htm" TargetMode="External"/><Relationship Id="rId158" Type="http://schemas.openxmlformats.org/officeDocument/2006/relationships/hyperlink" Target="http://www.sec.gov/Archives/edgar/data/1792849/000143774922021260/ex_41629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2023-03-06T15:25:28Z</dcterms:created>
  <dcterms:modified xsi:type="dcterms:W3CDTF">2023-03-06T15:25:28Z</dcterms:modified>
</cp:coreProperties>
</file>