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pe20250930_10q.htm"/>
      <w:bookmarkStart w:id="1" w:name="kshpe20250930_10q"/>
      <w:bookmarkEnd w:id="0"/>
      <w:bookmarkEnd w:id="1"/>
      <w:r>
        <w:rPr/>
        <w:t> </w:t>
      </w:r>
      <w:r>
        <mc:AlternateContent>
          <mc:Choice Requires="wps">
            <w:drawing>
              <wp:anchor behindDoc="0" distT="0" distB="0" distL="0" distR="0" simplePos="0" locked="0" layoutInCell="1" allowOverlap="1" relativeHeight="2">
                <wp:simplePos x="0" y="0"/>
                <wp:positionH relativeFrom="page">
                  <wp:posOffset>333375</wp:posOffset>
                </wp:positionH>
                <wp:positionV relativeFrom="page">
                  <wp:posOffset>378694950</wp:posOffset>
                </wp:positionV>
                <wp:extent cx="28575" cy="180975"/>
                <wp:effectExtent l="0" t="0" r="0" b="0"/>
                <wp:wrapNone/>
                <wp:docPr id="1" name="Frame1"/>
                <a:graphic xmlns:a="http://schemas.openxmlformats.org/drawingml/2006/main">
                  <a:graphicData uri="http://schemas.microsoft.com/office/word/2010/wordprocessingShape">
                    <wps:wsp>
                      <wps:cNvSpPr txBox="1"/>
                      <wps:spPr>
                        <a:xfrm>
                          <a:off x="0" y="0"/>
                          <a:ext cx="28575" cy="180975"/>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5pt;height:14.25pt;mso-wrap-distance-left:0pt;mso-wrap-distance-right:0pt;mso-wrap-distance-top:0pt;mso-wrap-distance-bottom:0pt;margin-top:29818.5pt;mso-position-vertical-relative:page;margin-left:26.25pt;mso-position-horizontal-relative:page">
                <v:textbox inset="0in,0in,0in,0in">
                  <w:txbxContent>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 to ________</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001-39464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4280"/>
        <w:gridCol w:w="2510"/>
      </w:tblGrid>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84-3533602</w:t>
            </w:r>
          </w:p>
        </w:tc>
      </w:tr>
      <w:tr>
        <w:trPr/>
        <w:tc>
          <w:tcPr>
            <w:tcW w:w="42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organization)</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w:t>
            </w:r>
          </w:p>
        </w:tc>
      </w:tr>
      <w:tr>
        <w:trPr/>
        <w:tc>
          <w:tcPr>
            <w:tcW w:w="428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421 W. 3rd St., Suite 1000</w:t>
            </w:r>
          </w:p>
        </w:tc>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76102</w:t>
            </w:r>
          </w:p>
        </w:tc>
      </w:tr>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Fort Worth, Texas </w:t>
            </w:r>
          </w:p>
        </w:tc>
        <w:tc>
          <w:tcPr>
            <w:tcW w:w="25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r>
        <w:trPr/>
        <w:tc>
          <w:tcPr>
            <w:tcW w:w="42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tc>
        <w:tc>
          <w:tcPr>
            <w:tcW w:w="25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(817) 850-9200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w:t>
      </w:r>
      <w:r>
        <w:rPr>
          <w:rFonts w:ascii="Times New Roman" w:hAnsi="Times New Roman"/>
          <w:caps w:val="false"/>
          <w:smallCaps w:val="false"/>
          <w:sz w:val="20"/>
        </w:rPr>
        <w:t xml:space="preserve">t </w:t>
      </w:r>
      <w:r>
        <w:rPr>
          <w:rFonts w:ascii="Times New Roman" w:hAnsi="Times New Roman"/>
          <w:b/>
          <w:caps w:val="false"/>
          <w:smallCaps w:val="false"/>
          <w:sz w:val="20"/>
        </w:rPr>
        <w:t>applicable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28" w:type="dxa"/>
          <w:right w:w="0" w:type="dxa"/>
        </w:tblCellMar>
      </w:tblPr>
      <w:tblGrid>
        <w:gridCol w:w="3605"/>
        <w:gridCol w:w="60"/>
        <w:gridCol w:w="1415"/>
        <w:gridCol w:w="60"/>
        <w:gridCol w:w="2795"/>
      </w:tblGrid>
      <w:tr>
        <w:trPr/>
        <w:tc>
          <w:tcPr>
            <w:tcW w:w="36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7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36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HPK</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1970"/>
        <w:gridCol w:w="230"/>
        <w:gridCol w:w="2375"/>
        <w:gridCol w:w="230"/>
      </w:tblGrid>
      <w:tr>
        <w:trPr/>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7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Yes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October 31, 2025, there were 125,587,093 shares of common stock, par value $0.0001 per share,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710"/>
        <w:gridCol w:w="7250"/>
        <w:gridCol w:w="410"/>
      </w:tblGrid>
      <w:tr>
        <w:trPr/>
        <w:tc>
          <w:tcPr>
            <w:tcW w:w="7960" w:type="dxa"/>
            <w:gridSpan w:val="2"/>
            <w:tcBorders/>
            <w:vAlign w:val="center"/>
          </w:tcPr>
          <w:p>
            <w:pPr>
              <w:pStyle w:val="TableContents"/>
              <w:bidi w:val="0"/>
              <w:spacing w:before="0" w:after="283"/>
              <w:jc w:val="left"/>
              <w:rPr/>
            </w:pPr>
            <w:r>
              <w:rPr/>
              <w:t> </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w:t>
            </w:r>
          </w:p>
        </w:tc>
      </w:tr>
      <w:tr>
        <w:trPr/>
        <w:tc>
          <w:tcPr>
            <w:tcW w:w="796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 of Certain Terms and Conventions Used Herein</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r>
      <w:tr>
        <w:trPr/>
        <w:tc>
          <w:tcPr>
            <w:tcW w:w="7960"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Cautionary Statement Concerning Forward-Looking Statements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tc>
      </w:tr>
      <w:tr>
        <w:trPr/>
        <w:tc>
          <w:tcPr>
            <w:tcW w:w="8370" w:type="dxa"/>
            <w:gridSpan w:val="3"/>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PART I. FINANCIAL INFORMATION</w:t>
            </w:r>
          </w:p>
        </w:tc>
      </w:tr>
      <w:tr>
        <w:trPr/>
        <w:tc>
          <w:tcPr>
            <w:tcW w:w="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1.</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Financial Statements (Unaudited)</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tc>
      </w:tr>
      <w:tr>
        <w:trPr/>
        <w:tc>
          <w:tcPr>
            <w:tcW w:w="710"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Balance Sheets</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tc>
      </w:tr>
      <w:tr>
        <w:trPr/>
        <w:tc>
          <w:tcPr>
            <w:tcW w:w="710" w:type="dxa"/>
            <w:tcBorders/>
            <w:shd w:fill="FFFFFF" w:val="clear"/>
            <w:vAlign w:val="center"/>
          </w:tcPr>
          <w:p>
            <w:pPr>
              <w:pStyle w:val="TableContents"/>
              <w:bidi w:val="0"/>
              <w:spacing w:before="0" w:after="283"/>
              <w:jc w:val="left"/>
              <w:rPr/>
            </w:pPr>
            <w:r>
              <w:rPr/>
              <w:t> </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Operations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tc>
      </w:tr>
      <w:tr>
        <w:trPr/>
        <w:tc>
          <w:tcPr>
            <w:tcW w:w="710"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Changes in Stockholders’ Equity</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tc>
      </w:tr>
      <w:tr>
        <w:trPr/>
        <w:tc>
          <w:tcPr>
            <w:tcW w:w="710" w:type="dxa"/>
            <w:tcBorders/>
            <w:shd w:fill="FFFFFF" w:val="clear"/>
            <w:vAlign w:val="center"/>
          </w:tcPr>
          <w:p>
            <w:pPr>
              <w:pStyle w:val="TableContents"/>
              <w:bidi w:val="0"/>
              <w:spacing w:before="0" w:after="283"/>
              <w:jc w:val="left"/>
              <w:rPr/>
            </w:pPr>
            <w:r>
              <w:rPr/>
              <w:t> </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Cash Flows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tc>
      </w:tr>
      <w:tr>
        <w:trPr/>
        <w:tc>
          <w:tcPr>
            <w:tcW w:w="710" w:type="dxa"/>
            <w:tcBorders/>
            <w:shd w:fill="CCEEFF" w:val="clear"/>
            <w:vAlign w:val="center"/>
          </w:tcPr>
          <w:p>
            <w:pPr>
              <w:pStyle w:val="TableContents"/>
              <w:bidi w:val="0"/>
              <w:spacing w:before="0" w:after="283"/>
              <w:jc w:val="left"/>
              <w:rPr/>
            </w:pPr>
            <w:r>
              <w:rPr/>
              <w:t> </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Condensed Consolidated Financial Statements</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tc>
      </w:tr>
      <w:tr>
        <w:trPr/>
        <w:tc>
          <w:tcPr>
            <w:tcW w:w="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2.</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Management's Discussion and Analysis of Financial Condition and Results of Operations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tc>
      </w:tr>
      <w:tr>
        <w:trPr/>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3.</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Quantitative and Qualitative Disclosures About Market Risk</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tc>
      </w:tr>
      <w:tr>
        <w:trPr/>
        <w:tc>
          <w:tcPr>
            <w:tcW w:w="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4.</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Controls and Procedures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r>
      <w:tr>
        <w:trPr/>
        <w:tc>
          <w:tcPr>
            <w:tcW w:w="8370" w:type="dxa"/>
            <w:gridSpan w:val="3"/>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PART II. OTHER INFORMATION</w:t>
            </w:r>
          </w:p>
        </w:tc>
      </w:tr>
      <w:tr>
        <w:trPr/>
        <w:tc>
          <w:tcPr>
            <w:tcW w:w="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1.</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Proceedings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r>
      <w:tr>
        <w:trPr/>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1A.</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r>
      <w:tr>
        <w:trPr/>
        <w:tc>
          <w:tcPr>
            <w:tcW w:w="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2.</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Unregistered Sales of Equity Securities and Use of Proceeds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tc>
      </w:tr>
      <w:tr>
        <w:trPr/>
        <w:tc>
          <w:tcPr>
            <w:tcW w:w="7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5.</w:t>
            </w:r>
          </w:p>
        </w:tc>
        <w:tc>
          <w:tcPr>
            <w:tcW w:w="7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Information</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tc>
      </w:tr>
      <w:tr>
        <w:trPr/>
        <w:tc>
          <w:tcPr>
            <w:tcW w:w="7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Item 6.</w:t>
            </w:r>
          </w:p>
        </w:tc>
        <w:tc>
          <w:tcPr>
            <w:tcW w:w="7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c>
          <w:tcPr>
            <w:tcW w:w="4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tc>
      </w:tr>
      <w:tr>
        <w:trPr/>
        <w:tc>
          <w:tcPr>
            <w:tcW w:w="796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Signatures</w:t>
            </w:r>
          </w:p>
        </w:tc>
        <w:tc>
          <w:tcPr>
            <w:tcW w:w="4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 of Certain Terms and Conventions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Within this Quarterly Report on Form 10-Q (this “Quarterly Report”), the following terms and conventions have specific meanings: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3-D seismic</w:t>
            </w:r>
            <w:r>
              <w:rPr>
                <w:rFonts w:ascii="Times New Roman" w:hAnsi="Times New Roman"/>
                <w:caps w:val="false"/>
                <w:smallCaps w:val="false"/>
                <w:sz w:val="20"/>
              </w:rPr>
              <w:t>” means three-dimensional seismic data which is geophysical data that depicts the subsurface strata in three dimensions. 3-D seismic data typically provides a more detailed and accurate interpretation of the subsurface strata than two-dimensional data.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ASC</w:t>
            </w:r>
            <w:r>
              <w:rPr>
                <w:rFonts w:ascii="Times New Roman" w:hAnsi="Times New Roman"/>
                <w:caps w:val="false"/>
                <w:smallCaps w:val="false"/>
                <w:sz w:val="20"/>
              </w:rPr>
              <w:t>” means Accounting Standards Codification.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ASU</w:t>
            </w:r>
            <w:r>
              <w:rPr>
                <w:rFonts w:ascii="Times New Roman" w:hAnsi="Times New Roman"/>
                <w:caps w:val="false"/>
                <w:smallCaps w:val="false"/>
                <w:sz w:val="20"/>
              </w:rPr>
              <w:t>” means Accounting Standards Update.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Basin</w:t>
            </w:r>
            <w:r>
              <w:rPr>
                <w:rFonts w:ascii="Times New Roman" w:hAnsi="Times New Roman"/>
                <w:caps w:val="false"/>
                <w:smallCaps w:val="false"/>
                <w:sz w:val="20"/>
              </w:rPr>
              <w:t>” means a large natural depression on the earth’s surface in which sediments generally brought by water accumulate.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Bbl</w:t>
            </w:r>
            <w:r>
              <w:rPr>
                <w:rFonts w:ascii="Times New Roman" w:hAnsi="Times New Roman"/>
                <w:caps w:val="false"/>
                <w:smallCaps w:val="false"/>
                <w:sz w:val="20"/>
              </w:rPr>
              <w:t>” means a standard barrel containing 42 United States gallons.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Bcf</w:t>
            </w:r>
            <w:r>
              <w:rPr>
                <w:rFonts w:ascii="Times New Roman" w:hAnsi="Times New Roman"/>
                <w:caps w:val="false"/>
                <w:smallCaps w:val="false"/>
                <w:sz w:val="20"/>
              </w:rPr>
              <w:t>” means one billion cubic feet.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Boe</w:t>
            </w:r>
            <w:r>
              <w:rPr>
                <w:rFonts w:ascii="Times New Roman" w:hAnsi="Times New Roman"/>
                <w:caps w:val="false"/>
                <w:smallCaps w:val="false"/>
                <w:sz w:val="20"/>
              </w:rPr>
              <w:t>” means a barrel of crude oil equivalent and is a standard convention used to express crude oil and natural gas volumes on a comparable crude oil equivalent basis. Natural gas equivalents are determined under the relative energy content method by using the ratio of six thousand cubic feet of natural gas to one Bbl of crude oil or NGL.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Boepd</w:t>
            </w:r>
            <w:r>
              <w:rPr>
                <w:rFonts w:ascii="Times New Roman" w:hAnsi="Times New Roman"/>
                <w:caps w:val="false"/>
                <w:smallCaps w:val="false"/>
                <w:sz w:val="20"/>
              </w:rPr>
              <w:t>” means Boe per day.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Bopd</w:t>
            </w:r>
            <w:r>
              <w:rPr>
                <w:rFonts w:ascii="Times New Roman" w:hAnsi="Times New Roman"/>
                <w:caps w:val="false"/>
                <w:smallCaps w:val="false"/>
                <w:sz w:val="20"/>
              </w:rPr>
              <w:t>” means one barrel of crude oil per day.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Btu</w:t>
            </w:r>
            <w:r>
              <w:rPr>
                <w:rFonts w:ascii="Times New Roman" w:hAnsi="Times New Roman"/>
                <w:caps w:val="false"/>
                <w:smallCaps w:val="false"/>
                <w:sz w:val="20"/>
              </w:rPr>
              <w:t>” means British thermal unit, which is a measure of the amount of energy required to raise the temperature of one pound of water one degree Fahrenheit.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Collateral Agency Agreement</w:t>
            </w:r>
            <w:r>
              <w:rPr>
                <w:rFonts w:ascii="Times New Roman" w:hAnsi="Times New Roman"/>
                <w:caps w:val="false"/>
                <w:smallCaps w:val="false"/>
                <w:sz w:val="20"/>
              </w:rPr>
              <w:t>” means the Company’s Collateral Agency Agreement, dated as of September 12, 2023, by and among HighPeak Energy, Inc., Texas Capital Bank, as collateral agent, Chambers Energy Management, LP, as term representative,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common stock</w:t>
            </w:r>
            <w:r>
              <w:rPr>
                <w:rFonts w:ascii="Times New Roman" w:hAnsi="Times New Roman"/>
                <w:caps w:val="false"/>
                <w:smallCaps w:val="false"/>
                <w:sz w:val="20"/>
              </w:rPr>
              <w:t>” or “</w:t>
            </w:r>
            <w:r>
              <w:rPr>
                <w:rFonts w:ascii="Times New Roman" w:hAnsi="Times New Roman"/>
                <w:b/>
                <w:i/>
                <w:caps w:val="false"/>
                <w:smallCaps w:val="false"/>
                <w:sz w:val="20"/>
              </w:rPr>
              <w:t>HighPeak Energy common stock</w:t>
            </w:r>
            <w:r>
              <w:rPr>
                <w:rFonts w:ascii="Times New Roman" w:hAnsi="Times New Roman"/>
                <w:caps w:val="false"/>
                <w:smallCaps w:val="false"/>
                <w:sz w:val="20"/>
              </w:rPr>
              <w:t>” means the Company’s common stock, par value $0.0001 per share.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Completion</w:t>
            </w:r>
            <w:r>
              <w:rPr>
                <w:rFonts w:ascii="Times New Roman" w:hAnsi="Times New Roman"/>
                <w:caps w:val="false"/>
                <w:smallCaps w:val="false"/>
                <w:sz w:val="20"/>
              </w:rPr>
              <w:t>” The process of treating a drilled well followed by the installation of permanent equipment for the production of crude oil and natural gas, or in the case of a dry hole, the reporting of abandonment to the appropriate agency.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Credit Agreement</w:t>
            </w:r>
            <w:r>
              <w:rPr>
                <w:rFonts w:ascii="Times New Roman" w:hAnsi="Times New Roman"/>
                <w:caps w:val="false"/>
                <w:smallCaps w:val="false"/>
                <w:sz w:val="20"/>
              </w:rPr>
              <w:t>” means the Term Loan Credit Agreement and the Senior Credit Facility Agreement.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DD&amp;A</w:t>
            </w:r>
            <w:r>
              <w:rPr>
                <w:rFonts w:ascii="Times New Roman" w:hAnsi="Times New Roman"/>
                <w:caps w:val="false"/>
                <w:smallCaps w:val="false"/>
                <w:sz w:val="20"/>
              </w:rPr>
              <w:t>” means depletion, depreciation and amortization.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Development costs</w:t>
            </w:r>
            <w:r>
              <w:rPr>
                <w:rFonts w:ascii="Times New Roman" w:hAnsi="Times New Roman"/>
                <w:caps w:val="false"/>
                <w:smallCaps w:val="false"/>
                <w:sz w:val="20"/>
              </w:rPr>
              <w:t>” Costs incurred to obtain access to proved reserves and to provide facilities for extracting, treating, gathering and storing the crude oil and natural gas. For a complete definition of development costs, refer to the SEC’s Regulation S-X, Rule 4-10(a)(7).</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Development project</w:t>
            </w:r>
            <w:r>
              <w:rPr>
                <w:rFonts w:ascii="Times New Roman" w:hAnsi="Times New Roman"/>
                <w:caps w:val="false"/>
                <w:smallCaps w:val="false"/>
                <w:sz w:val="20"/>
              </w:rPr>
              <w:t>” A development project is the means by which petroleum resources are brought to the status of economically producible. As examples, the development of a single reservoir or field, an incremental development in a producing field or the integrated development of a group of several fields and associated facilities with a common ownership may constitute a development project.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Development well</w:t>
            </w:r>
            <w:r>
              <w:rPr>
                <w:rFonts w:ascii="Times New Roman" w:hAnsi="Times New Roman"/>
                <w:caps w:val="false"/>
                <w:smallCaps w:val="false"/>
                <w:sz w:val="20"/>
              </w:rPr>
              <w:t>” A well drilled within the proved area of a crude oil or natural gas reservoir to the depth of a stratigraphic horizon known to be productive.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Differential</w:t>
            </w:r>
            <w:r>
              <w:rPr>
                <w:rFonts w:ascii="Times New Roman" w:hAnsi="Times New Roman"/>
                <w:caps w:val="false"/>
                <w:smallCaps w:val="false"/>
                <w:sz w:val="20"/>
              </w:rPr>
              <w:t>” An adjustment to the price of crude oil, NGL or natural gas from an established spot market price to reflect differences in the quality and/or location of crude oil, NGL or natural gas.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Dry hole</w:t>
            </w:r>
            <w:r>
              <w:rPr>
                <w:rFonts w:ascii="Times New Roman" w:hAnsi="Times New Roman"/>
                <w:caps w:val="false"/>
                <w:smallCaps w:val="false"/>
                <w:sz w:val="20"/>
              </w:rPr>
              <w:t>” or “</w:t>
            </w:r>
            <w:r>
              <w:rPr>
                <w:rFonts w:ascii="Times New Roman" w:hAnsi="Times New Roman"/>
                <w:b/>
                <w:i/>
                <w:caps w:val="false"/>
                <w:smallCaps w:val="false"/>
                <w:sz w:val="20"/>
              </w:rPr>
              <w:t>dry well</w:t>
            </w:r>
            <w:r>
              <w:rPr>
                <w:rFonts w:ascii="Times New Roman" w:hAnsi="Times New Roman"/>
                <w:caps w:val="false"/>
                <w:smallCaps w:val="false"/>
                <w:sz w:val="20"/>
              </w:rPr>
              <w:t>” A well found to be incapable of producing hydrocarbons in sufficient quantities such that proceeds from the sale of such production exceed production expenses and taxes.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Economically producible</w:t>
            </w:r>
            <w:r>
              <w:rPr>
                <w:rFonts w:ascii="Times New Roman" w:hAnsi="Times New Roman"/>
                <w:caps w:val="false"/>
                <w:smallCaps w:val="false"/>
                <w:sz w:val="20"/>
              </w:rPr>
              <w:t>” The term economically producible, as it relates to a resource, means a resource which generates revenue that exceeds, or is reasonably expected to exceed, the costs of the operation.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EUR</w:t>
            </w:r>
            <w:r>
              <w:rPr>
                <w:rFonts w:ascii="Times New Roman" w:hAnsi="Times New Roman"/>
                <w:caps w:val="false"/>
                <w:smallCaps w:val="false"/>
                <w:sz w:val="20"/>
              </w:rPr>
              <w:t>” or “</w:t>
            </w:r>
            <w:r>
              <w:rPr>
                <w:rFonts w:ascii="Times New Roman" w:hAnsi="Times New Roman"/>
                <w:b/>
                <w:i/>
                <w:caps w:val="false"/>
                <w:smallCaps w:val="false"/>
                <w:sz w:val="20"/>
              </w:rPr>
              <w:t>Estimated ultimate recovery</w:t>
            </w:r>
            <w:r>
              <w:rPr>
                <w:rFonts w:ascii="Times New Roman" w:hAnsi="Times New Roman"/>
                <w:caps w:val="false"/>
                <w:smallCaps w:val="false"/>
                <w:sz w:val="20"/>
              </w:rPr>
              <w:t>” The sum of reserves remaining as of a given date and cumulative production as of that date.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Exploratory well</w:t>
            </w:r>
            <w:r>
              <w:rPr>
                <w:rFonts w:ascii="Times New Roman" w:hAnsi="Times New Roman"/>
                <w:caps w:val="false"/>
                <w:smallCaps w:val="false"/>
                <w:sz w:val="20"/>
              </w:rPr>
              <w:t>” An exploratory well is a well drilled to find a new field, to find a new reservoir in a field previously found to be productive of crude oil or natural gas in another reservoir. Generally, an exploratory well is any well that is not a development well, an extension well, a service well or a stratigraphic test well as those items are defined by the SEC.</w:t>
            </w:r>
          </w:p>
        </w:tc>
      </w:tr>
    </w:tbl>
    <w:p>
      <w:pPr>
        <w:pStyle w:val="TextBody"/>
        <w:bidi w:val="0"/>
        <w:spacing w:before="0" w:after="0"/>
        <w:jc w:val="left"/>
        <w:rPr/>
      </w:pPr>
      <w:r>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Extension well</w:t>
            </w:r>
            <w:r>
              <w:rPr>
                <w:rFonts w:ascii="Times New Roman" w:hAnsi="Times New Roman"/>
                <w:caps w:val="false"/>
                <w:smallCaps w:val="false"/>
                <w:sz w:val="20"/>
              </w:rPr>
              <w:t>” An extension well is a well drilled to extend the limits of a known reservoir.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FASB</w:t>
            </w:r>
            <w:r>
              <w:rPr>
                <w:rFonts w:ascii="Times New Roman" w:hAnsi="Times New Roman"/>
                <w:caps w:val="false"/>
                <w:smallCaps w:val="false"/>
                <w:sz w:val="20"/>
              </w:rPr>
              <w:t>” Financial Accounting Standards Board.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Field</w:t>
            </w:r>
            <w:r>
              <w:rPr>
                <w:rFonts w:ascii="Times New Roman" w:hAnsi="Times New Roman"/>
                <w:caps w:val="false"/>
                <w:smallCaps w:val="false"/>
                <w:sz w:val="20"/>
              </w:rPr>
              <w:t>” An area consisting of a single reservoir or multiple reservoirs all grouped on, or related to, the same individual geological structural feature or stratigraphic condition. The field name refers to the surface area, although it may refer to both the surface and the underground productive formations.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First Facility Amendment</w:t>
            </w:r>
            <w:r>
              <w:rPr>
                <w:rFonts w:ascii="Times New Roman" w:hAnsi="Times New Roman"/>
                <w:caps w:val="false"/>
                <w:smallCaps w:val="false"/>
                <w:sz w:val="20"/>
              </w:rPr>
              <w:t>” means the First Amendment to Senior Credit Facility Agreement, dated March 29, 2024, by and among HighPeak Energy, Inc., as borrower, Fifth Third Bank, National Association, as administrative agent, the guarantors party thereto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First Term Loan Amendment</w:t>
            </w:r>
            <w:r>
              <w:rPr>
                <w:rFonts w:ascii="Times New Roman" w:hAnsi="Times New Roman"/>
                <w:caps w:val="false"/>
                <w:smallCaps w:val="false"/>
                <w:sz w:val="20"/>
              </w:rPr>
              <w:t>” means the First Amendment to Term Loan Credit Agreement, dated August 1, 2025, by and among HighPeak Energy, Inc., as borrower, Texas Capital Bank, as administrative agent, Chambers Energy Management, LP, as collateral agent, and the lenders from time-to-time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Formation</w:t>
            </w:r>
            <w:r>
              <w:rPr>
                <w:rFonts w:ascii="Times New Roman" w:hAnsi="Times New Roman"/>
                <w:caps w:val="false"/>
                <w:smallCaps w:val="false"/>
                <w:sz w:val="20"/>
              </w:rPr>
              <w:t>” A layer of rock which has distinct characteristics that differs from nearby rocks.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caps w:val="false"/>
                <w:smallCaps w:val="false"/>
                <w:sz w:val="20"/>
              </w:rPr>
              <w:t>” means accounting principles generally accepted in the United States of America.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Gross wells</w:t>
            </w:r>
            <w:r>
              <w:rPr>
                <w:rFonts w:ascii="Times New Roman" w:hAnsi="Times New Roman"/>
                <w:caps w:val="false"/>
                <w:smallCaps w:val="false"/>
                <w:sz w:val="20"/>
              </w:rPr>
              <w:t>” means the total wells in which a working interest is owned.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Held by production</w:t>
            </w:r>
            <w:r>
              <w:rPr>
                <w:rFonts w:ascii="Times New Roman" w:hAnsi="Times New Roman"/>
                <w:caps w:val="false"/>
                <w:smallCaps w:val="false"/>
                <w:sz w:val="20"/>
              </w:rPr>
              <w:t>” Acreage covered by a mineral lease that perpetuates a company’s right to operate a property as long as the property produces a minimum paying quantity of crude oil or natural gas.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HH</w:t>
            </w:r>
            <w:r>
              <w:rPr>
                <w:rFonts w:ascii="Times New Roman" w:hAnsi="Times New Roman"/>
                <w:caps w:val="false"/>
                <w:smallCaps w:val="false"/>
                <w:sz w:val="20"/>
              </w:rPr>
              <w:t>” means Henry Hub, a distribution hub in Louisiana that serves as the delivery location for natural gas futures contracts on the NYMEX.</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HighPeak Energy</w:t>
            </w:r>
            <w:r>
              <w:rPr>
                <w:rFonts w:ascii="Times New Roman" w:hAnsi="Times New Roman"/>
                <w:caps w:val="false"/>
                <w:smallCaps w:val="false"/>
                <w:sz w:val="20"/>
              </w:rPr>
              <w:t>” or the “</w:t>
            </w:r>
            <w:r>
              <w:rPr>
                <w:rFonts w:ascii="Times New Roman" w:hAnsi="Times New Roman"/>
                <w:b/>
                <w:i/>
                <w:caps w:val="false"/>
                <w:smallCaps w:val="false"/>
                <w:sz w:val="20"/>
              </w:rPr>
              <w:t>Company</w:t>
            </w:r>
            <w:r>
              <w:rPr>
                <w:rFonts w:ascii="Times New Roman" w:hAnsi="Times New Roman"/>
                <w:caps w:val="false"/>
                <w:smallCaps w:val="false"/>
                <w:sz w:val="20"/>
              </w:rPr>
              <w:t>” means HighPeak Energy, Inc. and its subsidiaries.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HighPeak I</w:t>
            </w:r>
            <w:r>
              <w:rPr>
                <w:rFonts w:ascii="Times New Roman" w:hAnsi="Times New Roman"/>
                <w:caps w:val="false"/>
                <w:smallCaps w:val="false"/>
                <w:sz w:val="20"/>
              </w:rPr>
              <w:t>” means HighPeak Energy, LP, a Delaware limited partnership, and a wholly owned subsidiary of HighPeak Energy Partners, LP, a Delaware limited partnership.</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HighPeak II</w:t>
            </w:r>
            <w:r>
              <w:rPr>
                <w:rFonts w:ascii="Times New Roman" w:hAnsi="Times New Roman"/>
                <w:caps w:val="false"/>
                <w:smallCaps w:val="false"/>
                <w:sz w:val="20"/>
              </w:rPr>
              <w:t>” means HighPeak Energy II, LP, a Delaware limited partnership, and a wholly owned subsidiary of HighPeak Energy Partners II, LP, a Delaware limited partnership.</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Horizontal drilling</w:t>
            </w:r>
            <w:r>
              <w:rPr>
                <w:rFonts w:ascii="Times New Roman" w:hAnsi="Times New Roman"/>
                <w:caps w:val="false"/>
                <w:smallCaps w:val="false"/>
                <w:sz w:val="20"/>
              </w:rPr>
              <w:t>” A drilling technique used in certain formations where a well is drilled vertically to a certain depth and then drilled at a right angle within a specified interval.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HPK Contributors</w:t>
            </w:r>
            <w:r>
              <w:rPr>
                <w:rFonts w:ascii="Times New Roman" w:hAnsi="Times New Roman"/>
                <w:caps w:val="false"/>
                <w:smallCaps w:val="false"/>
                <w:sz w:val="20"/>
              </w:rPr>
              <w:t>” means HighPeak I, HighPeak II and HPK GP.</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HPK GP</w:t>
            </w:r>
            <w:r>
              <w:rPr>
                <w:rFonts w:ascii="Times New Roman" w:hAnsi="Times New Roman"/>
                <w:caps w:val="false"/>
                <w:smallCaps w:val="false"/>
                <w:sz w:val="20"/>
              </w:rPr>
              <w:t>” means HighPeak Energy, LLC, a Delaware limited liability company.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Hydraulic fracturing</w:t>
            </w:r>
            <w:r>
              <w:rPr>
                <w:rFonts w:ascii="Times New Roman" w:hAnsi="Times New Roman"/>
                <w:caps w:val="false"/>
                <w:smallCaps w:val="false"/>
                <w:sz w:val="20"/>
              </w:rPr>
              <w:t>” is the technique of stimulating the production of hydrocarbons from tight formations. The Company routinely utilizes hydraulic fracturing techniques in its drilling and completion programs. The process involves the injection of water, sand, and chemicals under pressure into the formation to fracture the surrounding rock and stimulate production.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Lease operating expenses</w:t>
            </w:r>
            <w:r>
              <w:rPr>
                <w:rFonts w:ascii="Times New Roman" w:hAnsi="Times New Roman"/>
                <w:caps w:val="false"/>
                <w:smallCaps w:val="false"/>
                <w:sz w:val="20"/>
              </w:rPr>
              <w:t>” The expenses of lifting crude oil or natural gas from a producing formation to the surface, constituting part of the 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MBbl</w:t>
            </w:r>
            <w:r>
              <w:rPr>
                <w:rFonts w:ascii="Times New Roman" w:hAnsi="Times New Roman"/>
                <w:caps w:val="false"/>
                <w:smallCaps w:val="false"/>
                <w:sz w:val="20"/>
              </w:rPr>
              <w:t>” means one thousand Bbls.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MBoe</w:t>
            </w:r>
            <w:r>
              <w:rPr>
                <w:rFonts w:ascii="Times New Roman" w:hAnsi="Times New Roman"/>
                <w:caps w:val="false"/>
                <w:smallCaps w:val="false"/>
                <w:sz w:val="20"/>
              </w:rPr>
              <w:t>” means one thousand Boes.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Mcf</w:t>
            </w:r>
            <w:r>
              <w:rPr>
                <w:rFonts w:ascii="Times New Roman" w:hAnsi="Times New Roman"/>
                <w:caps w:val="false"/>
                <w:smallCaps w:val="false"/>
                <w:sz w:val="20"/>
              </w:rPr>
              <w:t>” means one thousand cubic feet and is a measure of natural gas volume.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MMBbl</w:t>
            </w:r>
            <w:r>
              <w:rPr>
                <w:rFonts w:ascii="Times New Roman" w:hAnsi="Times New Roman"/>
                <w:caps w:val="false"/>
                <w:smallCaps w:val="false"/>
                <w:sz w:val="20"/>
              </w:rPr>
              <w:t>” means one million Bbls.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MMBtu</w:t>
            </w:r>
            <w:r>
              <w:rPr>
                <w:rFonts w:ascii="Times New Roman" w:hAnsi="Times New Roman"/>
                <w:caps w:val="false"/>
                <w:smallCaps w:val="false"/>
                <w:sz w:val="20"/>
              </w:rPr>
              <w:t>” means one million Btus.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MMcf</w:t>
            </w:r>
            <w:r>
              <w:rPr>
                <w:rFonts w:ascii="Times New Roman" w:hAnsi="Times New Roman"/>
                <w:caps w:val="false"/>
                <w:smallCaps w:val="false"/>
                <w:sz w:val="20"/>
              </w:rPr>
              <w:t>” means one million cubic feet and is a measure of natural gas volume.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Net acres</w:t>
            </w:r>
            <w:r>
              <w:rPr>
                <w:rFonts w:ascii="Times New Roman" w:hAnsi="Times New Roman"/>
                <w:caps w:val="false"/>
                <w:smallCaps w:val="false"/>
                <w:sz w:val="20"/>
              </w:rPr>
              <w:t>” The percentage of total acres an owner has out of a particular number of gross acres or a specified tract. As an example. an owner who has 50% interest in 100 gross acres owns 50 net acres.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Net production</w:t>
            </w:r>
            <w:r>
              <w:rPr>
                <w:rFonts w:ascii="Times New Roman" w:hAnsi="Times New Roman"/>
                <w:caps w:val="false"/>
                <w:smallCaps w:val="false"/>
                <w:sz w:val="20"/>
              </w:rPr>
              <w:t>” Production that is owned by us, less royalties and production due others.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NGL</w:t>
            </w:r>
            <w:r>
              <w:rPr>
                <w:rFonts w:ascii="Times New Roman" w:hAnsi="Times New Roman"/>
                <w:caps w:val="false"/>
                <w:smallCaps w:val="false"/>
                <w:sz w:val="20"/>
              </w:rPr>
              <w:t>” means natural gas liquids, which are the heavier hydrocarbon liquids that are separated from the natural gas stream; such liquids include ethane, propane, isobutane, normal butane and gasoline.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NYMEX</w:t>
            </w:r>
            <w:r>
              <w:rPr>
                <w:rFonts w:ascii="Times New Roman" w:hAnsi="Times New Roman"/>
                <w:caps w:val="false"/>
                <w:smallCaps w:val="false"/>
                <w:sz w:val="20"/>
              </w:rPr>
              <w:t>” means the New York Mercantile Exchange.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OPEC</w:t>
            </w:r>
            <w:r>
              <w:rPr>
                <w:rFonts w:ascii="Times New Roman" w:hAnsi="Times New Roman"/>
                <w:caps w:val="false"/>
                <w:smallCaps w:val="false"/>
                <w:sz w:val="20"/>
              </w:rPr>
              <w:t>” means the Organization of Petroleum Exporting Countries.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Operator</w:t>
            </w:r>
            <w:r>
              <w:rPr>
                <w:rFonts w:ascii="Times New Roman" w:hAnsi="Times New Roman"/>
                <w:caps w:val="false"/>
                <w:smallCaps w:val="false"/>
                <w:sz w:val="20"/>
              </w:rPr>
              <w:t>” The individual or company responsible for the exploration and/or production of a crude oil or natural gas well or lease.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Plugging</w:t>
            </w:r>
            <w:r>
              <w:rPr>
                <w:rFonts w:ascii="Times New Roman" w:hAnsi="Times New Roman"/>
                <w:caps w:val="false"/>
                <w:smallCaps w:val="false"/>
                <w:sz w:val="20"/>
              </w:rPr>
              <w:t>” A downhole tool that is set inside the casing to isolate the lower part of the wellbore.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Pooling</w:t>
            </w:r>
            <w:r>
              <w:rPr>
                <w:rFonts w:ascii="Times New Roman" w:hAnsi="Times New Roman"/>
                <w:caps w:val="false"/>
                <w:smallCaps w:val="false"/>
                <w:sz w:val="20"/>
              </w:rPr>
              <w:t>” The bringing together of small tracts or fractional mineral interests in one or more tracts to form a drilling and production unit for a well under applicable spacing rules.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Principal Stockholder Group</w:t>
            </w:r>
            <w:r>
              <w:rPr>
                <w:rFonts w:ascii="Times New Roman" w:hAnsi="Times New Roman"/>
                <w:caps w:val="false"/>
                <w:smallCaps w:val="false"/>
                <w:sz w:val="20"/>
              </w:rPr>
              <w:t>” means HighPeak Pure Acquisition, LLC, a Delaware limited liability company, and a wholly owned subsidiary of HighPeak Energy, LP and the HPK Contributors and each of their respective affiliates and certain permitted transferees, collectively.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Production costs</w:t>
            </w:r>
            <w:r>
              <w:rPr>
                <w:rFonts w:ascii="Times New Roman" w:hAnsi="Times New Roman"/>
                <w:caps w:val="false"/>
                <w:smallCaps w:val="false"/>
                <w:sz w:val="20"/>
              </w:rPr>
              <w:t>” Costs incurred to operate and maintain wells and related equipment and facilities, including depreciation and applicable operating costs of support equipment and facilities and other costs of operating and maintaining those wells and related equipment and facilities. For a complete definition of production costs, refer to the SEC’s Regulation S-X, Rule 4-10(a)(20).</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Productive well</w:t>
            </w:r>
            <w:r>
              <w:rPr>
                <w:rFonts w:ascii="Times New Roman" w:hAnsi="Times New Roman"/>
                <w:caps w:val="false"/>
                <w:smallCaps w:val="false"/>
                <w:sz w:val="20"/>
              </w:rPr>
              <w:t>” A well that is found to be capable of producing hydrocarbons in sufficient quantities such that proceeds from the sale of the production exceed production expenses and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Proration unit</w:t>
            </w:r>
            <w:r>
              <w:rPr>
                <w:rFonts w:ascii="Times New Roman" w:hAnsi="Times New Roman"/>
                <w:caps w:val="false"/>
                <w:smallCaps w:val="false"/>
                <w:sz w:val="20"/>
              </w:rPr>
              <w:t>” A unit that can be effectively and efficiently drained by one well, as allocated by a governmental agency having regulatory jurisdiction.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Prospect</w:t>
            </w:r>
            <w:r>
              <w:rPr>
                <w:rFonts w:ascii="Times New Roman" w:hAnsi="Times New Roman"/>
                <w:caps w:val="false"/>
                <w:smallCaps w:val="false"/>
                <w:sz w:val="20"/>
              </w:rPr>
              <w:t>” A specific geographic area which, based on supporting geological, geophysical or other data and also preliminary economic analysis using reasonably anticipated prices and costs, is deemed to have potential for the discovery of commercial hydrocarbons.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developed nonproducing reserves</w:t>
            </w:r>
            <w:r>
              <w:rPr>
                <w:rFonts w:ascii="Times New Roman" w:hAnsi="Times New Roman"/>
                <w:caps w:val="false"/>
                <w:smallCaps w:val="false"/>
                <w:sz w:val="20"/>
              </w:rPr>
              <w:t>” or “</w:t>
            </w:r>
            <w:r>
              <w:rPr>
                <w:rFonts w:ascii="Times New Roman" w:hAnsi="Times New Roman"/>
                <w:b/>
                <w:i/>
                <w:caps w:val="false"/>
                <w:smallCaps w:val="false"/>
                <w:sz w:val="20"/>
              </w:rPr>
              <w:t>PDNP</w:t>
            </w:r>
            <w:r>
              <w:rPr>
                <w:rFonts w:ascii="Times New Roman" w:hAnsi="Times New Roman"/>
                <w:caps w:val="false"/>
                <w:smallCaps w:val="false"/>
                <w:sz w:val="20"/>
              </w:rPr>
              <w:t>” means proved reserves that are developed nonproducing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developed producing reserves</w:t>
            </w:r>
            <w:r>
              <w:rPr>
                <w:rFonts w:ascii="Times New Roman" w:hAnsi="Times New Roman"/>
                <w:caps w:val="false"/>
                <w:smallCaps w:val="false"/>
                <w:sz w:val="20"/>
              </w:rPr>
              <w:t>” or “</w:t>
            </w:r>
            <w:r>
              <w:rPr>
                <w:rFonts w:ascii="Times New Roman" w:hAnsi="Times New Roman"/>
                <w:b/>
                <w:i/>
                <w:caps w:val="false"/>
                <w:smallCaps w:val="false"/>
                <w:sz w:val="20"/>
              </w:rPr>
              <w:t>PDP</w:t>
            </w:r>
            <w:r>
              <w:rPr>
                <w:rFonts w:ascii="Times New Roman" w:hAnsi="Times New Roman"/>
                <w:caps w:val="false"/>
                <w:smallCaps w:val="false"/>
                <w:sz w:val="20"/>
              </w:rPr>
              <w:t>” means proved reserves that are developed producing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developed reserves</w:t>
            </w:r>
            <w:r>
              <w:rPr>
                <w:rFonts w:ascii="Times New Roman" w:hAnsi="Times New Roman"/>
                <w:caps w:val="false"/>
                <w:smallCaps w:val="false"/>
                <w:sz w:val="20"/>
              </w:rPr>
              <w:t>” means proved reserves that can be expected to be recovered through existing wells with existing equipment and operating methods and can be expected to be recovered through extraction technology installed and operational at the time of the reserve estimate and can be subdivided into PDP and PDNP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reserves</w:t>
            </w:r>
            <w:r>
              <w:rPr>
                <w:rFonts w:ascii="Times New Roman" w:hAnsi="Times New Roman"/>
                <w:caps w:val="false"/>
                <w:smallCaps w:val="false"/>
                <w:sz w:val="20"/>
              </w:rPr>
              <w:t>” Those quantities of crude oil and natural gas, which, by analysis of geosciences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  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(iii)  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  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Proved undeveloped reserves</w:t>
            </w:r>
            <w:r>
              <w:rPr>
                <w:rFonts w:ascii="Times New Roman" w:hAnsi="Times New Roman"/>
                <w:caps w:val="false"/>
                <w:smallCaps w:val="false"/>
                <w:sz w:val="20"/>
              </w:rPr>
              <w:t>” or “</w:t>
            </w:r>
            <w:r>
              <w:rPr>
                <w:rFonts w:ascii="Times New Roman" w:hAnsi="Times New Roman"/>
                <w:b/>
                <w:i/>
                <w:caps w:val="false"/>
                <w:smallCaps w:val="false"/>
                <w:sz w:val="20"/>
              </w:rPr>
              <w:t>PUD</w:t>
            </w:r>
            <w:r>
              <w:rPr>
                <w:rFonts w:ascii="Times New Roman" w:hAnsi="Times New Roman"/>
                <w:caps w:val="false"/>
                <w:smallCaps w:val="false"/>
                <w:sz w:val="20"/>
              </w:rPr>
              <w:t>” means proved reserves that are expected to be recovered from new wells on undrilled acreage or from existing wells where a relatively major expenditure is required for completion. Undrilled locations can be classified as PUDs only if a development plan has been adopted indicating that such locations are scheduled to be drilled within five (5) years, unless specific circumstances justify a longer time.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PV-10</w:t>
            </w:r>
            <w:r>
              <w:rPr>
                <w:rFonts w:ascii="Times New Roman" w:hAnsi="Times New Roman"/>
                <w:caps w:val="false"/>
                <w:smallCaps w:val="false"/>
                <w:sz w:val="20"/>
              </w:rPr>
              <w:t>” When used with respect to crude oil and natural gas reserves, PV-10 means the estimated future gross revenue to be generated from the 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Realized price</w:t>
            </w:r>
            <w:r>
              <w:rPr>
                <w:rFonts w:ascii="Times New Roman" w:hAnsi="Times New Roman"/>
                <w:caps w:val="false"/>
                <w:smallCaps w:val="false"/>
                <w:sz w:val="20"/>
              </w:rPr>
              <w:t>” The cash market price less all expected quality, transportation and demand adjustments.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Recompletion</w:t>
            </w:r>
            <w:r>
              <w:rPr>
                <w:rFonts w:ascii="Times New Roman" w:hAnsi="Times New Roman"/>
                <w:caps w:val="false"/>
                <w:smallCaps w:val="false"/>
                <w:sz w:val="20"/>
              </w:rPr>
              <w:t>” The process of re-entering an existing wellbore that is either producing or not producing and completing new reservoirs or enhancing existing reservoirs in an attempt to establish or increase existing production.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Reserves</w:t>
            </w:r>
            <w:r>
              <w:rPr>
                <w:rFonts w:ascii="Times New Roman" w:hAnsi="Times New Roman"/>
                <w:caps w:val="false"/>
                <w:smallCaps w:val="false"/>
                <w:sz w:val="20"/>
              </w:rPr>
              <w:t>” Reserves are estimated remaining quantities of crude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Reservoir</w:t>
            </w:r>
            <w:r>
              <w:rPr>
                <w:rFonts w:ascii="Times New Roman" w:hAnsi="Times New Roman"/>
                <w:caps w:val="false"/>
                <w:smallCaps w:val="false"/>
                <w:sz w:val="20"/>
              </w:rPr>
              <w:t>” A porous and permeable underground formation containing a natural accumulation of producible crude oil and/or natural gas that is confined by impermeable rock or water barriers and is separate from other reservoirs.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Resources</w:t>
            </w:r>
            <w:r>
              <w:rPr>
                <w:rFonts w:ascii="Times New Roman" w:hAnsi="Times New Roman"/>
                <w:caps w:val="false"/>
                <w:smallCaps w:val="false"/>
                <w:sz w:val="20"/>
              </w:rPr>
              <w:t>” Quantities of crude oil and natural gas estimated to exist in naturally occurring accumulations. A portion of the resources may be estimated to be recoverable, and another portion may be considered unrecoverable. Resources include both discovered and undiscovered accumulations.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Royalty</w:t>
            </w:r>
            <w:r>
              <w:rPr>
                <w:rFonts w:ascii="Times New Roman" w:hAnsi="Times New Roman"/>
                <w:caps w:val="false"/>
                <w:smallCaps w:val="false"/>
                <w:sz w:val="20"/>
              </w:rPr>
              <w:t>” An interest in a crude oil and natural gas lease that gives the owner the right to receive a portion of the production from the leased 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SEC</w:t>
            </w:r>
            <w:r>
              <w:rPr>
                <w:rFonts w:ascii="Times New Roman" w:hAnsi="Times New Roman"/>
                <w:caps w:val="false"/>
                <w:smallCaps w:val="false"/>
                <w:sz w:val="20"/>
              </w:rPr>
              <w:t>” means the United States Securities and Exchange Commission.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Second Facility Amendment</w:t>
            </w:r>
            <w:r>
              <w:rPr>
                <w:rFonts w:ascii="Times New Roman" w:hAnsi="Times New Roman"/>
                <w:caps w:val="false"/>
                <w:smallCaps w:val="false"/>
                <w:sz w:val="20"/>
              </w:rPr>
              <w:t>” means the Second Amendment to Senior Credit Facility Agreement, dated August 1, 2025, by and among HighPeak Energy, Inc., as borrower, Fifth Third Bank, National Association, as administrative agent, the guarantors party thereto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Senior Credit Facility Agreement</w:t>
            </w:r>
            <w:r>
              <w:rPr>
                <w:rFonts w:ascii="Times New Roman" w:hAnsi="Times New Roman"/>
                <w:caps w:val="false"/>
                <w:smallCaps w:val="false"/>
                <w:sz w:val="20"/>
              </w:rPr>
              <w:t>” means the Company’s Credit Agreement, dated as of November 1, 2023, among HighPeak Energy, Inc., as Borrower, Fifth Third Bank, National Association, as administrative agent and collateral agent, and the lenders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Service well</w:t>
            </w:r>
            <w:r>
              <w:rPr>
                <w:rFonts w:ascii="Times New Roman" w:hAnsi="Times New Roman"/>
                <w:caps w:val="false"/>
                <w:smallCaps w:val="false"/>
                <w:sz w:val="20"/>
              </w:rPr>
              <w:t>” A well drilled or completed for the purpose of supporting production in an existing field. Specific purposes of service wells include natural gas injection, water injection, steam injection, air injection, salt-water disposal, water supply for injection, observation, or injection for in-situ combustion.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Spacing</w:t>
            </w:r>
            <w:r>
              <w:rPr>
                <w:rFonts w:ascii="Times New Roman" w:hAnsi="Times New Roman"/>
                <w:caps w:val="false"/>
                <w:smallCaps w:val="false"/>
                <w:sz w:val="20"/>
              </w:rPr>
              <w:t>” The distance between wells producing from the same reservoir. Spacing is often expressed in terms of acres, e.g., 100-acre spacing, the distance between horizontal wellbores, e.g., 880-foot spacing or the number of wells per section, e.g., 6-well spacing. It is often established by regulatory agencies and/or the operator to optimize recovery of hydrocarbons.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Spot market price</w:t>
            </w:r>
            <w:r>
              <w:rPr>
                <w:rFonts w:ascii="Times New Roman" w:hAnsi="Times New Roman"/>
                <w:caps w:val="false"/>
                <w:smallCaps w:val="false"/>
                <w:sz w:val="20"/>
              </w:rPr>
              <w:t>” The cash market price without reduction for expected quality, transportation and demand adjustments.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Standardized measure</w:t>
            </w:r>
            <w:r>
              <w:rPr>
                <w:rFonts w:ascii="Times New Roman" w:hAnsi="Times New Roman"/>
                <w:caps w:val="false"/>
                <w:smallCaps w:val="false"/>
                <w:sz w:val="20"/>
              </w:rPr>
              <w:t>” The present value (discounted at an annual rate of 10 percent) of estimated future net revenues to be generated from the 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Stratigraphic test well</w:t>
            </w:r>
            <w:r>
              <w:rPr>
                <w:rFonts w:ascii="Times New Roman" w:hAnsi="Times New Roman"/>
                <w:caps w:val="false"/>
                <w:smallCaps w:val="false"/>
                <w:sz w:val="20"/>
              </w:rPr>
              <w:t>” A drilling effort, geologically directed, to obtain information pertaining to a specific geologic 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Term Loan Credit Agreement</w:t>
            </w:r>
            <w:r>
              <w:rPr>
                <w:rFonts w:ascii="Times New Roman" w:hAnsi="Times New Roman"/>
                <w:caps w:val="false"/>
                <w:smallCaps w:val="false"/>
                <w:sz w:val="20"/>
              </w:rPr>
              <w:t>” means the Company’s Term Loan Credit Agreement, dated as of September 12, 2023, by and between HighPeak Energy, Inc., as borrower, Texas Capital Bank, as administrative agent, Chambers Energy Management, LP, as collateral agent, and the lenders from time-to-time party thereto.</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Undeveloped acreage</w:t>
            </w:r>
            <w:r>
              <w:rPr>
                <w:rFonts w:ascii="Times New Roman" w:hAnsi="Times New Roman"/>
                <w:caps w:val="false"/>
                <w:smallCaps w:val="false"/>
                <w:sz w:val="20"/>
              </w:rPr>
              <w:t>” Lease acreage on which wells have not been drilled or completed to a point that would permit the production of commercial quantities of crude oil and natural gas regardless of whether such acreage contains proved reserves.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Unit</w:t>
            </w:r>
            <w:r>
              <w:rPr>
                <w:rFonts w:ascii="Times New Roman" w:hAnsi="Times New Roman"/>
                <w:caps w:val="false"/>
                <w:smallCaps w:val="false"/>
                <w:sz w:val="20"/>
              </w:rPr>
              <w:t>” The joining of all or substantially all interests in a reservoir or field, rather than a single tract, to provide for development and operation without regard to separate property interests. Also, the area covered by a unitization agreement.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U.S.</w:t>
            </w:r>
            <w:r>
              <w:rPr>
                <w:rFonts w:ascii="Times New Roman" w:hAnsi="Times New Roman"/>
                <w:caps w:val="false"/>
                <w:smallCaps w:val="false"/>
                <w:sz w:val="20"/>
              </w:rPr>
              <w:t>” means the United States.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Warrants</w:t>
            </w:r>
            <w:r>
              <w:rPr>
                <w:rFonts w:ascii="Times New Roman" w:hAnsi="Times New Roman"/>
                <w:caps w:val="false"/>
                <w:smallCaps w:val="false"/>
                <w:sz w:val="20"/>
              </w:rPr>
              <w:t>” means warrants to purchase one share of HighPeak Energy common stock at a price of $11.50 per share, which expired on August 21, 2025.</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Wellbore</w:t>
            </w:r>
            <w:r>
              <w:rPr>
                <w:rFonts w:ascii="Times New Roman" w:hAnsi="Times New Roman"/>
                <w:caps w:val="false"/>
                <w:smallCaps w:val="false"/>
                <w:sz w:val="20"/>
              </w:rPr>
              <w:t>” The hole drilled by the bit that is equipped for crude oil and natural gas production on a completed well. Also called well or borehole.</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Working interes</w:t>
            </w:r>
            <w:r>
              <w:rPr>
                <w:rFonts w:ascii="Times New Roman" w:hAnsi="Times New Roman"/>
                <w:caps w:val="false"/>
                <w:smallCaps w:val="false"/>
                <w:sz w:val="20"/>
              </w:rPr>
              <w:t>t” The right granted to the lessee of a property to explore for and to produce and own crude oil, natural gas or other minerals. The working interest owners bear the exploration, development and operating costs on either a cash, penalty or carried basis.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Workover</w:t>
            </w:r>
            <w:r>
              <w:rPr>
                <w:rFonts w:ascii="Times New Roman" w:hAnsi="Times New Roman"/>
                <w:caps w:val="false"/>
                <w:smallCaps w:val="false"/>
                <w:sz w:val="20"/>
              </w:rPr>
              <w:t>” Operations on a producing well to restore or increase production.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WTI</w:t>
            </w:r>
            <w:r>
              <w:rPr>
                <w:rFonts w:ascii="Times New Roman" w:hAnsi="Times New Roman"/>
                <w:caps w:val="false"/>
                <w:smallCaps w:val="false"/>
                <w:sz w:val="20"/>
              </w:rPr>
              <w:t>” means West Texas Intermediate, a light sweet blend of crude oil produced from fields in western Texas and is a grade of crude oil used as a benchmark in crude oil pricing.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information on the working interest in wells and acreage, “</w:t>
            </w:r>
            <w:r>
              <w:rPr>
                <w:rFonts w:ascii="Times New Roman" w:hAnsi="Times New Roman"/>
                <w:b/>
                <w:i/>
                <w:caps w:val="false"/>
                <w:smallCaps w:val="false"/>
                <w:sz w:val="20"/>
              </w:rPr>
              <w:t>net</w:t>
            </w:r>
            <w:r>
              <w:rPr>
                <w:rFonts w:ascii="Times New Roman" w:hAnsi="Times New Roman"/>
                <w:caps w:val="false"/>
                <w:smallCaps w:val="false"/>
                <w:sz w:val="20"/>
              </w:rPr>
              <w:t>” wells and acres are determined by multiplying “</w:t>
            </w:r>
            <w:r>
              <w:rPr>
                <w:rFonts w:ascii="Times New Roman" w:hAnsi="Times New Roman"/>
                <w:b/>
                <w:i/>
                <w:caps w:val="false"/>
                <w:smallCaps w:val="false"/>
                <w:sz w:val="20"/>
              </w:rPr>
              <w:t>gross</w:t>
            </w:r>
            <w:r>
              <w:rPr>
                <w:rFonts w:ascii="Times New Roman" w:hAnsi="Times New Roman"/>
                <w:caps w:val="false"/>
                <w:smallCaps w:val="false"/>
                <w:sz w:val="20"/>
              </w:rPr>
              <w:t>” wells and acres by the Company’s working interest in such wells or acres. Unless otherwise specified, wells and acreage statistics quoted herein represent gross wells or acres.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currency amounts are expressed in U.S. dollars.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Statement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Quarterly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regarding the following factors: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supply and demand for and market prices of crude oil, NGL, natural gas and other products or services, and the associated impact of our hedging policies relating thereto;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inflation rates, the impacts of associated monetary policy responses, including increased or decreased interest rates and resulting pressures on economic growth, U.S. trade policy and the imposition of and changes to tariffs;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political instability or armed conflict in crude oil or natural gas producing regions, such as the ongoing war between Russia and Ukraine and conflicts in the Middle East;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volatility in the political, legal and regulatory environments, including the effects of a prolonged U.S. government shutdown;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political and regulatory uncertainties;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liquidity, cash flow and access to capital;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availability of capital resources;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refinance or pay, when due, the principal of, interest or other amounts due in respect of our indebtedness;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and reserve levels;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drilling and completion risks;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economic and competitive conditions;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impacts of revising our drilling plan during the year transitioning to an increased or decreased rig count from time to time;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severe weather conditions;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epidemics or pandemics, including the effects of related public health concerns and the impact of continued actions taken by governmental authorities and other third parties in response to pandemics and their impact on commodity prices, supply and demand considerations, and storage capacity;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availability of goods and services and supply chain issues;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predict and manage the effects of actions of OPEC and its non-OPEC allies, known collectively as OPEC+, and agreements to set and maintain production levels;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recent management changes;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cyber-attacks;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occurrence of property acquisitions or divestitures;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integration of acquisitions;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 markets and our ability to access such markets on attractive terms or at all, and related risks such as general credit, liquidity, market and interest-rate risks;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results of our ongoing strategic alternatives process;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w:t>
            </w:r>
            <w:hyperlink r:id="rId2">
              <w:r>
                <w:rPr>
                  <w:rStyle w:val="InternetLink"/>
                  <w:rFonts w:ascii="Times New Roman" w:hAnsi="Times New Roman"/>
                  <w:caps w:val="false"/>
                  <w:smallCaps w:val="false"/>
                  <w:sz w:val="20"/>
                  <w:u w:val="single"/>
                </w:rPr>
                <w:t>Form 10-K for the year ended December 31, 2024</w:t>
              </w:r>
            </w:hyperlink>
            <w:r>
              <w:rPr>
                <w:rFonts w:ascii="Times New Roman" w:hAnsi="Times New Roman"/>
                <w:caps w:val="false"/>
                <w:smallCaps w:val="false"/>
                <w:sz w:val="20"/>
              </w:rPr>
              <w:t xml:space="preserve"> filed with the SEC on March 10, 2025 (“Annual Report”) and under “Part I, Item 2. Management’s Discussion and Analysis of Financial Condition and Results of Operations,” “Part II, Item 1A. Risk Factors” and “Part I, Item 3. Quantitative and Qualitative Disclosures about Market Risk,” included in each of our Quarterly Report on </w:t>
            </w:r>
            <w:hyperlink r:id="rId3">
              <w:r>
                <w:rPr>
                  <w:rStyle w:val="InternetLink"/>
                  <w:rFonts w:ascii="Times New Roman" w:hAnsi="Times New Roman"/>
                  <w:caps w:val="false"/>
                  <w:smallCaps w:val="false"/>
                  <w:sz w:val="20"/>
                  <w:u w:val="single"/>
                </w:rPr>
                <w:t>Form 10-Q for the quarter ended March 31, 2025</w:t>
              </w:r>
            </w:hyperlink>
            <w:r>
              <w:rPr>
                <w:rFonts w:ascii="Times New Roman" w:hAnsi="Times New Roman"/>
                <w:caps w:val="false"/>
                <w:smallCaps w:val="false"/>
                <w:sz w:val="20"/>
              </w:rPr>
              <w:t xml:space="preserve"> filed with the SEC on May 12, 2025, </w:t>
            </w:r>
            <w:hyperlink r:id="rId4">
              <w:r>
                <w:rPr>
                  <w:rStyle w:val="InternetLink"/>
                  <w:rFonts w:ascii="Times New Roman" w:hAnsi="Times New Roman"/>
                  <w:caps w:val="false"/>
                  <w:smallCaps w:val="false"/>
                  <w:sz w:val="20"/>
                  <w:u w:val="single"/>
                </w:rPr>
                <w:t>Form 10-Q for the quarter ended June 30, 2025</w:t>
              </w:r>
            </w:hyperlink>
            <w:r>
              <w:rPr>
                <w:rFonts w:ascii="Times New Roman" w:hAnsi="Times New Roman"/>
                <w:caps w:val="false"/>
                <w:smallCaps w:val="false"/>
                <w:sz w:val="20"/>
              </w:rPr>
              <w:t> filed with the SEC on August 11, 2025 and this Quarterly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ITEM 1.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79"/>
        <w:gridCol w:w="60"/>
        <w:gridCol w:w="137"/>
        <w:gridCol w:w="995"/>
        <w:gridCol w:w="80"/>
        <w:gridCol w:w="60"/>
        <w:gridCol w:w="135"/>
        <w:gridCol w:w="977"/>
        <w:gridCol w:w="82"/>
      </w:tblGrid>
      <w:tr>
        <w:trPr/>
        <w:tc>
          <w:tcPr>
            <w:tcW w:w="7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6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86,649</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85,242</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7,582</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10,952</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4,587</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195,012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properties, using the successful efforts method of accounting:</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Proved properties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4,358,116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3,959,545</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Unproved properties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70,868</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depletion, depreciation and amortization</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(1,495,689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(1,184,684</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679"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crude oil and natural gas properties, net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2,930,314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2,845,729</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property and equipment, net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assets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3,204,762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3,063,288</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 trade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74,011</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and royalties payable</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26,838</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22,196</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capital expenditures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35,170</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5,380</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from joint interest owners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284,630</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928,384</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232,398</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retirement obligations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14,750</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$0.0001 par value, 10,000,000 shares authorized, none issued and outstanding at September 30, 2025 and December 31, 2024</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 par value, 600,000,000 shares authorized, 125,587,093 and 126,067,436 shares issued and outstanding at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1,166,609</w:t>
            </w:r>
          </w:p>
        </w:tc>
        <w:tc>
          <w:tcPr>
            <w:tcW w:w="8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463,286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435,834</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1,626,502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1,602,456</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 xml:space="preserve">equity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3,204,762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3,063,288</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376" w:type="dxa"/>
        <w:jc w:val="left"/>
        <w:tblInd w:w="0" w:type="dxa"/>
        <w:tblLayout w:type="fixed"/>
        <w:tblCellMar>
          <w:top w:w="0" w:type="dxa"/>
          <w:left w:w="0" w:type="dxa"/>
          <w:bottom w:w="0" w:type="dxa"/>
          <w:right w:w="0" w:type="dxa"/>
        </w:tblCellMar>
      </w:tblPr>
      <w:tblGrid>
        <w:gridCol w:w="3365"/>
        <w:gridCol w:w="60"/>
        <w:gridCol w:w="128"/>
        <w:gridCol w:w="716"/>
        <w:gridCol w:w="82"/>
        <w:gridCol w:w="61"/>
        <w:gridCol w:w="128"/>
        <w:gridCol w:w="716"/>
        <w:gridCol w:w="80"/>
        <w:gridCol w:w="60"/>
        <w:gridCol w:w="125"/>
        <w:gridCol w:w="755"/>
        <w:gridCol w:w="80"/>
        <w:gridCol w:w="60"/>
        <w:gridCol w:w="125"/>
        <w:gridCol w:w="755"/>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revenues: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190,773</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270,636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827,595</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and natural gas sales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revenues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188,862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271,578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646,710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834,608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production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33,312</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98,482</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ad valorem taxes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10,016</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46,410</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100,636</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395,121</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9,329</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14,391</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156,033</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196,730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477,569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567,479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32,607</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263,724</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income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6,964</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(37,150</w:t>
            </w:r>
          </w:p>
        </w:tc>
        <w:tc>
          <w:tcPr>
            <w:tcW w:w="8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(42,579</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derivative instruments, net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6,913</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(25,437</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(21,902</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118,073</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(18,335</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44,176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86,088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earnings per share: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0.62</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124,807</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125,595</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124,807</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129,581</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HighPeak Energy,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Changes in Stockholders'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4"/>
        <w:gridCol w:w="60"/>
        <w:gridCol w:w="83"/>
        <w:gridCol w:w="972"/>
        <w:gridCol w:w="80"/>
        <w:gridCol w:w="60"/>
        <w:gridCol w:w="259"/>
        <w:gridCol w:w="541"/>
        <w:gridCol w:w="60"/>
        <w:gridCol w:w="60"/>
        <w:gridCol w:w="125"/>
        <w:gridCol w:w="845"/>
        <w:gridCol w:w="80"/>
        <w:gridCol w:w="60"/>
        <w:gridCol w:w="125"/>
        <w:gridCol w:w="695"/>
        <w:gridCol w:w="80"/>
        <w:gridCol w:w="60"/>
        <w:gridCol w:w="151"/>
        <w:gridCol w:w="1034"/>
        <w:gridCol w:w="81"/>
      </w:tblGrid>
      <w:tr>
        <w:trPr/>
        <w:tc>
          <w:tcPr>
            <w:tcW w:w="6749" w:type="dxa"/>
            <w:gridSpan w:val="8"/>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 xml:space="preserve">Three and Nine Months Ended September 30, 2025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46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Stockholders'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2024</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1,166,609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1,602,456</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($0.04 per share)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(5,043</w:t>
            </w:r>
          </w:p>
        </w:tc>
        <w:tc>
          <w:tcPr>
            <w:tcW w:w="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declared on outstanding stock options ($0.04 per share)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costs: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costs included in net income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31, 2025</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1,633,394</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($0.04 per share)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declared on outstanding stock options ($0.04 per share)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warrants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1" w:type="dxa"/>
            <w:tcBorders/>
            <w:shd w:fill="FFFFFF" w:val="cle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shares issued to outside directors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costs included in net income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26,176</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2025</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1,654,086</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($0.04 per share)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declared on outstanding stock options ($0.04 per share)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costs: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costs included in net income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tax withholding on vested equity awards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(3,849</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(18,335</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September 30, 2025</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125,587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1,163,203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463,286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1,626,502</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4"/>
        <w:gridCol w:w="60"/>
        <w:gridCol w:w="83"/>
        <w:gridCol w:w="972"/>
        <w:gridCol w:w="80"/>
        <w:gridCol w:w="60"/>
        <w:gridCol w:w="259"/>
        <w:gridCol w:w="541"/>
        <w:gridCol w:w="60"/>
        <w:gridCol w:w="60"/>
        <w:gridCol w:w="125"/>
        <w:gridCol w:w="845"/>
        <w:gridCol w:w="80"/>
        <w:gridCol w:w="60"/>
        <w:gridCol w:w="125"/>
        <w:gridCol w:w="695"/>
        <w:gridCol w:w="80"/>
        <w:gridCol w:w="60"/>
        <w:gridCol w:w="151"/>
        <w:gridCol w:w="1034"/>
        <w:gridCol w:w="81"/>
      </w:tblGrid>
      <w:tr>
        <w:trPr/>
        <w:tc>
          <w:tcPr>
            <w:tcW w:w="6749" w:type="dxa"/>
            <w:gridSpan w:val="8"/>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 xml:space="preserve">Three and Nine Months Ended September 30, 2024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46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Outstanding</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Stockholders'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2023</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1,552,721</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($0.04 per share)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(5,137</w:t>
            </w:r>
          </w:p>
        </w:tc>
        <w:tc>
          <w:tcPr>
            <w:tcW w:w="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declared on outstanding stock options ($0.04 per share)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Repurchased shares under buyback program</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(8,851</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costs included in net income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81" w:type="dxa"/>
            <w:tcBorders/>
            <w:shd w:fill="FFFFFF" w:val="cle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6,438</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31, 2024</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364,053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1,548,437</w:t>
            </w:r>
          </w:p>
        </w:tc>
        <w:tc>
          <w:tcPr>
            <w:tcW w:w="81" w:type="dxa"/>
            <w:tcBorders/>
            <w:shd w:fill="FFFFFF" w:val="cle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($0.04 per share)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declared on outstanding stock options ($0.04 per share)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warrants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Repurchased shares under buyback program</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(5,845</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shares issued to outside directors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costs included in net income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3,775</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29,717</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2024</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1,570,441</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($0.04 per share)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declared on outstanding stock options ($0.04 per share)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Repurchased shares under buyback program</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(12,824</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costs included in net income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w:t>
            </w:r>
          </w:p>
        </w:tc>
        <w:tc>
          <w:tcPr>
            <w:tcW w:w="81" w:type="dxa"/>
            <w:tcBorders/>
            <w:shd w:fill="FFFFFF" w:val="clear"/>
            <w:vAlign w:val="center"/>
          </w:tcPr>
          <w:p>
            <w:pPr>
              <w:pStyle w:val="TableContents"/>
              <w:bidi w:val="0"/>
              <w:spacing w:before="0" w:after="283"/>
              <w:jc w:val="left"/>
              <w:rPr/>
            </w:pPr>
            <w:r>
              <w:rPr/>
              <w:t> </w:t>
            </w:r>
          </w:p>
        </w:tc>
      </w:tr>
      <w:tr>
        <w:trPr/>
        <w:tc>
          <w:tcPr>
            <w:tcW w:w="46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49,933</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September 30, 2024</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126,625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1,173,231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1,605,690</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170" w:type="dxa"/>
        <w:jc w:val="left"/>
        <w:tblInd w:w="0" w:type="dxa"/>
        <w:tblLayout w:type="fixed"/>
        <w:tblCellMar>
          <w:top w:w="0" w:type="dxa"/>
          <w:left w:w="0" w:type="dxa"/>
          <w:bottom w:w="0" w:type="dxa"/>
          <w:right w:w="0" w:type="dxa"/>
        </w:tblCellMar>
      </w:tblPr>
      <w:tblGrid>
        <w:gridCol w:w="7130"/>
        <w:gridCol w:w="60"/>
        <w:gridCol w:w="125"/>
        <w:gridCol w:w="755"/>
        <w:gridCol w:w="80"/>
        <w:gridCol w:w="60"/>
        <w:gridCol w:w="125"/>
        <w:gridCol w:w="755"/>
        <w:gridCol w:w="80"/>
      </w:tblGrid>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86,088</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30,898</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derivative instruments,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23,411</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received (paid) on settlement of derivative instruments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6,199</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discounts on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7,385</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11,326</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395,121</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18,145</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inventory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accrued liabilities and 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418,504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550,873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crude oil and natural gas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(394,395</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(452,148</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working capital associated with crude oil and natural gas property additions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Acquisitions of crude oil and natural gas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(4,475</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(10,367</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property additions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(426,804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(475,827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Term Loan Credit Agreement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Senior Credit Facility Agreement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under Term Loan Credit Agreement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under Senior Credit Facility Agreement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(15,545</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(15,082</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Premium on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tax withholding on vested equity awards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paid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Repurchased shares under buyback program</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(27,247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(133,988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164,913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135,573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117,018</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non-cash transactions: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asset retirement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1. Organization and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HighPeak Energy, Inc. ("HighPeak Energy" or the "Company") is a Delaware corporation, formed in October 2019. See the Company’s Annual Report on </w:t>
      </w:r>
      <w:hyperlink r:id="rId5">
        <w:r>
          <w:rPr>
            <w:rStyle w:val="InternetLink"/>
            <w:rFonts w:ascii="Times New Roman" w:hAnsi="Times New Roman"/>
            <w:caps w:val="false"/>
            <w:smallCaps w:val="false"/>
            <w:sz w:val="20"/>
            <w:u w:val="single"/>
          </w:rPr>
          <w:t>Form 10-K for the year ended December 31, 2024</w:t>
        </w:r>
      </w:hyperlink>
      <w:r>
        <w:rPr>
          <w:rFonts w:ascii="Times New Roman" w:hAnsi="Times New Roman"/>
          <w:caps w:val="false"/>
          <w:smallCaps w:val="false"/>
          <w:sz w:val="20"/>
        </w:rPr>
        <w:t>, filed with the U.S. Securities and Exchange Commission (“SEC”) on March 10, 2025, for further information regarding the formation of the Company. HighPeak Energy’s common stock is listed and traded on the Nasdaq Global Market (the "Nasdaq") under the ticker symbol “HPK.”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southwest Scurry County and northwest Mitchell County and Signal Peak in the southern portion of Howard County.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2.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Presentation. </w:t>
      </w:r>
      <w:r>
        <w:rPr>
          <w:rFonts w:ascii="Times New Roman" w:hAnsi="Times New Roman"/>
          <w:caps w:val="false"/>
          <w:smallCaps w:val="false"/>
          <w:sz w:val="20"/>
        </w:rPr>
        <w:t>In the opinion of management, the unaudited interim condensed consolidated financial statements of the Company as of September 30, 2025 and for the three and nine months ended September 30, 2025 and 2024 include all adjustments and accruals, consisting only of normal, recurring adjustments and accruals necessary for a fair presentation of the results for the interim periods in conformity with generally accepted accounting principles in the United States ("GAAP"). Certain prior period amounts have been reclassified to conform to the current period condensed consolidated financial statement presentation. These reclassifications had an immaterial effect on the previously reported total assets, total liabilities, stockholders’ equity, results of operations or cash flows. The operating results for the three and nine months ended September 30, 2025 are not indicative of results for a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information and footnote disclosures normally included in financial statements prepared in accordance with GAAP have been condensed or omitted in accordance with the rules and regulations of the SEC. These unaudited interim condensed consolidated financial statements should be read together with the consolidated financial statements and notes thereto included in the Company’s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Principles of consolidation. </w:t>
      </w:r>
      <w:r>
        <w:rPr>
          <w:rFonts w:ascii="Times New Roman" w:hAnsi="Times New Roman"/>
          <w:caps w:val="false"/>
          <w:smallCaps w:val="false"/>
          <w:sz w:val="20"/>
        </w:rPr>
        <w:t>The condensed consolidated financial statements include the accounts of the Company and its wholly owned subsidiaries since their acquisition or formation. All material intercompany balances and transactions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Use of estimates in the preparation of financial statements. </w:t>
      </w:r>
      <w:r>
        <w:rPr>
          <w:rFonts w:ascii="Times New Roman" w:hAnsi="Times New Roman"/>
          <w:caps w:val="false"/>
          <w:smallCaps w:val="false"/>
          <w:sz w:val="20"/>
        </w:rPr>
        <w:t>Preparation of the Company's condensed consolidated financial statements in 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if needed,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expected credit losses and estimates of income taxes. Actual results could differ from the estimates and assumptions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Cash and cash equivalents. </w:t>
      </w:r>
      <w:r>
        <w:rPr>
          <w:rFonts w:ascii="Times New Roman" w:hAnsi="Times New Roman"/>
          <w:caps w:val="false"/>
          <w:smallCaps w:val="false"/>
          <w:sz w:val="20"/>
        </w:rPr>
        <w:t>The Company’s cash and cash equivalents include depository accounts held by banks with original issuance 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Accounts receivable. </w:t>
      </w:r>
      <w:r>
        <w:rPr>
          <w:rFonts w:ascii="Times New Roman" w:hAnsi="Times New Roman"/>
          <w:caps w:val="false"/>
          <w:smallCaps w:val="false"/>
          <w:sz w:val="20"/>
        </w:rPr>
        <w:t>As of September 30, 2025 and December 31, 2024, the Company’s accounts receivables primarily consist of amounts due from the sale of crude oil, NGL and natural gas of $41.8 million and $76.0 million, respectively, and are based on estimates of sales volumes and realized prices the Company anticipates it will receive, joint interest receivables of $3.4 million and $4.7 million, respectively, receivables from electric power infrastructure installed throughout Flat Top by the Company for which it will be reimbursed for totaling $3.3 million and zero, respectively, current U.S. federal income tax receivables of $3.1 million and $3.1 million, respectively, and receivables related to settlements of derivative contracts of $3.0 million and $1.4 million,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September 30, 2025 and December 31, 2024, the Company had no allowance for credit losses related to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Concentration of credit risk. </w:t>
      </w:r>
      <w:r>
        <w:rPr>
          <w:rFonts w:ascii="Times New Roman" w:hAnsi="Times New Roman"/>
          <w:caps w:val="false"/>
          <w:smallCaps w:val="false"/>
          <w:sz w:val="20"/>
        </w:rPr>
        <w:t>The Company is subject to credit risk resulting from the concentration of its crude oil and natural gas receivables with significant purchasers. For the nine months ended September 30, 2025 and the year ended December 31, 2024, sales to the Company’s largest purchaser accounted for approximately 88% and 76%, respectively, and sales to the Company’s second largest purchaser accounted for approximately 9% and 18%, respectively, of the Company’s total crude oil, NGL and natural gas sales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Inventory. </w:t>
      </w:r>
      <w:r>
        <w:rPr>
          <w:rFonts w:ascii="Times New Roman" w:hAnsi="Times New Roman"/>
          <w:caps w:val="false"/>
          <w:smallCaps w:val="false"/>
          <w:sz w:val="20"/>
        </w:rPr>
        <w:t>Inventory is comprised primarily of crude oil and natural gas drilling and completion or repair items such as pumps, tubing, casing, 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condensed consolidated balance sheet and as charges to other expense in the condensed consolidated statements of operations. The Company’s materials and supplies inventory as of September 30, 2025 and December 31, 2024 is $9.9 million and $11.0 million, respectively, and the Company has not recognized any valuation allowance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Prepaid expenses. </w:t>
      </w:r>
      <w:r>
        <w:rPr>
          <w:rFonts w:ascii="Times New Roman" w:hAnsi="Times New Roman"/>
          <w:caps w:val="false"/>
          <w:smallCaps w:val="false"/>
          <w:sz w:val="20"/>
        </w:rPr>
        <w:t>Prepaid expenses are comprised primarily of fees related to strategic alternatives that will be deducted from eventual commissions on a future transaction, caliche that will be used on future locations and roads in our development areas, and prepaid insurance, software maintenance fees, listing fees and subscriptions that will be amortized over the life of the contracts. Prepaid expenses as of September 30, 2025 and December 31, 2024 are $4.6 million and $4.6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Crude oil and natural gas properties.</w:t>
      </w:r>
      <w:r>
        <w:rPr>
          <w:rFonts w:ascii="Times New Roman" w:hAnsi="Times New Roman"/>
          <w:caps w:val="false"/>
          <w:smallCaps w:val="false"/>
          <w:sz w:val="20"/>
        </w:rPr>
        <w:t xml:space="preserve"> The Company utilizes the successful efforts method of accounting for its crude oil and natural gas properties. Under this method, all costs associated with productive and nonproductive development wells are capitalized while nonproductive exploration costs and geological and geophysical expenditures are expensed.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carry the costs of drilling an exploratory well as an asset in its condensed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capitalized costs of proved properties are depleted using the unit-of-production method based on proved reserves for leasehold costs and proved developed reserves for drilling, completion and other crude oil and natural gas property costs. Unproved leasehold costs are excluded from depletion until proved reserves are established or, if unsuccessful, impairment is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Other property and equipment, net. </w:t>
      </w:r>
      <w:r>
        <w:rPr>
          <w:rFonts w:ascii="Times New Roman" w:hAnsi="Times New Roman"/>
          <w:caps w:val="false"/>
          <w:smallCaps w:val="false"/>
          <w:sz w:val="20"/>
        </w:rPr>
        <w:t>Other property and equipment is recorded at cost. The carrying values of other property and equipment are as follows, net of accumulated depreciation of $1.2 million and $1.1 million as of September 30, 2025 and December 31, 2024, respectively (in thousands):</w:t>
      </w:r>
    </w:p>
    <w:p>
      <w:pPr>
        <w:pStyle w:val="TextBody"/>
        <w:bidi w:val="0"/>
        <w:spacing w:before="0" w:after="0"/>
        <w:ind w:left="0" w:right="0" w:hanging="0"/>
        <w:jc w:val="left"/>
        <w:rPr>
          <w:caps w:val="false"/>
          <w:smallCaps w:val="false"/>
        </w:rPr>
      </w:pPr>
      <w:r>
        <w:rPr>
          <w:caps w:val="false"/>
          <w:smallCaps w:val="false"/>
        </w:rPr>
        <w:t> </w:t>
      </w:r>
    </w:p>
    <w:tbl>
      <w:tblPr>
        <w:tblW w:w="5893" w:type="dxa"/>
        <w:jc w:val="left"/>
        <w:tblInd w:w="0" w:type="dxa"/>
        <w:tblLayout w:type="fixed"/>
        <w:tblCellMar>
          <w:top w:w="0" w:type="dxa"/>
          <w:left w:w="0" w:type="dxa"/>
          <w:bottom w:w="0" w:type="dxa"/>
          <w:right w:w="0" w:type="dxa"/>
        </w:tblCellMar>
      </w:tblPr>
      <w:tblGrid>
        <w:gridCol w:w="3260"/>
        <w:gridCol w:w="60"/>
        <w:gridCol w:w="249"/>
        <w:gridCol w:w="970"/>
        <w:gridCol w:w="60"/>
        <w:gridCol w:w="60"/>
        <w:gridCol w:w="240"/>
        <w:gridCol w:w="934"/>
        <w:gridCol w:w="6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Field equipment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Aid-in-construction assets. </w:t>
      </w:r>
      <w:r>
        <w:rPr>
          <w:rFonts w:ascii="Times New Roman" w:hAnsi="Times New Roman"/>
          <w:caps w:val="false"/>
          <w:smallCaps w:val="false"/>
          <w:sz w:val="20"/>
        </w:rPr>
        <w:t>As of September 30, 2025 and December 31, 2024, the Company had aid-in-construction assets totaling $15.8 million and $18.0 million, respectively, included in other noncurrent assets. The Company funded aid-in-construction projects during the nine months ended September 30, 2025 and the year ended December 31, 2024 of $71,000 and $13.8 million, respectively, under the contract. The Company has received and will continue to receive payments based on gross system throughput, including any third-party natural gas that is potentially tied into the Flat Top gathering system in the future. Payments received during the nine months ended September 30, 2025 and the year ended December 31, 2024 were approximately $2.2 million and $2.0 million, respectively. The contract calls for future aid-in-construction fundings if expansions of the system are necessary as determined in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Leases. </w:t>
      </w:r>
      <w:r>
        <w:rPr>
          <w:rFonts w:ascii="Times New Roman" w:hAnsi="Times New Roman"/>
          <w:caps w:val="false"/>
          <w:smallCaps w:val="false"/>
          <w:sz w:val="20"/>
        </w:rPr>
        <w:t>The Company enters into leases for drilling rigs, storage tanks, equipment and buildings and recognizes lease expense on a straight-line 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Current liabilities. </w:t>
      </w:r>
      <w:r>
        <w:rPr>
          <w:rFonts w:ascii="Times New Roman" w:hAnsi="Times New Roman"/>
          <w:caps w:val="false"/>
          <w:smallCaps w:val="false"/>
          <w:sz w:val="20"/>
        </w:rPr>
        <w:t>Current liabilities as of September 30, 2025 and December 31, 2024 totaled approximately $152.7 million and $284.6 million, respectively, including trade accounts payable, revenues and royalties payable, accrued capital expenditures, derivative liabilities and accruals for operating and general and administrative expenses, operating leases, dividends, current portion of long-term debt, if any, and other miscellaneous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Debt issuance costs and original issue discount. </w:t>
      </w:r>
      <w:r>
        <w:rPr>
          <w:rFonts w:ascii="Times New Roman" w:hAnsi="Times New Roman"/>
          <w:caps w:val="false"/>
          <w:smallCaps w:val="false"/>
          <w:sz w:val="20"/>
        </w:rPr>
        <w:t>The Company has paid a total of $8.8 million in debt issuance costs that are still being carried on the condensed consolidated balance sheet as of September 30, 2025, net of accumulated amortization, $7.7 million and $58,000 of which were incurred during the nine months ended September 30, 2025 and the year ended December 31, 2024, respectively, primarily related to an amendment to the Term Loan Credit Agreement and amendments and the completion of the Senior Credit Facility Agreement. Amortization based on the straight-line method over the terms of the Term Loan Credit Agreement and Senior Credit Facility Agreement which approximates the effective interest method was $5.2 million and $6.2 million during the nine months ended September 30, 2025 and 2024, respectively. Upon closing of the First Term Loan Amendment, which was considered an extinguishment, the remaining unamortized debt issue costs of $9.2 million was charged to expense and included in loss on extinguishment of debt in the condensed consolidated statements of operations for the three and nine months ended September 30, 2025. In addition, the Company realized a total of $30.0 million in original issue discounts on the issuance of its Term Loan Credit Agreement that was being amortized over the life of the agreement which approximates the effective interest method and was $5.7 million and $7.4 million during the nine months ended September 30, 2025 and 2024, respectively. Upon closing of the First Term Loan Amendment, which was considered an extinguishment, the remaining unamortized original issue discounts of $11.5 million was charged to expense and included in loss on extinguishment of debt in the condensed consolidated statements of operations for the three and nine months ended September 30, 2025. See Note 7 for more information. As of September 30, 2025 and December 31, 2024, the remaining net debt issuance costs related to the Term Loan Credit Agreement and Senior Credit Facility Agreement are netted against the outstanding long-term debt on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 retirement obligations. </w:t>
      </w:r>
      <w:r>
        <w:rPr>
          <w:rFonts w:ascii="Times New Roman" w:hAnsi="Times New Roman"/>
          <w:caps w:val="false"/>
          <w:smallCaps w:val="false"/>
          <w:sz w:val="20"/>
        </w:rPr>
        <w:t>The Company records a liability for the fair value of an asset retirement obligation in the period in which the 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b/>
          <w:caps w:val="false"/>
          <w:smallCaps w:val="false"/>
          <w:sz w:val="20"/>
        </w:rPr>
        <w:t xml:space="preserve">. </w:t>
      </w:r>
      <w:r>
        <w:rPr>
          <w:rFonts w:ascii="Times New Roman" w:hAnsi="Times New Roman"/>
          <w:caps w:val="false"/>
          <w:smallCaps w:val="false"/>
          <w:sz w:val="20"/>
        </w:rPr>
        <w:t>The Company follows FASB ASC 606, “Revenue from Contracts with Customers,” (“ASC 606”) whereby the Company recognizes revenues from the sales of crude oil, NGL and natural gas to its purchasers and presents them disaggregated on the Company’s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September 30, 2025 and December 31, 2024, the Company had receivables related to contracts with purchasers of approximately $41.8 million and $76.0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Crude Oil Contracts. </w:t>
      </w:r>
      <w:r>
        <w:rPr>
          <w:rFonts w:ascii="Times New Roman" w:hAnsi="Times New Roman"/>
          <w:caps w:val="false"/>
          <w:smallCaps w:val="false"/>
          <w:sz w:val="20"/>
        </w:rPr>
        <w:t>The Company’s crude oil marketing contracts transfer physical custody and title at or near the wellhead, which is generally 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condensed consolidated statements of operations as they represent part of the transaction price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Natural Gas Contracts. </w:t>
      </w:r>
      <w:r>
        <w:rPr>
          <w:rFonts w:ascii="Times New Roman" w:hAnsi="Times New Roman"/>
          <w:caps w:val="false"/>
          <w:smallCaps w:val="false"/>
          <w:sz w:val="20"/>
        </w:rPr>
        <w:t>The majority of the Company’s natural gas is sold at the lease location, which is generally when control of the natural gas 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Derivatives. </w:t>
      </w:r>
      <w:r>
        <w:rPr>
          <w:rFonts w:ascii="Times New Roman" w:hAnsi="Times New Roman"/>
          <w:caps w:val="false"/>
          <w:smallCaps w:val="false"/>
          <w:sz w:val="20"/>
        </w:rPr>
        <w:t>All the Company’s derivatives are accounted for as non-hedge derivatives and are recorded at estimated fair value in the condensed consolidated 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credit risk related to derivatives is a counterparty’s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Stock-based compensation. </w:t>
      </w:r>
      <w:r>
        <w:rPr>
          <w:rFonts w:ascii="Times New Roman" w:hAnsi="Times New Roman"/>
          <w:caps w:val="false"/>
          <w:smallCaps w:val="false"/>
          <w:sz w:val="20"/>
        </w:rPr>
        <w:t>Stock-based compensation expense for stock option awards is measured at the grant date or modification date, as 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for restricted stock awarded to outside directors, employee members of the Board and certain other employees is measured at the grant date using the fair value of the award and is recognized on a straight-line basis over the requisite service period of the respective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Other expense. </w:t>
      </w:r>
      <w:r>
        <w:rPr>
          <w:rFonts w:ascii="Times New Roman" w:hAnsi="Times New Roman"/>
          <w:caps w:val="false"/>
          <w:smallCaps w:val="false"/>
          <w:sz w:val="20"/>
        </w:rPr>
        <w:t>During the nine months ended September 30, 2025, the Company incurred approximately $2.5 million in rating agency fees, legal and accounting professional fees and other costs related to a proposed refinancing of its existing debt obligations. That specific refinancing transaction was not completed. Accordingly, these costs have been expensed as incurred and are included in other expense on the condensed consolidated statements of operations along with an additional $192,000 of other items. During the nine months ended September 30, 2024, the Company incurred approximately $3.4 million in costs related to repairs to production facilities primarily damaged from a 100-year flooding event that hit our area of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Income taxes. </w:t>
      </w:r>
      <w:r>
        <w:rPr>
          <w:rFonts w:ascii="Times New Roman" w:hAnsi="Times New Roman"/>
          <w:caps w:val="false"/>
          <w:smallCaps w:val="false"/>
          <w:sz w:val="20"/>
        </w:rPr>
        <w:t>The provision for income taxes is determined using the asset and liability approach of accounting for income taxes. Under this 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September 30, 2025 or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Tax benefits from an uncertain tax position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12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Tax-related interest charges are recorded as interest expense and any tax-related penalties as other expense in the condensed consolidated statements of operations of which there have been none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also subject to Texas Margin Tax. The Company realized a benefit of  $16,000 and an expense of $519,000 in current Texas Margin Tax during the nine months ended September 30, 2025 and 2024, respectively, in the accompanying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Segments. </w:t>
      </w:r>
      <w:r>
        <w:rPr>
          <w:rFonts w:ascii="Times New Roman" w:hAnsi="Times New Roman"/>
          <w:caps w:val="false"/>
          <w:smallCaps w:val="false"/>
          <w:sz w:val="20"/>
        </w:rPr>
        <w:t>The Company is an independent energy company engaged in the exploration, development and production of crude oil and natural gas. The Company’s crude oil and natural gas exploration and production activities are solely focused in the U.S., specifically the Midland Basin portion of the Permian Basin in West Texas. For financial reporting purposes, the Company aggregates its operations into one reporting segment due to the similar geographic location and nature of the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President and Chief Executive Officer is the chief operating decision maker (“CODM”). To assess the performance of our assets, the CODM uses net (loss) income. We believe net (loss) income provides information useful in assessing our operating and financial performance across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reflects the Company’s net (loss) income, assets and capital expenditures for the Company’s one reporting segment for the time periods presented:</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5375"/>
        <w:gridCol w:w="60"/>
        <w:gridCol w:w="125"/>
        <w:gridCol w:w="845"/>
        <w:gridCol w:w="80"/>
        <w:gridCol w:w="60"/>
        <w:gridCol w:w="125"/>
        <w:gridCol w:w="845"/>
        <w:gridCol w:w="80"/>
        <w:gridCol w:w="60"/>
        <w:gridCol w:w="125"/>
        <w:gridCol w:w="845"/>
        <w:gridCol w:w="60"/>
        <w:gridCol w:w="60"/>
        <w:gridCol w:w="125"/>
        <w:gridCol w:w="845"/>
        <w:gridCol w:w="6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834,608</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92,124</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ad valorem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46,410</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Expensed workover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significant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395,121</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 including stock-based comp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25,717</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122,240</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31,985</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221,645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602,534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748,520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44,176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86,088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3,204,762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3,061,466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3,061,466</w:t>
            </w:r>
          </w:p>
        </w:tc>
        <w:tc>
          <w:tcPr>
            <w:tcW w:w="6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costs incurred, including acquisitions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462,191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included in segment net income are exploration and abandonment expense, accretion of discount, other expense, gains and losses on derivative instruments and loss on extinguishment of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Recently adopted accounting pronouncements. </w:t>
      </w:r>
      <w:r>
        <w:rPr>
          <w:rFonts w:ascii="Times New Roman" w:hAnsi="Times New Roman"/>
          <w:caps w:val="false"/>
          <w:smallCaps w:val="false"/>
          <w:sz w:val="20"/>
        </w:rPr>
        <w:t>In December 2023, the FASB issued ASU 2023-09, “Income Taxes (Topic 740): Improvements to Income Tax Disclosures,” which is 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and interim reporting periods beginning after December 15, 2025. While the adoption of this ASU will modify the Company’s disclosures, it will not have an impact on the Company’s condensed consolidated balance sheets, condensed consolidated statements of operations or condensed consolidated statements of cash flows in its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New accounting pronouncements not yet adopted.</w:t>
      </w:r>
      <w:r>
        <w:rPr>
          <w:rFonts w:ascii="Times New Roman" w:hAnsi="Times New Roman"/>
          <w:caps w:val="false"/>
          <w:smallCaps w:val="false"/>
          <w:sz w:val="20"/>
        </w:rPr>
        <w:t xml:space="preserve"> In November 2024, the FASB issued ASU 2024-03, </w:t>
      </w:r>
      <w:r>
        <w:rPr>
          <w:rFonts w:ascii="Times New Roman" w:hAnsi="Times New Roman"/>
          <w:i/>
          <w:caps w:val="false"/>
          <w:smallCaps w:val="false"/>
          <w:sz w:val="20"/>
        </w:rPr>
        <w:t xml:space="preserve">Income Statement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Reporting Comprehensive Income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Expense Disaggregation Disclosures (Topic 220): Disaggregation of Income Statement Expenses. </w:t>
      </w:r>
      <w:r>
        <w:rPr>
          <w:rFonts w:ascii="Times New Roman" w:hAnsi="Times New Roman"/>
          <w:caps w:val="false"/>
          <w:smallCaps w:val="false"/>
          <w:sz w:val="20"/>
        </w:rPr>
        <w:t>The amendments in this update require disclosure in the Company’s annual and interim consolidated financial statements of specified information about certain costs and expenses, including depletion, depreciation and amortization recognized as part of crude oil and natural gas producing activities and employee compensation. This ASU is effective for the Company to all annual periods beginning after December 15, 2026, and interim reporting periods beginning after December 15, 2027. While the adoption of this ASU will modify the Company’s disclosures, it will not have an impact on the Company's condensed consolidated balance sheets, condensed consolidated statements of operations or condensed consolidated statements of cash flows in its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considers the applicability and the impact of all ASUs. ASUs were assessed and determined to be either not applicable, the effects of adoption are not expected to be material or are clarifications of ASUs previously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3. </w:t>
      </w:r>
      <w:r>
        <w:rPr>
          <w:rFonts w:ascii="Times New Roman" w:hAnsi="Times New Roman"/>
          <w:b/>
          <w:i/>
          <w:caps w:val="false"/>
          <w:smallCaps w:val="false"/>
          <w:sz w:val="20"/>
        </w:rPr>
        <w:t>Acquisitions and Divestitures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Acquisitions. </w:t>
      </w:r>
      <w:r>
        <w:rPr>
          <w:rFonts w:ascii="Times New Roman" w:hAnsi="Times New Roman"/>
          <w:caps w:val="false"/>
          <w:smallCaps w:val="false"/>
          <w:sz w:val="20"/>
        </w:rPr>
        <w:t>During the nine months ended September 30, 2025 and 2024, the Company incurred a total of $4.5 million and $10.4 million, respectively, in acquisition costs primarily to acquire various undeveloped crude oil and natural gas leases largely contiguous to its Flat Top and Signal Peak operating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Divestitures. </w:t>
      </w:r>
      <w:r>
        <w:rPr>
          <w:rFonts w:ascii="Times New Roman" w:hAnsi="Times New Roman"/>
          <w:caps w:val="false"/>
          <w:smallCaps w:val="false"/>
          <w:sz w:val="20"/>
        </w:rPr>
        <w:t>During the nine months ended September 30, 2025, the Company sold various non-core non-operated working interests in certain producing properties outside of our core areas for total proceeds of $570,000.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4.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three input levels of the fair value hierarchy are as follows:</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Level 1 – quoted prices for identical assets or liabilities in active markets.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Assets and liabilities measured at fair value on a recurring basis. </w:t>
      </w:r>
      <w:r>
        <w:rPr>
          <w:rFonts w:ascii="Times New Roman" w:hAnsi="Times New Roman"/>
          <w:caps w:val="false"/>
          <w:smallCaps w:val="false"/>
          <w:sz w:val="20"/>
        </w:rPr>
        <w:t>Assets and liabilities measured at fair value on a recurring basis as of September 30, 2025 and December 31, 2024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8024" w:type="dxa"/>
        <w:jc w:val="left"/>
        <w:tblInd w:w="0" w:type="dxa"/>
        <w:tblLayout w:type="fixed"/>
        <w:tblCellMar>
          <w:top w:w="0" w:type="dxa"/>
          <w:left w:w="0" w:type="dxa"/>
          <w:bottom w:w="0" w:type="dxa"/>
          <w:right w:w="0" w:type="dxa"/>
        </w:tblCellMar>
      </w:tblPr>
      <w:tblGrid>
        <w:gridCol w:w="3830"/>
        <w:gridCol w:w="60"/>
        <w:gridCol w:w="264"/>
        <w:gridCol w:w="550"/>
        <w:gridCol w:w="60"/>
        <w:gridCol w:w="60"/>
        <w:gridCol w:w="173"/>
        <w:gridCol w:w="822"/>
        <w:gridCol w:w="60"/>
        <w:gridCol w:w="60"/>
        <w:gridCol w:w="386"/>
        <w:gridCol w:w="804"/>
        <w:gridCol w:w="60"/>
        <w:gridCol w:w="60"/>
        <w:gridCol w:w="125"/>
        <w:gridCol w:w="590"/>
        <w:gridCol w:w="6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7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September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Quoted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Active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Identical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Observable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Inputs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Unobservable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Inputs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2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17,335</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noncurrent</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current</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noncurrent</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recurring fair value measurements,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29" w:type="dxa"/>
        <w:jc w:val="left"/>
        <w:tblInd w:w="0" w:type="dxa"/>
        <w:tblLayout w:type="fixed"/>
        <w:tblCellMar>
          <w:top w:w="0" w:type="dxa"/>
          <w:left w:w="0" w:type="dxa"/>
          <w:bottom w:w="0" w:type="dxa"/>
          <w:right w:w="0" w:type="dxa"/>
        </w:tblCellMar>
      </w:tblPr>
      <w:tblGrid>
        <w:gridCol w:w="3830"/>
        <w:gridCol w:w="60"/>
        <w:gridCol w:w="332"/>
        <w:gridCol w:w="692"/>
        <w:gridCol w:w="60"/>
        <w:gridCol w:w="60"/>
        <w:gridCol w:w="203"/>
        <w:gridCol w:w="792"/>
        <w:gridCol w:w="60"/>
        <w:gridCol w:w="60"/>
        <w:gridCol w:w="386"/>
        <w:gridCol w:w="804"/>
        <w:gridCol w:w="60"/>
        <w:gridCol w:w="60"/>
        <w:gridCol w:w="125"/>
        <w:gridCol w:w="485"/>
        <w:gridCol w:w="6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7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Quoted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Active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Markets for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Identical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Observable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Inputs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Significant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Unobservable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Inputs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3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7,582</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price derivatives – current</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recurring fair value measurements,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3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Commodity price derivatives. </w:t>
      </w:r>
      <w:r>
        <w:rPr>
          <w:rFonts w:ascii="Times New Roman" w:hAnsi="Times New Roman"/>
          <w:caps w:val="false"/>
          <w:smallCaps w:val="false"/>
          <w:sz w:val="20"/>
        </w:rPr>
        <w:t>The Company’s commodity price derivatives are currently made up of crude oil swap contracts, costless collars and basis swaps and natural gas swap contracts.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Assets and liabilities measured at fair value on a nonrecurring basis. </w:t>
      </w:r>
      <w:r>
        <w:rPr>
          <w:rFonts w:ascii="Times New Roman" w:hAnsi="Times New Roman"/>
          <w:caps w:val="false"/>
          <w:smallCaps w:val="false"/>
          <w:sz w:val="20"/>
        </w:rPr>
        <w:t>Certain assets and liabilities are measured at fair value on a nonrecurring 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(ii) the estimates and fair value measurements used for the evaluation of proved property for potential impairment using Level 3 inputs based upon market conditions in the area and (iii) asset retirement obligations are measured at estimated fair value on the date the liabilities are incurred using Level 3 inputs based on expected future costs to retire the assets, market conditions and estimated lives of the assets.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Financial instruments not carried at fair value.</w:t>
      </w:r>
      <w:r>
        <w:rPr>
          <w:rFonts w:ascii="Times New Roman" w:hAnsi="Times New Roman"/>
          <w:caps w:val="false"/>
          <w:smallCaps w:val="false"/>
          <w:sz w:val="20"/>
        </w:rPr>
        <w:t xml:space="preserve"> As of September 30, 2025 and December 31, 2024, the Company has financial instruments consisting primarily of cash and cash equivalents, accounts receivable, accounts payable, long-term debt (specifically the Term Loan Credit Agreement and Senior Credit Facility Agreement), and other current assets and liabilities that approximate fair value due to the nature of the instrument and their relatively short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5.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utilizes commodity swap contracts and costless collars to (i) reduce the effect of price volatility on the commodities the Company produces and sells, (ii) support the Company’s capital budgeting and expenditure plans, (iii) protect the Company’s commitments under the Term Loan Credit Agreement and Senior Credit Facility Agreement and (iv) support the payment of 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effect of derivative instruments on the Company’s condensed consolidated statements of operations (in thousands):</w:t>
      </w:r>
    </w:p>
    <w:p>
      <w:pPr>
        <w:pStyle w:val="TextBody"/>
        <w:bidi w:val="0"/>
        <w:spacing w:before="0" w:after="0"/>
        <w:ind w:left="0" w:right="0" w:hanging="0"/>
        <w:jc w:val="left"/>
        <w:rPr>
          <w:caps w:val="false"/>
          <w:smallCaps w:val="false"/>
        </w:rPr>
      </w:pPr>
      <w:r>
        <w:rPr>
          <w:caps w:val="false"/>
          <w:smallCaps w:val="false"/>
        </w:rPr>
        <w:t> </w:t>
      </w:r>
    </w:p>
    <w:tbl>
      <w:tblPr>
        <w:tblW w:w="7999" w:type="dxa"/>
        <w:jc w:val="left"/>
        <w:tblInd w:w="0" w:type="dxa"/>
        <w:tblLayout w:type="fixed"/>
        <w:tblCellMar>
          <w:top w:w="0" w:type="dxa"/>
          <w:left w:w="0" w:type="dxa"/>
          <w:bottom w:w="0" w:type="dxa"/>
          <w:right w:w="0" w:type="dxa"/>
        </w:tblCellMar>
      </w:tblPr>
      <w:tblGrid>
        <w:gridCol w:w="4175"/>
        <w:gridCol w:w="60"/>
        <w:gridCol w:w="158"/>
        <w:gridCol w:w="615"/>
        <w:gridCol w:w="76"/>
        <w:gridCol w:w="76"/>
        <w:gridCol w:w="158"/>
        <w:gridCol w:w="749"/>
        <w:gridCol w:w="80"/>
        <w:gridCol w:w="60"/>
        <w:gridCol w:w="133"/>
        <w:gridCol w:w="628"/>
        <w:gridCol w:w="63"/>
        <w:gridCol w:w="63"/>
        <w:gridCol w:w="133"/>
        <w:gridCol w:w="692"/>
        <w:gridCol w:w="80"/>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6" w:type="dxa"/>
            <w:tcBorders>
              <w:bottom w:val="single" w:sz="2" w:space="0" w:color="000000"/>
            </w:tcBorders>
            <w:tcMar>
              <w:bottom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derivative gain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receipts (payments) on settled derivatives, net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7,988</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gain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6,913</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25,432</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Crude oil production derivatives. </w:t>
      </w:r>
      <w:r>
        <w:rPr>
          <w:rFonts w:ascii="Times New Roman" w:hAnsi="Times New Roman"/>
          <w:caps w:val="false"/>
          <w:smallCaps w:val="false"/>
          <w:sz w:val="20"/>
        </w:rPr>
        <w:t>The Company sells its crude oil production at the lease and the sales contracts governing such crude oil production are tied directly to, or are correlated with, NYMEX WTI Cushing and Argus WTI Midland crude oil prices. As such, the Company primarily uses NYMEX WTI Cushing derivative contracts as well as Argus WTI Midland basis swaps from time to time to manage future crude oil price volatility. The Argus WTI Midland basis differential represents the amount of premium to NYMEX WTI Cushing.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outstanding NYMEX WTI Cushing and Argus WTI Midland crude oil derivative instruments as of September 30, 2025 and the weighted average crude oil prices and premiums payable per barrel for those contracts are as follows:</w:t>
      </w:r>
    </w:p>
    <w:p>
      <w:pPr>
        <w:pStyle w:val="TextBody"/>
        <w:bidi w:val="0"/>
        <w:spacing w:before="0" w:after="0"/>
        <w:ind w:left="0" w:right="0" w:hanging="0"/>
        <w:jc w:val="left"/>
        <w:rPr>
          <w:caps w:val="false"/>
          <w:smallCaps w:val="false"/>
        </w:rPr>
      </w:pPr>
      <w:r>
        <w:rPr>
          <w:caps w:val="false"/>
          <w:smallCaps w:val="false"/>
        </w:rPr>
        <w:t> </w:t>
      </w:r>
    </w:p>
    <w:tbl>
      <w:tblPr>
        <w:tblW w:w="9457" w:type="dxa"/>
        <w:jc w:val="left"/>
        <w:tblInd w:w="0" w:type="dxa"/>
        <w:tblLayout w:type="fixed"/>
        <w:tblCellMar>
          <w:top w:w="0" w:type="dxa"/>
          <w:left w:w="0" w:type="dxa"/>
          <w:bottom w:w="28" w:type="dxa"/>
          <w:right w:w="0" w:type="dxa"/>
        </w:tblCellMar>
      </w:tblPr>
      <w:tblGrid>
        <w:gridCol w:w="965"/>
        <w:gridCol w:w="60"/>
        <w:gridCol w:w="905"/>
        <w:gridCol w:w="60"/>
        <w:gridCol w:w="1250"/>
        <w:gridCol w:w="60"/>
        <w:gridCol w:w="60"/>
        <w:gridCol w:w="590"/>
        <w:gridCol w:w="60"/>
        <w:gridCol w:w="1640"/>
        <w:gridCol w:w="60"/>
        <w:gridCol w:w="206"/>
        <w:gridCol w:w="803"/>
        <w:gridCol w:w="60"/>
        <w:gridCol w:w="60"/>
        <w:gridCol w:w="233"/>
        <w:gridCol w:w="911"/>
        <w:gridCol w:w="60"/>
        <w:gridCol w:w="60"/>
        <w:gridCol w:w="261"/>
        <w:gridCol w:w="1018"/>
        <w:gridCol w:w="75"/>
      </w:tblGrid>
      <w:tr>
        <w:trPr/>
        <w:tc>
          <w:tcPr>
            <w:tcW w:w="9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Day</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Swap Price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Costless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Collar Floor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Costless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Collar Ceiling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Bbl</w:t>
            </w:r>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9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Crude Oil:</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 w:type="dxa"/>
            <w:tcBorders/>
            <w:tcMar>
              <w:bottom w:w="0" w:type="dxa"/>
            </w:tcMar>
            <w:vAlign w:val="center"/>
          </w:tcPr>
          <w:p>
            <w:pPr>
              <w:pStyle w:val="TableContents"/>
              <w:bidi w:val="0"/>
              <w:spacing w:before="0" w:after="283"/>
              <w:jc w:val="left"/>
              <w:rPr/>
            </w:pPr>
            <w:r>
              <w:rPr/>
              <w:t> </w:t>
            </w:r>
          </w:p>
        </w:tc>
        <w:tc>
          <w:tcPr>
            <w:tcW w:w="80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 w:type="dxa"/>
            <w:tcBorders/>
            <w:tcMar>
              <w:bottom w:w="0" w:type="dxa"/>
            </w:tcMar>
            <w:vAlign w:val="center"/>
          </w:tcPr>
          <w:p>
            <w:pPr>
              <w:pStyle w:val="TableContents"/>
              <w:bidi w:val="0"/>
              <w:spacing w:before="0" w:after="283"/>
              <w:jc w:val="left"/>
              <w:rPr/>
            </w:pPr>
            <w:r>
              <w:rPr/>
              <w:t> </w:t>
            </w:r>
          </w:p>
        </w:tc>
        <w:tc>
          <w:tcPr>
            <w:tcW w:w="91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1" w:type="dxa"/>
            <w:tcBorders/>
            <w:tcMar>
              <w:bottom w:w="0" w:type="dxa"/>
            </w:tcMar>
            <w:vAlign w:val="center"/>
          </w:tcPr>
          <w:p>
            <w:pPr>
              <w:pStyle w:val="TableContents"/>
              <w:bidi w:val="0"/>
              <w:spacing w:before="0" w:after="283"/>
              <w:jc w:val="left"/>
              <w:rPr/>
            </w:pPr>
            <w:r>
              <w:rPr/>
              <w:t> </w:t>
            </w:r>
          </w:p>
        </w:tc>
        <w:tc>
          <w:tcPr>
            <w:tcW w:w="1018"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6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69.65</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6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69.92</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6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66.82</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6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66.84</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6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65.31</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6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65.24</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Natural gas production derivatives. </w:t>
      </w:r>
      <w:r>
        <w:rPr>
          <w:rFonts w:ascii="Times New Roman" w:hAnsi="Times New Roman"/>
          <w:caps w:val="false"/>
          <w:smallCaps w:val="false"/>
          <w:sz w:val="20"/>
        </w:rPr>
        <w:t>The Company sells its natural gas production at the tailgate of the gas processing plants and the sales contracts governing such natural gas production are correlated with HH natural gas prices. As such, the Company primarily uses HH derivative contracts to manage future natural gas price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outstanding HH natural gas derivative instruments as of September 30, 2025 and the weighted average natural gas prices per MMBtu for those contracts are as follows:</w:t>
      </w:r>
    </w:p>
    <w:p>
      <w:pPr>
        <w:pStyle w:val="TextBody"/>
        <w:bidi w:val="0"/>
        <w:spacing w:before="0" w:after="0"/>
        <w:ind w:left="0" w:right="0" w:hanging="0"/>
        <w:jc w:val="left"/>
        <w:rPr>
          <w:caps w:val="false"/>
          <w:smallCaps w:val="false"/>
        </w:rPr>
      </w:pPr>
      <w:r>
        <w:rPr>
          <w:caps w:val="false"/>
          <w:smallCaps w:val="false"/>
        </w:rPr>
        <w:t> </w:t>
      </w:r>
    </w:p>
    <w:tbl>
      <w:tblPr>
        <w:tblW w:w="5683" w:type="dxa"/>
        <w:jc w:val="left"/>
        <w:tblInd w:w="0" w:type="dxa"/>
        <w:tblLayout w:type="fixed"/>
        <w:tblCellMar>
          <w:top w:w="0" w:type="dxa"/>
          <w:left w:w="0" w:type="dxa"/>
          <w:bottom w:w="28" w:type="dxa"/>
          <w:right w:w="0" w:type="dxa"/>
        </w:tblCellMar>
      </w:tblPr>
      <w:tblGrid>
        <w:gridCol w:w="1520"/>
        <w:gridCol w:w="60"/>
        <w:gridCol w:w="950"/>
        <w:gridCol w:w="60"/>
        <w:gridCol w:w="770"/>
        <w:gridCol w:w="60"/>
        <w:gridCol w:w="66"/>
        <w:gridCol w:w="658"/>
        <w:gridCol w:w="60"/>
        <w:gridCol w:w="500"/>
        <w:gridCol w:w="60"/>
        <w:gridCol w:w="208"/>
        <w:gridCol w:w="636"/>
        <w:gridCol w:w="75"/>
      </w:tblGrid>
      <w:tr>
        <w:trPr/>
        <w:tc>
          <w:tcPr>
            <w:tcW w:w="15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 Month</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7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MMBtu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Day</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Index</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MMBtu</w:t>
            </w:r>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152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Natural Gas:</w:t>
            </w:r>
          </w:p>
        </w:tc>
        <w:tc>
          <w:tcPr>
            <w:tcW w:w="6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pPr>
            <w:r>
              <w:rPr/>
              <w:t> </w:t>
            </w:r>
          </w:p>
        </w:tc>
        <w:tc>
          <w:tcPr>
            <w:tcW w:w="636"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derivative assets associated with the Company’s open commodity derivative instruments by counterparty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524" w:type="dxa"/>
        <w:jc w:val="left"/>
        <w:tblInd w:w="0" w:type="dxa"/>
        <w:tblLayout w:type="fixed"/>
        <w:tblCellMar>
          <w:top w:w="0" w:type="dxa"/>
          <w:left w:w="0" w:type="dxa"/>
          <w:bottom w:w="0" w:type="dxa"/>
          <w:right w:w="0" w:type="dxa"/>
        </w:tblCellMar>
      </w:tblPr>
      <w:tblGrid>
        <w:gridCol w:w="3185"/>
        <w:gridCol w:w="60"/>
        <w:gridCol w:w="212"/>
        <w:gridCol w:w="1007"/>
        <w:gridCol w:w="6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Fifth Third Bank, National Association</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16,296</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Macquarie Bank Limited</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2,675</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Mercuria Energy Trading SA</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 Aron &amp; Company LLC</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6. Exploratory/Extension Well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condensed consolidated balance sheets. If the exploratory/extension well or project is determined to be impaired, the impaired costs are charged to exploration and abandonments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changes in capitalized exploratory/extension well costs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8144" w:type="dxa"/>
        <w:jc w:val="left"/>
        <w:tblInd w:w="0" w:type="dxa"/>
        <w:tblLayout w:type="fixed"/>
        <w:tblCellMar>
          <w:top w:w="0" w:type="dxa"/>
          <w:left w:w="0" w:type="dxa"/>
          <w:bottom w:w="0" w:type="dxa"/>
          <w:right w:w="0" w:type="dxa"/>
        </w:tblCellMar>
      </w:tblPr>
      <w:tblGrid>
        <w:gridCol w:w="6785"/>
        <w:gridCol w:w="60"/>
        <w:gridCol w:w="172"/>
        <w:gridCol w:w="1047"/>
        <w:gridCol w:w="80"/>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capitalized exploratory/extension well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33,619</w:t>
            </w:r>
          </w:p>
        </w:tc>
        <w:tc>
          <w:tcPr>
            <w:tcW w:w="80" w:type="dxa"/>
            <w:tcBorders/>
            <w:shd w:fill="CCEEFF" w:val="clear"/>
            <w:vAlign w:val="center"/>
          </w:tcPr>
          <w:p>
            <w:pPr>
              <w:pStyle w:val="TableContents"/>
              <w:bidi w:val="0"/>
              <w:spacing w:before="0" w:after="283"/>
              <w:jc w:val="left"/>
              <w:rPr/>
            </w:pPr>
            <w:r>
              <w:rPr/>
              <w:t> </w:t>
            </w:r>
          </w:p>
        </w:tc>
      </w:tr>
      <w:tr>
        <w:trPr/>
        <w:tc>
          <w:tcPr>
            <w:tcW w:w="67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exploratory/extension well costs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101,850</w:t>
            </w:r>
          </w:p>
        </w:tc>
        <w:tc>
          <w:tcPr>
            <w:tcW w:w="80" w:type="dxa"/>
            <w:tcBorders/>
            <w:shd w:fill="FFFFFF" w:val="clear"/>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Reclassification to proved properties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(105,216</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7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Exploratory/extension well costs charged to exploration and abandonment expense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capitalized exploratory/extension well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capitalized exploratory/extension well costs have been capitalized for less than one year based on the date of drilling other than approximately $10.6 million related to one well that had been delayed for an infrastructure connection. The well is now on production pending determination of proved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7.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components of long-term debt, including the effects of debt issuance costs,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233" w:type="dxa"/>
        <w:jc w:val="left"/>
        <w:tblInd w:w="0" w:type="dxa"/>
        <w:tblLayout w:type="fixed"/>
        <w:tblCellMar>
          <w:top w:w="0" w:type="dxa"/>
          <w:left w:w="0" w:type="dxa"/>
          <w:bottom w:w="0" w:type="dxa"/>
          <w:right w:w="0" w:type="dxa"/>
        </w:tblCellMar>
      </w:tblPr>
      <w:tblGrid>
        <w:gridCol w:w="3515"/>
        <w:gridCol w:w="60"/>
        <w:gridCol w:w="163"/>
        <w:gridCol w:w="1101"/>
        <w:gridCol w:w="80"/>
        <w:gridCol w:w="60"/>
        <w:gridCol w:w="151"/>
        <w:gridCol w:w="1023"/>
        <w:gridCol w:w="80"/>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Credit Agreement due 2028</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1,080,000</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Credit Facility Agreement due 2028</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 net (a)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Discounts, net (b)</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1,048,384</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maturities of long-term debt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1,162,300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928,384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 as of September 30, 2025 and December 31, 2024 consisted of $8.8 million and $25.1 million, respectively, in costs less accumulated amortization of $1.1 million and $10.7 million, respectively. Unamortized debt issuance costs of $9.2 million were charged to expense during the nine months ended September 30, 2025 upon the closing of the First Term Loan Amendment which was considered an extinguishment of debt.</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Discounts as of December 31, 2024 consisted of $30.0 million in discounts less accumulated amortization of $12.8 million. Unamortized discounts of $11.5 million were charged to expense during the nine months ended September 30, 2025 upon the closing of the First Term Loan Amendment which was considered an extinguishment of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Term Loan Credit Agreement.</w:t>
      </w:r>
      <w:r>
        <w:rPr>
          <w:rFonts w:ascii="Times New Roman" w:hAnsi="Times New Roman"/>
          <w:caps w:val="false"/>
          <w:smallCaps w:val="false"/>
          <w:sz w:val="20"/>
        </w:rPr>
        <w:t> On September 12, 2023, the Company entered into a Term Loan Credit Agreement with Texas Capital Bank (“Texas Capital”) as the administrative agent and Chambers Energy Management, LP (“Chambers”) as collateral agent and lenders from time-to-time party thereto to establish a term loan (“Term Loan Credit Agreement”) in an aggregate principal amount of $1.2 billion, less a 2.5% original issue discount of $30.0 million at closing and customary debt issuance costs which totaled approximately $24.0 million. The Term Loan Credit Agreement was set to mature on September 30, 2026. On August 1, 2025, the Company entered into the First Term Loan Amendment whereby, among other things, (i) the maturity was extended to September 30, 2028, (ii) borrowings were upsized to $1.2 billion, providing additional liquidity, and (iii) the quarterly amortization payments of $30.0 million were deferred for one year such that they begin again in September 2026. As of September 30, 2025, $1.2 billion was outstanding under the Term Loan Credit Agreement. As a result of this amendment which was considered an extinguishment of debt, the Company recognized a loss on extinguishment of debt of $25.4 million consisting of (i) $11.5 million in unamortized discounts, (ii) $9.2 million in unamortized debt issuance costs and (iii) $4.7 million in premiums paid to those lenders that chose to exit the Term Loan Credit Agreement upon closing of the First Term Loan Amendment. Loans under the Term Loan Credit Agreement bear interest at a rate per annum equal to the Adjusted Term SOFR (as defined in the Term Loan Credit Agreement) plus an applicable margin of 7.50%. To the extent a payment or other event of default exists and is continuing, at the election of the Required Lenders (as defined in the Term Loan Credit Agreement), all amounts outstanding under the Term Loan Credit Agreement will bear interest at 2.00% per annum above the rate otherwise applicable thereto. The Company is able to repay any amounts borrowed prior to the maturity date without premium or penalty. The Term Loan Credit Agreement is guaranteed by the Company and certain of its subsidiaries and is secured by a first-lien second-out security interest in substantially all assets of the Company and certain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as amended, also contains certain financial covenants, consisting of (i) an asset coverage ratio that may not be less than 1.25 to 1.00 as of the last day of any fiscal quarter through the fiscal quarter ended June 30, 2026 and not less than 1.50 to 1.00 as of the last day of any fiscal quarter ending thereafter and (ii) a total net leverage ratio that may not exceed 2.00 to 1.00 as of the last day of any fiscal quarter. Additionally, the Term Loan Credit Agreement contains additional restrictive covenants that limit the ability of the Company and its restricted subsidiaries to, among other things, incur additional indebtedness (with exceptions permitting, among other things, the incurrence of a super priority revolving credit facility, subject to a cap of $100 million), incur additional liens, make investments and loans, enter into mergers and acquisitions, make dividends and certain other payments, enter into certain hedging transactions, sell assets, engage in transactions with affiliates and make certain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contains customary mandatory prepayments, in addition to quarterly scheduled amortization payments of $30.0 million referenced above, consisting of prepayments with proceeds of prohibited indebtedness and asset sales (including hedge terminations) in excess of $20.0 million in any calendar year, and prepayments with a percentage of Excess Cash Flow (as defined in the Term Loan Credit Agreement) equal to 0%, 25% or 50% based on a total net leverage ratio to the extent pro forma for any such payment, the aggregate cash and cash equivalents of the Company and its restricted subsidiaries would not be less than $100.0 million as of the date of such payment (with no such excess cash flow prepayments made as of September 30, 2025).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Collateral Agency Agreement. </w:t>
      </w:r>
      <w:r>
        <w:rPr>
          <w:rFonts w:ascii="Times New Roman" w:hAnsi="Times New Roman"/>
          <w:caps w:val="false"/>
          <w:smallCaps w:val="false"/>
          <w:sz w:val="20"/>
        </w:rPr>
        <w:t>On September 12, 2023, the Company entered into a collateral agency agreement (the “Collateral Agency Agreement”) with Texas Capital, as collateral agent, Chambers, as term representative, and Mercuria Energy Trading SA, as initial first-out representative, which was later joined by Fifth Third Bank, National Association, as successor first-out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Collateral Agency Agreement provides for the appointment of Texas Capital, as collateral agent, for the present and future holders of the first-lien obligations (including holders of “first-out” obligations and obligations under the Term Loan Credit Agreement) to receive, hold, administer and distribute proceeds of the collateral  and to enforce the Security Documents. Under the terms of the Collateral Agency Agreement, proceeds of collateral are first distributed to holders of “first-out” obligations, including certain hedging and cash management obligations and obligations under the Senior Credit Facility Agreement but excluding certain “excess” first-out obligations, and second to holders of obligations under the Term Loan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Senior Credit Facility Agreement.</w:t>
      </w:r>
      <w:r>
        <w:rPr>
          <w:rFonts w:ascii="Times New Roman" w:hAnsi="Times New Roman"/>
          <w:caps w:val="false"/>
          <w:smallCaps w:val="false"/>
          <w:sz w:val="20"/>
        </w:rPr>
        <w:t> On November 1, 2023, the Company entered into a credit agreement with Fifth Third Bank, National Association (“Fifth Third”) as the administrative agent and as the collateral agent, together with a number of  other banks and financial institutions party thereto, to establish a senior revolving credit facility (“Senior Credit Facility Agreement”). The Senior Credit Facility Agreement has aggregate maximum commitments of $100.0 million. On August 1, 2025, the Company entered into the Second Facility Amendment which, among other things, extended the maturity date to September 30, 2028, which was not considered an extinguishment of debt. As of September 30, 2025, the balance due under the Senior Credit Facility Agreement was zero.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or other event of default exists and is continuing, at the election of the Required Lenders (as defined in the Senior Credit Facility Agreement), all amounts outstanding under the Senior Credit Facility Agreement will bear interest at 2.00% per annum above the rate otherwise applicable thereto. The Company is able to repay any amounts borrowed prior to the maturity date without premium or penalty. The Senior Credit Facility Agreement is guaranteed by the Company and certain of its subsidiaries and is secured by a first-lien first-out security interest in substantially all assets of the Company and certain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Credit Agreement and the Senior Credit Facility Agreement have hedging requirements to which the Company adheres.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 8. Asset Retirement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asset retirement obligations primarily relate to the future plugging and abandonment of wells and remediation of related facilities. Market risk premiums associated with asset retirement obligations are estimated to represent a component of the Company’s credit-adjusted risk-free rate that is utilized in the calculations of asset 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Asset retirement obligations activity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4529" w:type="dxa"/>
        <w:jc w:val="left"/>
        <w:tblInd w:w="0" w:type="dxa"/>
        <w:tblLayout w:type="fixed"/>
        <w:tblCellMar>
          <w:top w:w="0" w:type="dxa"/>
          <w:left w:w="0" w:type="dxa"/>
          <w:bottom w:w="0" w:type="dxa"/>
          <w:right w:w="0" w:type="dxa"/>
        </w:tblCellMar>
      </w:tblPr>
      <w:tblGrid>
        <w:gridCol w:w="3170"/>
        <w:gridCol w:w="60"/>
        <w:gridCol w:w="212"/>
        <w:gridCol w:w="1007"/>
        <w:gridCol w:w="8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asset retirement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14,750</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incurred from new wells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settled and divested</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asset retirement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September 30, 2025 and December 31, 2024, all asset retirement obligations are considered noncurrent and classified as such in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9.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401(k) Plan. </w:t>
      </w:r>
      <w:r>
        <w:rPr>
          <w:rFonts w:ascii="Times New Roman" w:hAnsi="Times New Roman"/>
          <w:caps w:val="false"/>
          <w:smallCaps w:val="false"/>
          <w:sz w:val="20"/>
        </w:rPr>
        <w:t>The HighPeak Energy Employees, Inc 401(k) Plan (the “401(k) Plan”) is a defined contribution plan established under Section 401 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nine months ended September 30, 2025 and 2024, the Company contributed $303,000 and $314,000 to the 401(k) Plan,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Long-Term Incentive Plan. </w:t>
      </w:r>
      <w:r>
        <w:rPr>
          <w:rFonts w:ascii="Times New Roman" w:hAnsi="Times New Roman"/>
          <w:caps w:val="false"/>
          <w:smallCaps w:val="false"/>
          <w:sz w:val="20"/>
        </w:rPr>
        <w:t>The Company’s Second Amended &amp; Restated Long Term Incentive Plan (“LTIP”) provides for the grant of stock options, restricted stock, stock awards, dividend equivalents, cash awards and substitute awards to officers, employees, directors and consultants of the Company. The number of shares available for grant pursuant to awards under the LTIP as of September 30, 2025 and December 31, 2024 are as follows:</w:t>
      </w:r>
    </w:p>
    <w:p>
      <w:pPr>
        <w:pStyle w:val="TextBody"/>
        <w:bidi w:val="0"/>
        <w:spacing w:before="0" w:after="0"/>
        <w:ind w:left="0" w:right="0" w:hanging="0"/>
        <w:jc w:val="left"/>
        <w:rPr>
          <w:caps w:val="false"/>
          <w:smallCaps w:val="false"/>
        </w:rPr>
      </w:pPr>
      <w:r>
        <w:rPr>
          <w:caps w:val="false"/>
          <w:smallCaps w:val="false"/>
        </w:rPr>
        <w:t> </w:t>
      </w:r>
    </w:p>
    <w:tbl>
      <w:tblPr>
        <w:tblW w:w="6128" w:type="dxa"/>
        <w:jc w:val="left"/>
        <w:tblInd w:w="0" w:type="dxa"/>
        <w:tblLayout w:type="fixed"/>
        <w:tblCellMar>
          <w:top w:w="0" w:type="dxa"/>
          <w:left w:w="0" w:type="dxa"/>
          <w:bottom w:w="0" w:type="dxa"/>
          <w:right w:w="0" w:type="dxa"/>
        </w:tblCellMar>
      </w:tblPr>
      <w:tblGrid>
        <w:gridCol w:w="3455"/>
        <w:gridCol w:w="60"/>
        <w:gridCol w:w="68"/>
        <w:gridCol w:w="1151"/>
        <w:gridCol w:w="80"/>
        <w:gridCol w:w="60"/>
        <w:gridCol w:w="65"/>
        <w:gridCol w:w="1109"/>
        <w:gridCol w:w="8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Approved and authorized shares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16,326,322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16,414,015</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subject to awards issued under plan</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(15,134,295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(15,808,671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available for future grant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1,192,027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605,344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 options. </w:t>
      </w:r>
      <w:r>
        <w:rPr>
          <w:rFonts w:ascii="Times New Roman" w:hAnsi="Times New Roman"/>
          <w:caps w:val="false"/>
          <w:smallCaps w:val="false"/>
          <w:sz w:val="20"/>
        </w:rPr>
        <w:t>Stock option awards were granted to employees on August 24, 2020, November 4, 2021, May 4, 2022, August 15, 2022 and July 21, 2023. Stock-based compensation expense related to the Company’s stock option awards for the nine months ended September 30, 2025 and 2024 was a negative $109,000 due to certain forfeitures and $86,000, respectively, and as of September 30, 2025 there was no unrecognized stock-based compensation expense related to unvested stock option awards. The 1,949,000 stock options granted in July 2023 were 100% vested upon grant on July 21, 2023. However, to encourage long-term alignment with the Company stockholders, the stock options are not exercisable until the earlier of (i) August 31, 2026, (ii) upon a change in control or (iii) upon the death or disability of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stock options granted on the grant date using a Black-Scholes option valuation model, which requires the Company to make several assumptions. The Company approved an extension of the expiration term for certain outstanding stock options, lengthening the window to exercise those awards, and the table below reflects such extension.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pStyle w:val="TextBody"/>
        <w:bidi w:val="0"/>
        <w:spacing w:before="0" w:after="0"/>
        <w:ind w:left="0" w:right="0" w:hanging="0"/>
        <w:jc w:val="left"/>
        <w:rPr>
          <w:caps w:val="false"/>
          <w:smallCaps w:val="false"/>
        </w:rPr>
      </w:pPr>
      <w:r>
        <w:rPr>
          <w:caps w:val="false"/>
          <w:smallCaps w:val="false"/>
        </w:rPr>
        <w:t> </w:t>
      </w:r>
    </w:p>
    <w:tbl>
      <w:tblPr>
        <w:tblW w:w="7107" w:type="dxa"/>
        <w:jc w:val="left"/>
        <w:tblInd w:w="0" w:type="dxa"/>
        <w:tblLayout w:type="fixed"/>
        <w:tblCellMar>
          <w:top w:w="0" w:type="dxa"/>
          <w:left w:w="0" w:type="dxa"/>
          <w:bottom w:w="0" w:type="dxa"/>
          <w:right w:w="0" w:type="dxa"/>
        </w:tblCellMar>
      </w:tblPr>
      <w:tblGrid>
        <w:gridCol w:w="2885"/>
        <w:gridCol w:w="60"/>
        <w:gridCol w:w="60"/>
        <w:gridCol w:w="950"/>
        <w:gridCol w:w="80"/>
        <w:gridCol w:w="60"/>
        <w:gridCol w:w="163"/>
        <w:gridCol w:w="636"/>
        <w:gridCol w:w="60"/>
        <w:gridCol w:w="60"/>
        <w:gridCol w:w="178"/>
        <w:gridCol w:w="816"/>
        <w:gridCol w:w="60"/>
        <w:gridCol w:w="60"/>
        <w:gridCol w:w="160"/>
        <w:gridCol w:w="759"/>
        <w:gridCol w:w="6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Exercise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Remaining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 in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Intrinsic</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Value (in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thousands)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13,449,061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47,672</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13,444,062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53,093</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(739,168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12,704,894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13,444,062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53,093</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11,495,062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44,907</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at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12,704,894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10,755,894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Restricted stock issued to employee members of the Board and certain employees. </w:t>
      </w:r>
      <w:r>
        <w:rPr>
          <w:rFonts w:ascii="Times New Roman" w:hAnsi="Times New Roman"/>
          <w:caps w:val="false"/>
          <w:smallCaps w:val="false"/>
          <w:sz w:val="20"/>
        </w:rPr>
        <w:t>A total of 1,500,500 shares of restricted stock was approved by the Board to be granted to certain employee members of the Board of the Company on November 4, 2021, which were set to vest on the three-year anniversary of such grant assuming the employees remain in his or her position as of the anniversary date. Therefore, stock-based compensation expense of zero and $5.4 million was recognized during the nine months ended September 30, 2025 and 2024, respectively, and there is no remaining unrecognized stock-based compensation expense as of September 30, 2025 to be recognized, which was based upon the closing price of the stock on the date of the restricted stock issuance. The Board also approved a total of 600,000 shares of restricted stock to be granted to certain employees of the Company on June 1, 2022, which were set to vest on November 4, 2024, assuming the employees remain in his or her position as of that date. Therefore, stock-based compensation expense of zero and $5.3 million was recognized during the nine months ended September 30, 2025 and 2024, respectively, and there is no remaining unrecognized stock-based compensation expense as of September 30, 2025 to be recognized, which was based upon the closing price of the stock on the date of the restricted stock issuance. On October 31, 2024, the vesting date for the aforementioned 2,100,500 shares of restricted stock was extended from November 4, 2024 to December 31, 2025 to ensure said restricted stock would continue to provide retention value to the Company. There is no excess stock-based compensation expense as the closing price on the modification date was lower than the original grant dates. On September 15, 2025, the Company’s Chief Executive Officer retired and in conjunction with said retirement, the 1,385,500 shares of restricted stock issued to him vested immediately. As a result, 545,195 shares were withheld and cancelled in lieu of $3.8 million in cash taxes withheld and paid by the Company on his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 issued to outside directors. </w:t>
      </w:r>
      <w:r>
        <w:rPr>
          <w:rFonts w:ascii="Times New Roman" w:hAnsi="Times New Roman"/>
          <w:caps w:val="false"/>
          <w:smallCaps w:val="false"/>
          <w:sz w:val="20"/>
        </w:rPr>
        <w:t>A total of 64,792 shares of restricted stock was approved by the Board to be granted to the outside directors of the Company on June 3, 2025, which will vest at the next annual meeting, assuming the Board members maintain their positions on the Board. Therefore, stock-based compensation expense of $236,000 was recognized during the nine months ended September 30, 2025 and the remaining $472,000 will be recognized during the remainder of 2025 and through May 2026, which was based upon the closing price of the stock on the date of the restricted stock issuance. In addition, a total of 53,879 shares of restricted stock was approved by the Board to be granted to the outside directors of the Company on June 4, 2024 and which vested on June 3, 2025. Therefore, stock-based compensation expense of $316,000 and $253,000 was recognized during the nine months ended September 30, 2025 and 2024, respectively, which was based upon the closing price of the stock on the date of the restricted stock issuance. Finally, a total of 58,767 shares of restricted stock was approved by the Board to be granted to the outside directors of the Company on June 1, 2023, which vested on June 4, 2024. Therefore, stock-based compensation expense of zero and $316,000 was recognized during the nine months ended September 30, 2025 and 2024, respectively, which was based upon the closing price of the stock on the date of the restricted stock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10.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Leases. </w:t>
      </w:r>
      <w:r>
        <w:rPr>
          <w:rFonts w:ascii="Times New Roman" w:hAnsi="Times New Roman"/>
          <w:caps w:val="false"/>
          <w:smallCaps w:val="false"/>
          <w:sz w:val="20"/>
        </w:rPr>
        <w:t>The Company follows ASC Topic 842, “Leases” to account for its operating and finance leases. Therefore, as of September 30, 2025 the Company had right-of-use assets totaling $1.2 million included in other noncurrent assets and operating lease liabilities totaling $1.2 million, $885,000 of which is included in current liabilities and $327,000 of which is included in noncurrent liabilities, and as of December 31, 2024 the Company had right-of-use assets totaling $1.4 million included in other noncurrent assets and operating lease liabilities totaling $1.4 million, $719,000 of which are included in current liabilities and $670,000 of which are included in noncurrent liabilities on the accompanying condensed consolidated balance sheets. The Company does not currently have any finance right-of-use leases. Maturities of the operating lease obligations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944" w:type="dxa"/>
        <w:jc w:val="left"/>
        <w:tblInd w:w="0" w:type="dxa"/>
        <w:tblLayout w:type="fixed"/>
        <w:tblCellMar>
          <w:top w:w="0" w:type="dxa"/>
          <w:left w:w="0" w:type="dxa"/>
          <w:bottom w:w="0" w:type="dxa"/>
          <w:right w:w="0" w:type="dxa"/>
        </w:tblCellMar>
      </w:tblPr>
      <w:tblGrid>
        <w:gridCol w:w="2585"/>
        <w:gridCol w:w="60"/>
        <w:gridCol w:w="249"/>
        <w:gridCol w:w="97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2025</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present value discount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Legal actions. </w:t>
      </w:r>
      <w:r>
        <w:rPr>
          <w:rFonts w:ascii="Times New Roman" w:hAnsi="Times New Roman"/>
          <w:caps w:val="false"/>
          <w:smallCaps w:val="false"/>
          <w:sz w:val="20"/>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Indemnifications. </w:t>
      </w:r>
      <w:r>
        <w:rPr>
          <w:rFonts w:ascii="Times New Roman" w:hAnsi="Times New Roman"/>
          <w:caps w:val="false"/>
          <w:smallCaps w:val="false"/>
          <w:sz w:val="20"/>
        </w:rPr>
        <w:t>The Company has agreed to indemnify its directors, officers and certain employees and agents with respect to claims and damages arising from acts or omissions taken in such capacity, as well as with respect to certain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Environmental. </w:t>
      </w:r>
      <w:r>
        <w:rPr>
          <w:rFonts w:ascii="Times New Roman" w:hAnsi="Times New Roman"/>
          <w:caps w:val="false"/>
          <w:smallCaps w:val="false"/>
          <w:sz w:val="20"/>
        </w:rPr>
        <w:t>Environmental expenditures that relate to an existing condition caused by past operations and have no future economic benefits 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Crude oil delivery commitments.</w:t>
      </w:r>
      <w:r>
        <w:rPr>
          <w:rFonts w:ascii="Times New Roman" w:hAnsi="Times New Roman"/>
          <w:caps w:val="false"/>
          <w:smallCaps w:val="false"/>
          <w:sz w:val="20"/>
        </w:rPr>
        <w:t xml:space="preserve"> In September 2024, the Company entered into an amended and restated crude oil marketing contract with DK Trading &amp; Supply, LLC (“Delek”) as the purchaser and DKL Permian Gathering, LLC (“DKL”) as the gatherer and transporter. The contract includes the Company’s current and future crude oil production from the majority of its horizontal wells in Flat Top and Signal Peak where DKL is continually expanding their crude oil gathering system and custody transfer meters to most of the Company’s central tank batteries. The contract contains a minimum volume commitment commencing May 2024 that totals $138.7 million based on the gross piped barrels delivered of 23,500 Bopd for the first ten years of the contract at a certain amount per barrel escalating throughout the term of the contract. However, the Company generally has the ability under the contract to cumulatively bank dollars based on excess volumes delivered to offset the minimum volume commitment. For the period from May 1, 2024 to September 30, 2025, the Company has delivered approximately 31,572 Bopd under the contract. The remaining monetary commitment as of September 30, 2025, if the Company never delivers any additional volumes under the agreement, is approximately $119.7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Natural gas gathering and treating agreement. </w:t>
      </w:r>
      <w:r>
        <w:rPr>
          <w:rFonts w:ascii="Times New Roman" w:hAnsi="Times New Roman"/>
          <w:caps w:val="false"/>
          <w:smallCaps w:val="false"/>
          <w:sz w:val="20"/>
        </w:rPr>
        <w:t>In June 2024, the Company entered into a natural gas gathering and treating agreement to gather certain natural gas in its Signal Peak area. Pursuant to said agreement, the Company has agreed to fund certain aid-in-construction costs totaling $18.6 million and $5.4 million during the nine months ended September 30, 2025 and the year ended December 31, 2024, respectively. In addition, throughout the remainder of 2025 and first quarter of 2026, the Company has a remaining commitment under the contract of $8.6 million as certain milestones are attained. The agreement does not contain any minimum volume commitments.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Power contracts.</w:t>
      </w:r>
      <w:r>
        <w:rPr>
          <w:rFonts w:ascii="Times New Roman" w:hAnsi="Times New Roman"/>
          <w:caps w:val="false"/>
          <w:smallCaps w:val="false"/>
          <w:sz w:val="20"/>
        </w:rPr>
        <w:t xml:space="preserve"> In June 2022, the Company entered into a contract to receive a block of electric power at an attractive variable rate, which fluctuates based on the usage by the Company through May 31, 2032. In March 2024, the Company entered into a contract to receive an additional block of electric power under similar terms. In conjunction with these contracts, the Company has a $4.6 million Letter of Credit in place in lieu of a deposit that is cancellable at the end of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Sand commitments.</w:t>
      </w:r>
      <w:r>
        <w:rPr>
          <w:rFonts w:ascii="Times New Roman" w:hAnsi="Times New Roman"/>
          <w:caps w:val="false"/>
          <w:smallCaps w:val="false"/>
          <w:sz w:val="20"/>
        </w:rPr>
        <w:t xml:space="preserve"> The Company was party to an amended agreement whereby it agreed to purchase at least 750,000 tons of sand over a fifteen-month period beginning April 1, 2024. The Company has taken all deliveries required under this contract and there is no further monetary commitment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11. 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Delek accounted for approximately 88% and 76% and Energy Transfer Crude Marketing, LLC (“ETC”) accounted for approximately 9% and 19% of the Company’s revenues during the nine months ended September 30, 2025 and 2024, respectively. Based on the current demand for crude oil and natural gas and the availability of other purchasers, management believes the loss of either of these major purchasers would not have a material adverse effect on our financial condition and results of operations because crude oil and natural gas are fungible products with well-established markets and numerous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12.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Deferred income taxes reflect the net tax effects of temporary differences between the carrying amounts of assets and liabilities for financial reporting purposes and the amounts used for income tax purposes. The Company is subject to corporate income taxes and Texas margin tax. The Company and its subsidiaries file a U.S. federal corporate income tax return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provision for income taxes attributable to (loss) income before income taxes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239" w:type="dxa"/>
        <w:jc w:val="left"/>
        <w:tblInd w:w="0" w:type="dxa"/>
        <w:tblLayout w:type="fixed"/>
        <w:tblCellMar>
          <w:top w:w="0" w:type="dxa"/>
          <w:left w:w="0" w:type="dxa"/>
          <w:bottom w:w="0" w:type="dxa"/>
          <w:right w:w="0" w:type="dxa"/>
        </w:tblCellMar>
      </w:tblPr>
      <w:tblGrid>
        <w:gridCol w:w="3455"/>
        <w:gridCol w:w="60"/>
        <w:gridCol w:w="150"/>
        <w:gridCol w:w="655"/>
        <w:gridCol w:w="96"/>
        <w:gridCol w:w="72"/>
        <w:gridCol w:w="150"/>
        <w:gridCol w:w="709"/>
        <w:gridCol w:w="60"/>
        <w:gridCol w:w="60"/>
        <w:gridCol w:w="136"/>
        <w:gridCol w:w="644"/>
        <w:gridCol w:w="87"/>
        <w:gridCol w:w="65"/>
        <w:gridCol w:w="136"/>
        <w:gridCol w:w="644"/>
        <w:gridCol w:w="6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6"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income tax (benefit) expense: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income tax (benefit) expense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(benefit) expense: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(3,804</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13,030</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29,703</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(benefit) expense</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14,071</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14,035</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reconciliation between the provision for income taxes computed by multiplying pre-tax income by the U.S. federal statutory rate and the reported amounts of provision for income taxes is as follows (in thousands, except rate):</w:t>
      </w:r>
    </w:p>
    <w:p>
      <w:pPr>
        <w:pStyle w:val="TextBody"/>
        <w:bidi w:val="0"/>
        <w:spacing w:before="0" w:after="0"/>
        <w:ind w:left="0" w:right="0" w:hanging="0"/>
        <w:jc w:val="left"/>
        <w:rPr>
          <w:caps w:val="false"/>
          <w:smallCaps w:val="false"/>
        </w:rPr>
      </w:pPr>
      <w:r>
        <w:rPr>
          <w:caps w:val="false"/>
          <w:smallCaps w:val="false"/>
        </w:rPr>
        <w:t> </w:t>
      </w:r>
    </w:p>
    <w:tbl>
      <w:tblPr>
        <w:tblW w:w="8494" w:type="dxa"/>
        <w:jc w:val="left"/>
        <w:tblInd w:w="0" w:type="dxa"/>
        <w:tblLayout w:type="fixed"/>
        <w:tblCellMar>
          <w:top w:w="0" w:type="dxa"/>
          <w:left w:w="0" w:type="dxa"/>
          <w:bottom w:w="0" w:type="dxa"/>
          <w:right w:w="0" w:type="dxa"/>
        </w:tblCellMar>
      </w:tblPr>
      <w:tblGrid>
        <w:gridCol w:w="4460"/>
        <w:gridCol w:w="60"/>
        <w:gridCol w:w="140"/>
        <w:gridCol w:w="613"/>
        <w:gridCol w:w="208"/>
        <w:gridCol w:w="67"/>
        <w:gridCol w:w="140"/>
        <w:gridCol w:w="664"/>
        <w:gridCol w:w="185"/>
        <w:gridCol w:w="60"/>
        <w:gridCol w:w="127"/>
        <w:gridCol w:w="604"/>
        <w:gridCol w:w="189"/>
        <w:gridCol w:w="61"/>
        <w:gridCol w:w="127"/>
        <w:gridCol w:w="604"/>
        <w:gridCol w:w="18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08"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9"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 at U.S. federal statutory rate</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(4,600</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12,224</w:t>
            </w:r>
          </w:p>
        </w:tc>
        <w:tc>
          <w:tcPr>
            <w:tcW w:w="18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24,795</w:t>
            </w:r>
          </w:p>
        </w:tc>
        <w:tc>
          <w:tcPr>
            <w:tcW w:w="18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 tax benefit due to compensation limitations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w:t>
            </w:r>
          </w:p>
        </w:tc>
        <w:tc>
          <w:tcPr>
            <w:tcW w:w="20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w:t>
            </w:r>
          </w:p>
        </w:tc>
        <w:tc>
          <w:tcPr>
            <w:tcW w:w="189"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5,297</w:t>
            </w:r>
          </w:p>
        </w:tc>
        <w:tc>
          <w:tcPr>
            <w:tcW w:w="18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deferred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20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w:t>
            </w:r>
          </w:p>
        </w:tc>
        <w:tc>
          <w:tcPr>
            <w:tcW w:w="18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w:t>
            </w:r>
          </w:p>
        </w:tc>
        <w:tc>
          <w:tcPr>
            <w:tcW w:w="18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20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18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14,035</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income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effective income tax rate differs from the U.S. statutory rate of 21 percent primarily due to certain stock-based compensation which exceeds the federal limits, deferred state income taxes and other permanent differences between GAAP income and taxable income.  The effective tax rates for the three and nine months ended September 30, 2024 were also affected by a $3.0 million adjustment further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tax effects of temporary differences that give rise to significant portions of the deferred tax assets and liabilities were as follows as of September 30, 2025 and December 31, 2024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79"/>
        <w:gridCol w:w="60"/>
        <w:gridCol w:w="154"/>
        <w:gridCol w:w="939"/>
        <w:gridCol w:w="80"/>
        <w:gridCol w:w="60"/>
        <w:gridCol w:w="148"/>
        <w:gridCol w:w="902"/>
        <w:gridCol w:w="83"/>
      </w:tblGrid>
      <w:tr>
        <w:trPr/>
        <w:tc>
          <w:tcPr>
            <w:tcW w:w="7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7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limitations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73,013</w:t>
            </w:r>
          </w:p>
        </w:tc>
        <w:tc>
          <w:tcPr>
            <w:tcW w:w="83" w:type="dxa"/>
            <w:tcBorders/>
            <w:shd w:fill="FFFFFF" w:val="clear"/>
            <w:vAlign w:val="center"/>
          </w:tcPr>
          <w:p>
            <w:pPr>
              <w:pStyle w:val="TableContents"/>
              <w:bidi w:val="0"/>
              <w:spacing w:before="0" w:after="283"/>
              <w:jc w:val="left"/>
              <w:rPr/>
            </w:pPr>
            <w:r>
              <w:rPr/>
              <w:t> </w:t>
            </w:r>
          </w:p>
        </w:tc>
      </w:tr>
      <w:tr>
        <w:trPr/>
        <w:tc>
          <w:tcPr>
            <w:tcW w:w="777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13,089</w:t>
            </w:r>
          </w:p>
        </w:tc>
        <w:tc>
          <w:tcPr>
            <w:tcW w:w="83" w:type="dxa"/>
            <w:tcBorders/>
            <w:shd w:fill="CCEEFF" w:val="clear"/>
            <w:vAlign w:val="center"/>
          </w:tcPr>
          <w:p>
            <w:pPr>
              <w:pStyle w:val="TableContents"/>
              <w:bidi w:val="0"/>
              <w:spacing w:before="0" w:after="283"/>
              <w:jc w:val="left"/>
              <w:rPr/>
            </w:pPr>
            <w:r>
              <w:rPr/>
              <w:t> </w:t>
            </w:r>
          </w:p>
        </w:tc>
      </w:tr>
      <w:tr>
        <w:trPr/>
        <w:tc>
          <w:tcPr>
            <w:tcW w:w="777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w:t>
            </w:r>
          </w:p>
        </w:tc>
        <w:tc>
          <w:tcPr>
            <w:tcW w:w="83" w:type="dxa"/>
            <w:tcBorders/>
            <w:shd w:fill="FFFFFF" w:val="clear"/>
            <w:vAlign w:val="center"/>
          </w:tcPr>
          <w:p>
            <w:pPr>
              <w:pStyle w:val="TableContents"/>
              <w:bidi w:val="0"/>
              <w:spacing w:before="0" w:after="283"/>
              <w:jc w:val="left"/>
              <w:rPr/>
            </w:pPr>
            <w:r>
              <w:rPr/>
              <w:t> </w:t>
            </w:r>
          </w:p>
        </w:tc>
      </w:tr>
      <w:tr>
        <w:trPr/>
        <w:tc>
          <w:tcPr>
            <w:tcW w:w="777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3" w:type="dxa"/>
            <w:tcBorders/>
            <w:shd w:fill="CCEEFF" w:val="clear"/>
            <w:vAlign w:val="center"/>
          </w:tcPr>
          <w:p>
            <w:pPr>
              <w:pStyle w:val="TableContents"/>
              <w:bidi w:val="0"/>
              <w:spacing w:before="0" w:after="283"/>
              <w:jc w:val="left"/>
              <w:rPr/>
            </w:pPr>
            <w:r>
              <w:rPr/>
              <w:t> </w:t>
            </w:r>
          </w:p>
        </w:tc>
      </w:tr>
      <w:tr>
        <w:trPr/>
        <w:tc>
          <w:tcPr>
            <w:tcW w:w="777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Valuation allowance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79"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89,488</w:t>
            </w:r>
          </w:p>
        </w:tc>
        <w:tc>
          <w:tcPr>
            <w:tcW w:w="83" w:type="dxa"/>
            <w:tcBorders/>
            <w:shd w:fill="CCEEFF" w:val="clear"/>
            <w:vAlign w:val="center"/>
          </w:tcPr>
          <w:p>
            <w:pPr>
              <w:pStyle w:val="TableContents"/>
              <w:bidi w:val="0"/>
              <w:spacing w:before="0" w:after="283"/>
              <w:jc w:val="left"/>
              <w:rPr/>
            </w:pPr>
            <w:r>
              <w:rPr/>
              <w:t> </w:t>
            </w:r>
          </w:p>
        </w:tc>
      </w:tr>
      <w:tr>
        <w:trPr/>
        <w:tc>
          <w:tcPr>
            <w:tcW w:w="77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7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properties, principally due to differences in basis and depreciation and the deduction of intangible drilling costs for tax purposes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(360,631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(321,411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7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Unrecognized derivative gains, net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79"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(364,873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(321,886</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79"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(246,469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(232,398</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September 30, 2025 and December 31, 2024,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restricted stock vests. IRC Section 162(m) limits compensation deductions to $1.0 million per year for certain Company executives. This resulted in a $3.0 million reduction in the deferred tax asset and increased the amount of income tax expense realized during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4, 2025, the “One Big Beautiful Bill” (“OBBB”) was enacted. The OBBB is a significant piece of legislation that includes significant changes to federal tax policy, environmental funding, and energy development regulations. Key provisions relevant to the crude oil and natural gas industry include (i) tax policy changes that extend and expand components of the 2017 Tax Cuts and Jobs Act, (ii) the introduction of fee and royalty-related provisions aimed at reducing financial and administrative burdens on domestic energy producers, and (iii) the recission of environmental funding which rescinds unobligated balances from several programs originally authorized under the Inflation Reduction Act of 2022 (“IRA 2022”), including the Greenhouse Gas Reduction Fund and climate justice block grants. The Company is currently evaluating the full impact of the OBBB on the Company’s condensed consolidated balance sheets, condensed consolidated statements of operations and condensed consolidated statements of cash flows in its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also subject to Texas margin tax. The Company realized a benefit of $16,000 and an expense of $519,000 in current Texas margin tax in the accompanying condensed consolidated financial statements for the nine months ended September 30, 2025 and 2024, respectively. In addition, the Company has recognized a net deferred Texas margin tax liability of $9.7 million and $8.6 million as of September 30, 2025 and December 31, 2024, respectively, in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provision for income taxes, the Company recognized and paid an excise tax of 1% on its stock repurchases during the nine months ended September 30, 2025 and the year ended December 31, 2024 of zero and $351,000, respectively, recognized as part of the cost basis of the stock repurchased in the condensed consolidated statements of changes in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 13. (Losses)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the two-class method of calculating (losses) earnings per share because certain of the Company’s stock-based awards qualify as participating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basic (losses) earnings per share attributable to common stockholders is computed as (i) net (loss) income as reported, (ii) less participating basic earnings (iii) divided by weighted average basic common shares outstanding. The Company’s diluted (losses) earnings per share attributable to common stockholders is computed as (i) basic (losses) earnings attributable to common stockholders, (ii) plus reallocation of participating earnings (iii) divided by weighted average diluted common shares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reconciles the Company’s earnings from operations and earnings attributable to common stockholders to the basic and diluted earnings used to determine the Company’s earnings per share amounts for the three and nine months ended September 30, 2025 and 2024 under the two-class method (in thousands):</w:t>
      </w:r>
    </w:p>
    <w:p>
      <w:pPr>
        <w:pStyle w:val="TextBody"/>
        <w:bidi w:val="0"/>
        <w:spacing w:before="0" w:after="0"/>
        <w:ind w:left="0" w:right="0" w:hanging="0"/>
        <w:jc w:val="left"/>
        <w:rPr>
          <w:caps w:val="false"/>
          <w:smallCaps w:val="false"/>
        </w:rPr>
      </w:pPr>
      <w:r>
        <w:rPr>
          <w:caps w:val="false"/>
          <w:smallCaps w:val="false"/>
        </w:rPr>
        <w:t> </w:t>
      </w:r>
    </w:p>
    <w:tbl>
      <w:tblPr>
        <w:tblW w:w="8981" w:type="dxa"/>
        <w:jc w:val="left"/>
        <w:tblInd w:w="0" w:type="dxa"/>
        <w:tblLayout w:type="fixed"/>
        <w:tblCellMar>
          <w:top w:w="0" w:type="dxa"/>
          <w:left w:w="0" w:type="dxa"/>
          <w:bottom w:w="0" w:type="dxa"/>
          <w:right w:w="0" w:type="dxa"/>
        </w:tblCellMar>
      </w:tblPr>
      <w:tblGrid>
        <w:gridCol w:w="5090"/>
        <w:gridCol w:w="60"/>
        <w:gridCol w:w="128"/>
        <w:gridCol w:w="716"/>
        <w:gridCol w:w="82"/>
        <w:gridCol w:w="61"/>
        <w:gridCol w:w="128"/>
        <w:gridCol w:w="716"/>
        <w:gridCol w:w="80"/>
        <w:gridCol w:w="60"/>
        <w:gridCol w:w="125"/>
        <w:gridCol w:w="695"/>
        <w:gridCol w:w="80"/>
        <w:gridCol w:w="60"/>
        <w:gridCol w:w="125"/>
        <w:gridCol w:w="695"/>
        <w:gridCol w:w="8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as reported</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(18,335</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86,088</w:t>
            </w:r>
          </w:p>
        </w:tc>
        <w:tc>
          <w:tcPr>
            <w:tcW w:w="8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Participating basic earnings (a)</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(losses) earnings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(18,866</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77,808</w:t>
            </w:r>
          </w:p>
        </w:tc>
        <w:tc>
          <w:tcPr>
            <w:tcW w:w="8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Reallocation of participating earnings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(loss) income attributable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(18,866</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40,061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124,807</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125,595</w:t>
            </w:r>
          </w:p>
        </w:tc>
        <w:tc>
          <w:tcPr>
            <w:tcW w:w="8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warrants and unvested stock options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w:t>
            </w:r>
          </w:p>
        </w:tc>
        <w:tc>
          <w:tcPr>
            <w:tcW w:w="8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unvested restricted stock</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124,807</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125,587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6"/>
        <w:gridCol w:w="9969"/>
      </w:tblGrid>
      <w:tr>
        <w:trPr/>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6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calculation for weighted average shares reflects shares outstanding over the reporting period based on the actual number of days the shares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NOTE 14.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 Repurchase Program. </w:t>
      </w:r>
      <w:r>
        <w:rPr>
          <w:rFonts w:ascii="Times New Roman" w:hAnsi="Times New Roman"/>
          <w:caps w:val="false"/>
          <w:smallCaps w:val="false"/>
          <w:sz w:val="20"/>
        </w:rPr>
        <w:t>In February 2024, the Company’s board of directors approved a common stock repurchase program to acquire up to $75.0 million of the Company’s outstanding common stock, excluding excise taxes and other expenses, which expires on December 31, 2025.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nine months ended September 30, 2025 and the year ended December 31, 2024, the Company repurchased zero and 2,407,421, respectively, shares of common stock that were cancelled and terminated for a total of approximately zero and $35.1 million, respectively. As of September 30, 2025, up to approximately $39.9 million remained available for use to repurchase shares under the Company’s common stock repurchase program, excluding excise taxes and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Issuance of Common Stock. </w:t>
      </w:r>
      <w:r>
        <w:rPr>
          <w:rFonts w:ascii="Times New Roman" w:hAnsi="Times New Roman"/>
          <w:caps w:val="false"/>
          <w:smallCaps w:val="false"/>
          <w:sz w:val="20"/>
        </w:rPr>
        <w:t>During the nine months ended September 30, 2025 and 2024, the Company issued 60 and 55 shares of HighPeak Energy common stock, respectively, as a result of warrants being exercised. All of the Company’s outstanding warrants expired on August 21,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Dividends and Dividend Equivalents</w:t>
      </w:r>
      <w:r>
        <w:rPr>
          <w:rFonts w:ascii="Times New Roman" w:hAnsi="Times New Roman"/>
          <w:caps w:val="false"/>
          <w:smallCaps w:val="false"/>
          <w:sz w:val="20"/>
        </w:rPr>
        <w:t>. In August 2025, the Board declared a quarterly dividend of $0.04 per share of common stock outstanding which resulted in a total of $5.0 million in dividends being paid in September 2025. In addition, under the terms of the LTIP, the Company paid a dividend equivalent per share to all vested stock option holders of $531,000 in September 2025. In addition, the Company accrued an additional combined $31,000 in dividends on the restricted stock issued to directors, management directors and certain employees that will be payable upon vesting. Also, simultaneously with the aforementioned retirement of our former Chief Executive Officer in September 2025, previously accrued $665,000 in dividends were paid in respect of his restricted stock vesting on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May 2025, the Board declared a quarterly dividend of $0.04 per share of common stock outstanding which resulted in a total of $5.0 million in dividends being paid in June 2025. In addition, under the terms of the LTIP, the Company paid a dividend equivalent per share to all vested stock option holders of $531,000 in June 2025. In addition, the Company accrued an additional combined $84,000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2025, the Board declared a quarterly dividend of $0.04 per share of common stock outstanding which resulted in a total of $5.0 million in dividends being paid in March 2025. In addition, under the terms of the LTIP, the Company paid a dividend equivalent per share to all vested stock option holders of $531,000 in March 2025. In addition, the Company accrued an additional combined $86,000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2024, the Board declared a quarterly dividend of $0.04 per share of common stock outstanding which resulted in a total of $5.0 million in dividends being paid in September 2024. In addition, under the terms of the LTIP, the Company paid a dividend equivalent per share to all vested stock option holders of $534,000 in September 2024 and accrued a dividend equivalent per share to all unvested stock option holders which will be payable upon vesting, assuming no forfeitures. In addition, the Company accrued an additional combined $86,000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May 2024, the Board declared a quarterly dividend of $0.04 per share of common stock outstanding which resulted in a total of $5.0 million in dividends being paid in June 2024. In addition, under the terms of the LTIP, the Company paid a dividend equivalent per share to all vested stock option holders of $538,000 in June 2024. In addition, the Company accrued an additional combined $84,000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2024, the Board declared a quarterly dividend of $0.04 per share of common stock outstanding which resulted in a total of $5.1 million in dividends being paid in March 2024. In addition, under the terms of the LTIP, the Company paid a dividend equivalent per share to all vested stock option holders of $530,000 in March 2024. In addition, the Company accrued an additional combined $86,000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Outstanding securities. </w:t>
      </w:r>
      <w:r>
        <w:rPr>
          <w:rFonts w:ascii="Times New Roman" w:hAnsi="Times New Roman"/>
          <w:caps w:val="false"/>
          <w:smallCaps w:val="false"/>
          <w:sz w:val="20"/>
        </w:rPr>
        <w:t>As of September 30, 2025 and December 31, 2024, the Company had 125,587,093 and 126,067,436 shares of common stock outstanding, respectively, and zero and 7,934,922 warrants outstanding, respectively, with an exercise price of $11.50 per share. All of the Company’s outstanding warrants expired on August 21,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15.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Dividends and dividend equivalents. </w:t>
      </w:r>
      <w:r>
        <w:rPr>
          <w:rFonts w:ascii="Times New Roman" w:hAnsi="Times New Roman"/>
          <w:caps w:val="false"/>
          <w:smallCaps w:val="false"/>
          <w:sz w:val="20"/>
        </w:rPr>
        <w:t>In November 2025, the Board approved a quarterly dividend of $0.04 per share of common stock outstanding which will result in a total of approximately $5.0 million in dividends to be paid in December 2025. In addition, under the terms of the LTIP, the Company will pay a dividend equivalent per share to all vested stock option holders of approximately $502,000 in December 2025. In addition, the Company will accrue an additional combined $31,000 in dividends on the restricted stock issued to directors, management directors and certain employees that will be payable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2. MANAGEMENT</w:t>
      </w:r>
      <w:r>
        <w:rPr>
          <w:rFonts w:ascii="Times New Roman" w:hAnsi="Times New Roman"/>
          <w:caps w:val="false"/>
          <w:smallCaps w:val="false"/>
          <w:sz w:val="20"/>
          <w:u w:val="single"/>
        </w:rPr>
        <w:t>’</w:t>
      </w:r>
      <w:r>
        <w:rPr>
          <w:rFonts w:ascii="Times New Roman" w:hAnsi="Times New Roman"/>
          <w:b/>
          <w:caps w:val="false"/>
          <w:smallCaps w:val="false"/>
          <w:sz w:val="20"/>
          <w:u w:val="single"/>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u w:val="single"/>
        </w:rPr>
        <w:t xml:space="preserve">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 </w:t>
      </w:r>
      <w:r>
        <w:rPr>
          <w:rFonts w:ascii="Times New Roman" w:hAnsi="Times New Roman"/>
          <w:caps w:val="false"/>
          <w:smallCaps w:val="false"/>
          <w:sz w:val="20"/>
        </w:rPr>
        <w:t>“</w:t>
      </w:r>
      <w:r>
        <w:rPr>
          <w:rFonts w:ascii="Times New Roman" w:hAnsi="Times New Roman"/>
          <w:i/>
          <w:caps w:val="false"/>
          <w:smallCaps w:val="false"/>
          <w:sz w:val="20"/>
          <w:u w:val="single"/>
        </w:rPr>
        <w:t>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i/>
          <w:caps w:val="false"/>
          <w:smallCaps w:val="false"/>
          <w:sz w:val="20"/>
          <w:u w:val="single"/>
        </w:rPr>
        <w:t>reflecting our current expectations, estimates and assumptions concerning events and financial trends that may affect our future operating results or financial position. These forward-looking statements involve risks and uncertainties and actual results and the timing of events may differ materially from those contained in these forward</w:t>
      </w:r>
      <w:r>
        <w:rPr>
          <w:rFonts w:ascii="Times New Roman" w:hAnsi="Times New Roman"/>
          <w:caps w:val="false"/>
          <w:smallCaps w:val="false"/>
          <w:sz w:val="20"/>
        </w:rPr>
        <w:noBreakHyphen/>
      </w:r>
      <w:r>
        <w:rPr>
          <w:rFonts w:ascii="Times New Roman" w:hAnsi="Times New Roman"/>
          <w:i/>
          <w:caps w:val="false"/>
          <w:smallCaps w:val="false"/>
          <w:sz w:val="20"/>
          <w:u w:val="single"/>
        </w:rPr>
        <w:t xml:space="preserve">looking statements due to a number of factors. Factors that could cause or contribute to such differences include, but are not limited to, market prices for crude oil, NGL and natural gas, capital expenditures, economic and competitive conditions, regulatory changes and other uncertainties. Please read </w:t>
      </w:r>
      <w:r>
        <w:rPr>
          <w:rFonts w:ascii="Times New Roman" w:hAnsi="Times New Roman"/>
          <w:caps w:val="false"/>
          <w:smallCaps w:val="false"/>
          <w:sz w:val="20"/>
        </w:rPr>
        <w:t>“</w:t>
      </w:r>
      <w:r>
        <w:rPr>
          <w:rFonts w:ascii="Times New Roman" w:hAnsi="Times New Roman"/>
          <w:i/>
          <w:caps w:val="false"/>
          <w:smallCaps w:val="false"/>
          <w:sz w:val="20"/>
          <w:u w:val="single"/>
        </w:rPr>
        <w:t>Cautionary Statement</w:t>
      </w:r>
      <w:r>
        <w:rPr>
          <w:rFonts w:ascii="Times New Roman" w:hAnsi="Times New Roman"/>
          <w:caps w:val="false"/>
          <w:smallCaps w:val="false"/>
          <w:sz w:val="20"/>
        </w:rPr>
        <w:t> </w:t>
      </w:r>
      <w:r>
        <w:rPr>
          <w:rFonts w:ascii="Times New Roman" w:hAnsi="Times New Roman"/>
          <w:i/>
          <w:caps w:val="false"/>
          <w:smallCaps w:val="false"/>
          <w:sz w:val="20"/>
          <w:u w:val="single"/>
        </w:rPr>
        <w:t>Concerning 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i/>
          <w:caps w:val="false"/>
          <w:smallCaps w:val="false"/>
          <w:sz w:val="20"/>
          <w:u w:val="single"/>
        </w:rPr>
        <w:t>We assume no obligation to update any of these forward</w:t>
      </w:r>
      <w:r>
        <w:rPr>
          <w:rFonts w:ascii="Times New Roman" w:hAnsi="Times New Roman"/>
          <w:caps w:val="false"/>
          <w:smallCaps w:val="false"/>
          <w:sz w:val="20"/>
        </w:rPr>
        <w:noBreakHyphen/>
      </w:r>
      <w:r>
        <w:rPr>
          <w:rFonts w:ascii="Times New Roman" w:hAnsi="Times New Roman"/>
          <w:i/>
          <w:caps w:val="false"/>
          <w:smallCaps w:val="false"/>
          <w:sz w:val="20"/>
          <w:u w:val="single"/>
        </w:rPr>
        <w:t>looking statements,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 Inc., a Delaware corporation,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September 30, 2025, the assets consisted of two highly contiguous leasehold positions of approximately 154,650 gross (143,496 net) acres, approximately 70% of which were held by production, with an average working interest of 93%. Our acreage is composed of two core areas, Flat Top primarily in the northern portion of Howard County extending into southern Borden County, southwest Scurry County and northwest Mitchell County and Signal Peak in the southern portion of Howard County. We operate approximately 98% of the net acreage across the Company’s assets and more than 90% of the net operated acreage provides for horizontal wells with lateral lengths of 10,000 feet or greater. For the nine months ended September 30, 2025, approximately 85% and 15% of sales volumes from the assets were attributable to liquids (both crude oil and NGL) and natural gas, respectively. As of September 30, 2025, HighPeak Energy was developing its properties using one (1) drilling rig and one (1) frac crew and expects to average one to two (1-2) drilling rigs and approximately one (1) frac crew during the remainder of 2025 under our current development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Recent managements changes. </w:t>
      </w:r>
      <w:r>
        <w:rPr>
          <w:rFonts w:ascii="Times New Roman" w:hAnsi="Times New Roman"/>
          <w:caps w:val="false"/>
          <w:smallCaps w:val="false"/>
          <w:sz w:val="20"/>
        </w:rPr>
        <w:t>In September 2025, Mr. Jack Hightower, the Company’s Chief Executive Officer and Chairman of the board retired and resigned from the board of directors, and our President, Mr. Michael Hollis, was named Interim Chief Executive Officer.  Subsequent to quarter end on November 4, 2025, the board named Mr. Hollis,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Concurrent with these changes, Mr. Jack Hightower also retired from managing HighPeak Energy Partners, LP and HighPeak Energy Partners II, LP (collectively, the “HighPeak Funds”), which collectively own approximately 64.7% of the shares of common stock of the Company. In connection with Mr. Jack Hightower’s retirement, HighPeak Pure Acquisition, LLC (“Pure”), a wholly owned subsidiary of HighPeak Energy Partners, LP will distribute 1,532,478 shares of common stock in full and complete redemption of Mr. Jack Hightower’s interest in Pure. Following Mr. Jack Hightower’s retirement, the HighPeak Funds are managed by a committee comprised of Mr. Hollis, Daniel Silver and Ryan Hightower, each of whom also serve as President and Chief Executive Officer, Executive Vice President and Executive Vice President of the Company, respectively. In addition, pursuant to the Stockholder’s Agreement, dated August 21, 2020, the HighPeak Funds have designated Mr. Silver to serve as their board appointee under the Stockholder’s Agreement, and Mr. Silver was appointed to serve as a director of the Board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Debt amendments. </w:t>
      </w:r>
      <w:r>
        <w:rPr>
          <w:rFonts w:ascii="Times New Roman" w:hAnsi="Times New Roman"/>
          <w:caps w:val="false"/>
          <w:smallCaps w:val="false"/>
          <w:sz w:val="20"/>
        </w:rPr>
        <w:t>In August 2025, the Company entered into the First Term Loan Amendment and the Second Facility Amendment which amended the Term Loan Credit Agreement and the Senior Credit Facility Agreement whereby, among other things, (i) the maturity dates were extended two years to September 2028, (ii) Term Loan Credit Agreement was upsized to $1.2 billion, providing additional liquidity, and (iii) the Term Loan Credit Agreement quarterly amortization payments of $30.0 million were deferred for one year such that they begin again in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Dividends and dividend equivalents. </w:t>
      </w:r>
      <w:r>
        <w:rPr>
          <w:rFonts w:ascii="Times New Roman" w:hAnsi="Times New Roman"/>
          <w:caps w:val="false"/>
          <w:smallCaps w:val="false"/>
          <w:sz w:val="20"/>
        </w:rPr>
        <w:t>In August 2025, the Board declared a quarterly dividend of $0.04 per share of common stock outstanding which resulted in a total of $5.0 million in dividends being paid in September 2025. In addition, under the terms of the LTIP, the Company paid a dividend equivalent per share to all vested stock option holders of $531,000 in September 2025. In addition, the Company accrued an additional combined $31,000 in September 2025 in dividends on the restricted stock issued to directors, management directors and certain employees that will be payable upon vesting. In addition, in November 2025, the Company’s Board of Directors declared a quarterly dividend of $0.04 per share, or approximately $5.0 million in dividends, to be paid on December 23, 2025, to stockholders of record on December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Acquisitions and divestitures. </w:t>
      </w:r>
      <w:r>
        <w:rPr>
          <w:rFonts w:ascii="Times New Roman" w:hAnsi="Times New Roman"/>
          <w:caps w:val="false"/>
          <w:smallCaps w:val="false"/>
          <w:sz w:val="20"/>
        </w:rPr>
        <w:t>During the nine months ended September 30, 2025, the Company incurred a total of $4.5 million in acquisition costs related to lease extensions and to acquire crude oil and natural gas leases covering additional contiguous bolt-on undeveloped acreage contiguous to its Flat Top and Signal Peak operating areas. In addition, during the nine months ended September 30, 2025, the Company received $570,000 in proceeds from the sale of some non-core non-operated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Crude Oil and Natural Gas Industry Considerations. </w:t>
      </w:r>
      <w:r>
        <w:rPr>
          <w:rFonts w:ascii="Times New Roman" w:hAnsi="Times New Roman"/>
          <w:caps w:val="false"/>
          <w:smallCaps w:val="false"/>
          <w:sz w:val="20"/>
        </w:rPr>
        <w:t>Our operating results, and those of the crude oil and natural gas industry as a whole, are heavily influenced by commodity prices. Crude oil, NGL and natural gas prices and basis differentials may fluctuate significantly as a result of numerous market-related variables. These and other factors make it impossible to predict realized prices reliably. We may respond to economic conditions by adjusting the amount and allocation of our capital program while continuing to identify efficiencies and cost savings. Volatility in crude oil prices may materially affect the quantities of crude oil, NGL and natural gas reserves we can economically produce over the longer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early 2025, OPEC and its non-OPEC allies, known collectively as OPEC+, began unwinding prior voluntary production cuts and subsequent to quarter end announced that they agreed to increase oil production by another 548,000 bopd starting in September 2025, completing the reversal of its prior 2.2 million bopd cutback from 2023. This substantial supply boost contributed to a decline in global crude oil prices during the nine months ended September 30, 2025. OPEC+ also emphasized that the production increases could be paused or reversed depending on how market conditions evolve, maintaining flexibility to support price stability. Concurrently, in March 2025, the U.S. imposed tariffs on energy imports from Canada and Mexico, set at 10% and 25%, respectively, and expanded tariffs to include all steel and aluminum imports, aiming to bolster domestic production. In addition, in early April 2025, the current administration began announcing a substantial number of trade tariffs, including a new universal baseline reciprocal tariff, plus an additional country-specific reciprocal tariff for select trading partners, on all U.S. imports, although imports of crude oil, natural gas and refined products received exemptions from the tariffs. On April 10, 2025, the administration paused the additional country-specific tariffs for 90 days, until July 8, 2025, with the exception of the reciprocal tariff applied to China, which the administration increased. The pause was extended to August 1, 2025 based on ongoing negotiations with several trading partners to address U.S. concerns about non-reciprocal trade practices. Furthermore, on July 8, 2025, the United States announced additional sector-specific tariffs, including on copper imports. Concerns that the measures could cause inflation, slow economic growth and intensify trade disputes have also placed further downward pressure on oil prices. With negotiations and countermeasures still ongoing, the situation is fluid, and we expect price volatility to continue. Collectively, these policy changes—OPEC+'s production increase and the U.S. tariffs—are introducing significant volatility to the crude oil and natural gas sector. In addition, tariffs have the potential to significantly increase our operating and capital costs, which could negatively impact our ability to carry out our planned drilling program and future growth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since being sworn into office, President Trump has issued numerous Executive Orders that aim to increase crude oil production and decrease commodity prices. For example, President Trump declared a “national energy emergency” in January 2025, and gave the executive branch more power to expedite approvals for energy resource infrastructure (including crude oil and natural gas). Additionally, President Trump’s “Unleashing American Energy” Executive Order incorporated numerous provisions aimed at unburdening and removing impediments to the development of various domestic energy resources, such as crude oil and natural gas. More recently, in March 2025, President Trump signed an Executive Order that, among other matters, directed the U.S. Attorney General to investigate certain state laws that may adversely impact the development of energy resources, including state laws relating to climate change, environmental, social and governance initiatives, and funds collecting carbon penalties and/or taxes. We cannot predict what impact these Executive Orders or others may ultimately have on commodity prices or our operations. These and other factors make it difficult to predict realized prices reliably. We may respond to economic conditions by adjusting the amount and allocation of our capital program while continuing to identify efficiencies and cost savings and maintain our hedging program. Volatility in crude oil prices may materially affect the quantities of crude oil, NGL and natural gas reserves we can economically produce over the longer term. Refer to Prices and Realizations below for information on our realized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The ongoing war between Russia and Ukraine and conflicts in the Middle East have resulted in global supply chain disruptions, which has led to significant cost inflation. Such impacts may also be exacerbated by recent conflicts in the Middle East as well as the tariffs and proposed tariffs by the current administration. Specifically, the Company’s 2023, 2024 and 2025 capital program has been and continues to be impacted by higher prices for steel, diesel, chemicals and services, among 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Global crude oil price levels and inflationary pressures will ultimately depend on various factors that are beyond the Company’s control, such as (i) general economic conditions and increasing expectations that the world may be heading into a global recession, (ii) the ability of OPEC+ and other crude oil producing nations to manage the global crude oil supply, (iii) the impact of sanctions and import bans on production from Russia and any resulting impact on production from conflicts in the Middle East, (iv) the timing and supply impact of any Iranian or Venezuelan sanction relief on their ability to export crude oil, (v) the global supply chain constraints associated with manufacturing and distribution delays, (vi) oilfield service demand and cost inflation, and (vii) political stability of crude oil consuming countries. The Company continues to assess and monitor the impact of these factors and consequences on the Company and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2021 through September 30, 2025, the calendar month average NYMEX WTI crude oil price per Bbl ranged from a low of $52.10 to a high of $114.34, and the last trading day NYMEX natural gas price per MMBtu ranged from a low of $1.58 to a high of $9.35.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markets for the commodities produced by our industry strengthened in 2021 continuing into 2023. However, they began declining in 2024 and have continued in the first nine months of 2025 due to concerns over trade wars and energy tariffs, among other factors, and has decreased from 2022 levels overall, as a result of increased supply outpacing increased demand for each of the commodities we produce. Although prices for the commodities produced by our industry improved from historic lows in 2020, there are many factors beyond the Company’s control, including commodity markets, unavailability or high cost of drilling rigs, equipment, supplies, personnel, frac crews and oilfield services or supply constraints remain subject to heightened levels of uncertainty as a result of commodity-specific tariffs and the possibility of trade wars, the ongoing war between Russia and Ukraine and conflicts in the Middle East, elevated interest rates and associated policies of the Federal Reserve, which could adversely affect HighPeak Energy. For additional information on the risks, see “Part I. Item 1A. Risk Factors” in the Company’s Annual Report on Form 10-K for the year ended December 31, 2024, filed with the SEC on March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Given the dynamic nature of this situation, the Company is maintaining flexibility in its capital plan as indicated by its plan to average a one to two (1-2) drilling rig program for the remainder of 2025.  The Company will continue to evaluate drilling and completion activity on an economic basis, with future activity levels assessed monthly.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Strategic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January 23, 2023, the Company announced the intention of its Board to initiate a process to evaluate certain strategic alternatives to maximize shareholder value, including a potential sale of the Company. Texas Capital Securities has been retained as a financial advisor with respect to this strategic alternatives process.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and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financial and operating performance for the three months ended September 30, 2025 included the highlights described below and comparative discussion of related drivers for the three months ended September 30,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was $18.3 million ($(0.15) per diluted share) for the three months ended September 30, 2025 compared with net income of $49.9 million for three months ended September 30, 2024. The primary components of the $68.3 million decrease in net income include: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$82.7 million decrease in crude oil, NGL and natural gas revenues due to a 25% decrease in average realized commodity prices per Boe, excluding the effects of derivatives, coupled with a 7% decrease in daily sales volumes resulting primarily from a decrease in crude oil sales as a result of decreased activity and natural decline partially offset by increased NGL and natural gas sales volumes due to third party midstream expansions and debottlenecking;</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$25.4 million loss on extinguishment of debt recognized in the current year period related to the amendment to our Term Loan Credit Agreement in August 2025;</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$25.4 million decrease in the Company’s derivative instruments gain as a result of its crude oil and natural gas commodity contracts entered into and the change in crude oil and natural gas prices thereafter;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$4.4 million increase in the Company’s general and administrative expenses primarily attributable to legal and severance costs related to the retirement of the Company’s Chief Executive Officer in September 2025 and higher wages and benefits as well as an increase in professional fees, all primarily as a result of the growth of the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$1.9 million increase in the Company’s exploration and abandonment expenses due to increased plugging and abandonment expenses and abandoned leasehold costs; and</w:t>
            </w:r>
          </w:p>
        </w:tc>
      </w:tr>
    </w:tbl>
    <w:p>
      <w:pPr>
        <w:pStyle w:val="TextBody"/>
        <w:bidi w:val="0"/>
        <w:spacing w:before="0" w:after="0"/>
        <w:ind w:left="0" w:right="0" w:hanging="0"/>
        <w:jc w:val="left"/>
        <w:rPr/>
      </w:pPr>
      <w:r>
        <w:rPr/>
        <w:t> </w:t>
      </w:r>
    </w:p>
    <w:tbl>
      <w:tblPr>
        <w:tblW w:w="8470" w:type="dxa"/>
        <w:jc w:val="left"/>
        <w:tblInd w:w="0" w:type="dxa"/>
        <w:tblLayout w:type="fixed"/>
        <w:tblCellMar>
          <w:top w:w="0" w:type="dxa"/>
          <w:left w:w="0" w:type="dxa"/>
          <w:bottom w:w="0" w:type="dxa"/>
          <w:right w:w="0" w:type="dxa"/>
        </w:tblCellMar>
      </w:tblPr>
      <w:tblGrid>
        <w:gridCol w:w="60"/>
        <w:gridCol w:w="110"/>
        <w:gridCol w:w="83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$1.0 million decrease in the Company’s interest income due to the decrease in average cash on hand,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partially offset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$35.9 million decrease in DD&amp;A expense primarily due to a 21% decrease in the DD&amp;A rate from $28.91 to $22.87 per Boe as a result of a significant increase in proved reserves at the end of 2024 and a 7% decrease in daily sales volumes resulting primarily from a decrease in crude oil sales as a result of decreased activity and natural decline partially offset by increased NGL and natural gas sales volumes due to third party midstream expansions and debottlenecking;</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$19.0 million decrease in the Company’s income tax expense primarily due to a decrease in income before income taxes and a correction in the prior year period related to the reversal of a deferred tax asset related to stock-based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$5.4 million decrease in the Company’s interest expense primarily as a result of a decrease in the principal balance due to quarterly amortization payments, lower discount and debt issuance costs amortization and lower interest rates experienced;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$5.4 million decrease in the Company’s production and ad valorem tax expense as a result of a decrease in the revenues of the Company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$3.6 million decrease in the Company’s stock-based compensation expense primarily due to the majority of stock-based compensation instruments reaching fully vested status and thus having no further stock-based compensation expense to be recognized;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$2.1 million decrease in the Company’s crude oil and natural gas production costs primarily as a result of decreased chemical and treating costs related to third party midstream expansions and debottlenecking partially offset by increased expense workover costs with increased well cleanouts and pump changes with our aging well population;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$1.2 million decrease in the Company’s other expense primarily as a result of some production facility repairs recognized in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During the three months ended September 30, 2025, average daily sales volumes totaled 47,839 Boepd, compared with 51,346 Boepd during the same period in 2024, a decrease of 7%, primarily due to lower crude oil volumes as a result of decreased activity and natural decline partially offset by increased NGL and natural gas sales volumes due to third party midstream expansions and debottlenecking.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realized crude oil prices per Bbl, excluding the effects of derivatives, decreased during the three months ended September 30, 2025 to $65.63, compared with $75.99 for the same period in 2024. Weighted average NGL prices per Bbl decreased during the three months ended September 30, 2025 to $17.40, compared with $21.14 for the same period in 2024. Weighted average natural gas prices per Mcf increased to $1.07 during the three months ended September 30, 2025, compared with $0.42 during the same period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provided by operating activities totaled $120.2 million for the three months ended September 30, 2025, compared with $177.1 million for the three months ended September 30,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Crude oil derivative financial instrument exposure. </w:t>
      </w:r>
      <w:r>
        <w:rPr>
          <w:rFonts w:ascii="Times New Roman" w:hAnsi="Times New Roman"/>
          <w:caps w:val="false"/>
          <w:smallCaps w:val="false"/>
          <w:sz w:val="20"/>
        </w:rPr>
        <w:t>As of September 30, 2025, the Company was party to the following open crude oil derivative financial instruments.</w:t>
      </w:r>
    </w:p>
    <w:p>
      <w:pPr>
        <w:pStyle w:val="TextBody"/>
        <w:bidi w:val="0"/>
        <w:spacing w:before="0" w:after="0"/>
        <w:ind w:left="0" w:right="0" w:hanging="0"/>
        <w:jc w:val="left"/>
        <w:rPr>
          <w:caps w:val="false"/>
          <w:smallCaps w:val="false"/>
        </w:rPr>
      </w:pPr>
      <w:r>
        <w:rPr>
          <w:caps w:val="false"/>
          <w:smallCaps w:val="false"/>
        </w:rPr>
        <w:t> </w:t>
      </w:r>
    </w:p>
    <w:tbl>
      <w:tblPr>
        <w:tblW w:w="9517" w:type="dxa"/>
        <w:jc w:val="left"/>
        <w:tblInd w:w="0" w:type="dxa"/>
        <w:tblLayout w:type="fixed"/>
        <w:tblCellMar>
          <w:top w:w="0" w:type="dxa"/>
          <w:left w:w="0" w:type="dxa"/>
          <w:bottom w:w="28" w:type="dxa"/>
          <w:right w:w="0" w:type="dxa"/>
        </w:tblCellMar>
      </w:tblPr>
      <w:tblGrid>
        <w:gridCol w:w="965"/>
        <w:gridCol w:w="60"/>
        <w:gridCol w:w="905"/>
        <w:gridCol w:w="60"/>
        <w:gridCol w:w="1250"/>
        <w:gridCol w:w="60"/>
        <w:gridCol w:w="60"/>
        <w:gridCol w:w="590"/>
        <w:gridCol w:w="60"/>
        <w:gridCol w:w="1640"/>
        <w:gridCol w:w="60"/>
        <w:gridCol w:w="206"/>
        <w:gridCol w:w="803"/>
        <w:gridCol w:w="60"/>
        <w:gridCol w:w="60"/>
        <w:gridCol w:w="233"/>
        <w:gridCol w:w="911"/>
        <w:gridCol w:w="60"/>
        <w:gridCol w:w="60"/>
        <w:gridCol w:w="273"/>
        <w:gridCol w:w="1066"/>
        <w:gridCol w:w="75"/>
      </w:tblGrid>
      <w:tr>
        <w:trPr/>
        <w:tc>
          <w:tcPr>
            <w:tcW w:w="9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Day</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Swap Price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Costless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Collar Floor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Costless Collar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Ceiling Price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Bbl</w:t>
            </w:r>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9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Crude Oil:</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6" w:type="dxa"/>
            <w:tcBorders/>
            <w:tcMar>
              <w:bottom w:w="0" w:type="dxa"/>
            </w:tcMar>
            <w:vAlign w:val="center"/>
          </w:tcPr>
          <w:p>
            <w:pPr>
              <w:pStyle w:val="TableContents"/>
              <w:bidi w:val="0"/>
              <w:spacing w:before="0" w:after="283"/>
              <w:jc w:val="left"/>
              <w:rPr/>
            </w:pPr>
            <w:r>
              <w:rPr/>
              <w:t> </w:t>
            </w:r>
          </w:p>
        </w:tc>
        <w:tc>
          <w:tcPr>
            <w:tcW w:w="80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 w:type="dxa"/>
            <w:tcBorders/>
            <w:tcMar>
              <w:bottom w:w="0" w:type="dxa"/>
            </w:tcMar>
            <w:vAlign w:val="center"/>
          </w:tcPr>
          <w:p>
            <w:pPr>
              <w:pStyle w:val="TableContents"/>
              <w:bidi w:val="0"/>
              <w:spacing w:before="0" w:after="283"/>
              <w:jc w:val="left"/>
              <w:rPr/>
            </w:pPr>
            <w:r>
              <w:rPr/>
              <w:t> </w:t>
            </w:r>
          </w:p>
        </w:tc>
        <w:tc>
          <w:tcPr>
            <w:tcW w:w="91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3" w:type="dxa"/>
            <w:tcBorders/>
            <w:tcMar>
              <w:bottom w:w="0" w:type="dxa"/>
            </w:tcMar>
            <w:vAlign w:val="center"/>
          </w:tcPr>
          <w:p>
            <w:pPr>
              <w:pStyle w:val="TableContents"/>
              <w:bidi w:val="0"/>
              <w:spacing w:before="0" w:after="283"/>
              <w:jc w:val="left"/>
              <w:rPr/>
            </w:pPr>
            <w:r>
              <w:rPr/>
              <w:t> </w:t>
            </w:r>
          </w:p>
        </w:tc>
        <w:tc>
          <w:tcPr>
            <w:tcW w:w="1066"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tcMar>
              <w:bottom w:w="0" w:type="dxa"/>
            </w:tcMar>
            <w:vAlign w:val="center"/>
          </w:tcPr>
          <w:p>
            <w:pPr>
              <w:pStyle w:val="TableContents"/>
              <w:bidi w:val="0"/>
              <w:spacing w:before="0" w:after="283"/>
              <w:ind w:left="0" w:right="0" w:hanging="0"/>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69.65</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69.92</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66.82</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59.83</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66.84</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65.31</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FFFFFF" w:val="clear"/>
            <w:tcMar>
              <w:bottom w:w="0" w:type="dxa"/>
            </w:tcMar>
            <w:vAlign w:val="center"/>
          </w:tcPr>
          <w:p>
            <w:pPr>
              <w:pStyle w:val="TableContents"/>
              <w:bidi w:val="0"/>
              <w:spacing w:before="0" w:after="283"/>
              <w:ind w:left="0" w:right="0" w:hanging="0"/>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0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8,900</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3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59.78</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65.24</w:t>
            </w:r>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Natural gas derivative financial instrument exposure. </w:t>
      </w:r>
      <w:r>
        <w:rPr>
          <w:rFonts w:ascii="Times New Roman" w:hAnsi="Times New Roman"/>
          <w:caps w:val="false"/>
          <w:smallCaps w:val="false"/>
          <w:sz w:val="20"/>
        </w:rPr>
        <w:t>As of September 30, 2025, the Company was party to the following open natural gas derivative financial instruments.</w:t>
      </w:r>
    </w:p>
    <w:p>
      <w:pPr>
        <w:pStyle w:val="TextBody"/>
        <w:bidi w:val="0"/>
        <w:spacing w:before="0" w:after="0"/>
        <w:ind w:left="0" w:right="0" w:hanging="0"/>
        <w:jc w:val="left"/>
        <w:rPr>
          <w:caps w:val="false"/>
          <w:smallCaps w:val="false"/>
        </w:rPr>
      </w:pPr>
      <w:r>
        <w:rPr>
          <w:caps w:val="false"/>
          <w:smallCaps w:val="false"/>
        </w:rPr>
        <w:t> </w:t>
      </w:r>
    </w:p>
    <w:tbl>
      <w:tblPr>
        <w:tblW w:w="5653" w:type="dxa"/>
        <w:jc w:val="left"/>
        <w:tblInd w:w="0" w:type="dxa"/>
        <w:tblLayout w:type="fixed"/>
        <w:tblCellMar>
          <w:top w:w="0" w:type="dxa"/>
          <w:left w:w="0" w:type="dxa"/>
          <w:bottom w:w="28" w:type="dxa"/>
          <w:right w:w="0" w:type="dxa"/>
        </w:tblCellMar>
      </w:tblPr>
      <w:tblGrid>
        <w:gridCol w:w="1505"/>
        <w:gridCol w:w="60"/>
        <w:gridCol w:w="950"/>
        <w:gridCol w:w="60"/>
        <w:gridCol w:w="770"/>
        <w:gridCol w:w="60"/>
        <w:gridCol w:w="66"/>
        <w:gridCol w:w="658"/>
        <w:gridCol w:w="60"/>
        <w:gridCol w:w="500"/>
        <w:gridCol w:w="60"/>
        <w:gridCol w:w="208"/>
        <w:gridCol w:w="636"/>
        <w:gridCol w:w="60"/>
      </w:tblGrid>
      <w:tr>
        <w:trPr/>
        <w:tc>
          <w:tcPr>
            <w:tcW w:w="15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 Month</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7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MMBtu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Day</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Index</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MMBtu</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50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Natural Gas:</w:t>
            </w:r>
          </w:p>
        </w:tc>
        <w:tc>
          <w:tcPr>
            <w:tcW w:w="6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pPr>
            <w:r>
              <w:rPr/>
              <w:t> </w:t>
            </w:r>
          </w:p>
        </w:tc>
        <w:tc>
          <w:tcPr>
            <w:tcW w:w="63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ind w:left="0" w:right="0" w:hanging="0"/>
              <w:jc w:val="left"/>
              <w:rPr/>
            </w:pPr>
            <w:r>
              <w:rPr/>
              <w:t> </w:t>
            </w:r>
          </w:p>
        </w:tc>
        <w:tc>
          <w:tcPr>
            <w:tcW w:w="6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ind w:left="0" w:right="0" w:hanging="0"/>
              <w:jc w:val="left"/>
              <w:rPr/>
            </w:pPr>
            <w:r>
              <w:rPr/>
              <w:t> </w:t>
            </w:r>
          </w:p>
        </w:tc>
        <w:tc>
          <w:tcPr>
            <w:tcW w:w="6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estimated fair value of the outstanding open derivative financial instruments as of September 30, 2025 was a net asset of $19.6 million which is included in current and noncurrent assets and noncurrent liabilities on the Company’s consolidated balance sheet as of September 30, 2025. During the nine months ended September 30, 2025, the Company recognized a net derivative gain of $25.4 million, including a $17.4 million mark-to-market gain and $8.0 million in net monthly settlement receipts.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Operations and Drilling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Average daily crude oil, NGL and natural gas sales volumes are as follows:</w:t>
      </w:r>
    </w:p>
    <w:p>
      <w:pPr>
        <w:pStyle w:val="TextBody"/>
        <w:bidi w:val="0"/>
        <w:spacing w:before="0" w:after="0"/>
        <w:ind w:left="0" w:right="0" w:hanging="0"/>
        <w:jc w:val="left"/>
        <w:rPr>
          <w:caps w:val="false"/>
          <w:smallCaps w:val="false"/>
        </w:rPr>
      </w:pPr>
      <w:r>
        <w:rPr>
          <w:caps w:val="false"/>
          <w:smallCaps w:val="false"/>
        </w:rPr>
        <w:t> </w:t>
      </w:r>
    </w:p>
    <w:tbl>
      <w:tblPr>
        <w:tblW w:w="2799" w:type="dxa"/>
        <w:jc w:val="left"/>
        <w:tblInd w:w="0" w:type="dxa"/>
        <w:tblLayout w:type="fixed"/>
        <w:tblCellMar>
          <w:top w:w="0" w:type="dxa"/>
          <w:left w:w="0" w:type="dxa"/>
          <w:bottom w:w="0" w:type="dxa"/>
          <w:right w:w="0" w:type="dxa"/>
        </w:tblCellMar>
      </w:tblPr>
      <w:tblGrid>
        <w:gridCol w:w="1460"/>
        <w:gridCol w:w="60"/>
        <w:gridCol w:w="111"/>
        <w:gridCol w:w="1108"/>
        <w:gridCol w:w="6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(Bbls)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34,552</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(Bbls)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7,824</w:t>
            </w:r>
          </w:p>
        </w:tc>
        <w:tc>
          <w:tcPr>
            <w:tcW w:w="60"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(Mcf)</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44,862</w:t>
            </w:r>
          </w:p>
        </w:tc>
        <w:tc>
          <w:tcPr>
            <w:tcW w:w="60"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(Boe)</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49,853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liquids production was 85% of total production on a Boe basis for the nine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Costs incurred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344" w:type="dxa"/>
        <w:jc w:val="left"/>
        <w:tblInd w:w="0" w:type="dxa"/>
        <w:tblLayout w:type="fixed"/>
        <w:tblCellMar>
          <w:top w:w="0" w:type="dxa"/>
          <w:left w:w="0" w:type="dxa"/>
          <w:bottom w:w="0" w:type="dxa"/>
          <w:right w:w="0" w:type="dxa"/>
        </w:tblCellMar>
      </w:tblPr>
      <w:tblGrid>
        <w:gridCol w:w="3005"/>
        <w:gridCol w:w="60"/>
        <w:gridCol w:w="185"/>
        <w:gridCol w:w="1034"/>
        <w:gridCol w:w="6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Unproved property acquisition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4,475</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Proved acquisition costs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acquisitions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4,475</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 costs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290,049</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costs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finding and development costs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396,374</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retirement obligations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incurred</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399,121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total number of horizontal producing wells drilled and completed during the nine months ended September 30, 2025:</w:t>
      </w:r>
    </w:p>
    <w:p>
      <w:pPr>
        <w:pStyle w:val="TextBody"/>
        <w:bidi w:val="0"/>
        <w:spacing w:before="0" w:after="0"/>
        <w:ind w:left="0" w:right="0" w:hanging="0"/>
        <w:jc w:val="left"/>
        <w:rPr>
          <w:caps w:val="false"/>
          <w:smallCaps w:val="false"/>
        </w:rPr>
      </w:pPr>
      <w:r>
        <w:rPr>
          <w:caps w:val="false"/>
          <w:smallCaps w:val="false"/>
        </w:rPr>
        <w:t> </w:t>
      </w:r>
    </w:p>
    <w:tbl>
      <w:tblPr>
        <w:tblW w:w="3897" w:type="dxa"/>
        <w:jc w:val="left"/>
        <w:tblInd w:w="0" w:type="dxa"/>
        <w:tblLayout w:type="fixed"/>
        <w:tblCellMar>
          <w:top w:w="0" w:type="dxa"/>
          <w:left w:w="0" w:type="dxa"/>
          <w:bottom w:w="0" w:type="dxa"/>
          <w:right w:w="0" w:type="dxa"/>
        </w:tblCellMar>
      </w:tblPr>
      <w:tblGrid>
        <w:gridCol w:w="1355"/>
        <w:gridCol w:w="60"/>
        <w:gridCol w:w="115"/>
        <w:gridCol w:w="444"/>
        <w:gridCol w:w="60"/>
        <w:gridCol w:w="60"/>
        <w:gridCol w:w="60"/>
        <w:gridCol w:w="380"/>
        <w:gridCol w:w="60"/>
        <w:gridCol w:w="60"/>
        <w:gridCol w:w="103"/>
        <w:gridCol w:w="456"/>
        <w:gridCol w:w="66"/>
        <w:gridCol w:w="66"/>
        <w:gridCol w:w="66"/>
        <w:gridCol w:w="426"/>
        <w:gridCol w:w="60"/>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Drilled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Completed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Gross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Gross </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4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Flat Top area</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4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60"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Signal Peak area</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September 30, 2025, HighPeak Energy was developing its properties using one (1) drilling rig and one (1) frac crew. The continued threat of a potential recession, commodity-specific tariffs and the possibility of trade wars, the scope, duration and magnitude of the direct and indirect effects of pandemics, the ongoing war between Russia and Ukraine and conflicts in the Middle East and the production cuts and reversals thereof announced by OPEC+ are continuing to evolve and in ways that are difficult or impossible to anticipate. Given the dynamic nature of this situation, the Company is maintaining flexibility with its capital plan and will continue to evaluate drilling and completion activity on an economic basis, with future activity levels assessed regularly.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2025, the Company successfully completed and placed on production thirty-six (36) gross (35.7 net) horizontal wells and completed and placed in operation two (2) gross (2.0 net) salt-water disposal wells. As of September 30, 2025, the Company had seventeen (17) gross (17.0 net) horizontal wells that had been drilled and were in various stages of completion. In addition, as of September 30, 2025, the Company was in the process drilling two (2) gross (2.0 net) horizontal wells.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and Nine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Crude Oil, NGL and natural gas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Average daily sales volumes are as follows:</w:t>
      </w:r>
    </w:p>
    <w:p>
      <w:pPr>
        <w:pStyle w:val="TextBody"/>
        <w:bidi w:val="0"/>
        <w:spacing w:before="0" w:after="0"/>
        <w:ind w:left="0" w:right="0" w:hanging="0"/>
        <w:jc w:val="left"/>
        <w:rPr>
          <w:caps w:val="false"/>
          <w:smallCaps w:val="false"/>
        </w:rPr>
      </w:pPr>
      <w:r>
        <w:rPr>
          <w:caps w:val="false"/>
          <w:smallCaps w:val="false"/>
        </w:rPr>
        <w:t> </w:t>
      </w:r>
    </w:p>
    <w:tbl>
      <w:tblPr>
        <w:tblW w:w="7706" w:type="dxa"/>
        <w:jc w:val="left"/>
        <w:tblInd w:w="0" w:type="dxa"/>
        <w:tblLayout w:type="fixed"/>
        <w:tblCellMar>
          <w:top w:w="0" w:type="dxa"/>
          <w:left w:w="0" w:type="dxa"/>
          <w:bottom w:w="0" w:type="dxa"/>
          <w:right w:w="0" w:type="dxa"/>
        </w:tblCellMar>
      </w:tblPr>
      <w:tblGrid>
        <w:gridCol w:w="1460"/>
        <w:gridCol w:w="60"/>
        <w:gridCol w:w="77"/>
        <w:gridCol w:w="762"/>
        <w:gridCol w:w="77"/>
        <w:gridCol w:w="77"/>
        <w:gridCol w:w="77"/>
        <w:gridCol w:w="762"/>
        <w:gridCol w:w="60"/>
        <w:gridCol w:w="60"/>
        <w:gridCol w:w="162"/>
        <w:gridCol w:w="787"/>
        <w:gridCol w:w="245"/>
        <w:gridCol w:w="60"/>
        <w:gridCol w:w="70"/>
        <w:gridCol w:w="693"/>
        <w:gridCol w:w="70"/>
        <w:gridCol w:w="70"/>
        <w:gridCol w:w="70"/>
        <w:gridCol w:w="693"/>
        <w:gridCol w:w="60"/>
        <w:gridCol w:w="60"/>
        <w:gridCol w:w="162"/>
        <w:gridCol w:w="787"/>
        <w:gridCol w:w="245"/>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70" w:type="dxa"/>
            <w:tcBorders>
              <w:bottom w:val="single" w:sz="2" w:space="0" w:color="000000"/>
            </w:tcBorders>
            <w:tcMar>
              <w:bottom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(Bbls)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31,594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34,552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(Bbls)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7,824</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(Mcf)</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47,795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6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(Boe)</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47,839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49,853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average daily Boe sales volumes for the three and nine months ended September 30, 2025, compared with the same periods in 2024 was primarily due to lower crude oil sales volumes as a result of reduced activity and natural decline partially offset by increased NGL and natural gas sales volumes due to third-party midstream expansions and debottlenecking.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crude oil, NGL and natural gas prices that the Company reports are based on the market prices received for each commodity. The weighted average realized prices, excluding the effects of derivatives, are as follows:</w:t>
      </w:r>
    </w:p>
    <w:p>
      <w:pPr>
        <w:pStyle w:val="TextBody"/>
        <w:bidi w:val="0"/>
        <w:spacing w:before="0" w:after="0"/>
        <w:ind w:left="0" w:right="0" w:hanging="0"/>
        <w:jc w:val="left"/>
        <w:rPr>
          <w:caps w:val="false"/>
          <w:smallCaps w:val="false"/>
        </w:rPr>
      </w:pPr>
      <w:r>
        <w:rPr>
          <w:caps w:val="false"/>
          <w:smallCaps w:val="false"/>
        </w:rPr>
        <w:t> </w:t>
      </w:r>
    </w:p>
    <w:tbl>
      <w:tblPr>
        <w:tblW w:w="7932" w:type="dxa"/>
        <w:jc w:val="left"/>
        <w:tblInd w:w="0" w:type="dxa"/>
        <w:tblLayout w:type="fixed"/>
        <w:tblCellMar>
          <w:top w:w="0" w:type="dxa"/>
          <w:left w:w="0" w:type="dxa"/>
          <w:bottom w:w="0" w:type="dxa"/>
          <w:right w:w="0" w:type="dxa"/>
        </w:tblCellMar>
      </w:tblPr>
      <w:tblGrid>
        <w:gridCol w:w="1640"/>
        <w:gridCol w:w="60"/>
        <w:gridCol w:w="171"/>
        <w:gridCol w:w="664"/>
        <w:gridCol w:w="82"/>
        <w:gridCol w:w="82"/>
        <w:gridCol w:w="171"/>
        <w:gridCol w:w="664"/>
        <w:gridCol w:w="60"/>
        <w:gridCol w:w="60"/>
        <w:gridCol w:w="143"/>
        <w:gridCol w:w="806"/>
        <w:gridCol w:w="245"/>
        <w:gridCol w:w="60"/>
        <w:gridCol w:w="159"/>
        <w:gridCol w:w="620"/>
        <w:gridCol w:w="76"/>
        <w:gridCol w:w="76"/>
        <w:gridCol w:w="159"/>
        <w:gridCol w:w="620"/>
        <w:gridCol w:w="60"/>
        <w:gridCol w:w="60"/>
        <w:gridCol w:w="143"/>
        <w:gridCol w:w="806"/>
        <w:gridCol w:w="24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76" w:type="dxa"/>
            <w:tcBorders>
              <w:bottom w:val="single" w:sz="2" w:space="0" w:color="000000"/>
            </w:tcBorders>
            <w:tcMar>
              <w:bottom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65.63</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per Bbl</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20.55</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per Mcf</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42.91</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Revenue Variance Analysis.</w:t>
      </w:r>
      <w:r>
        <w:rPr>
          <w:rFonts w:ascii="Times New Roman" w:hAnsi="Times New Roman"/>
          <w:caps w:val="false"/>
          <w:smallCaps w:val="false"/>
          <w:sz w:val="20"/>
        </w:rPr>
        <w:b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illustrates the variance in revenues attributable to prices versus volumes (in thousands except prices and percentages):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4"/>
        <w:gridCol w:w="60"/>
        <w:gridCol w:w="127"/>
        <w:gridCol w:w="714"/>
        <w:gridCol w:w="81"/>
        <w:gridCol w:w="60"/>
        <w:gridCol w:w="127"/>
        <w:gridCol w:w="714"/>
        <w:gridCol w:w="60"/>
        <w:gridCol w:w="60"/>
        <w:gridCol w:w="155"/>
        <w:gridCol w:w="750"/>
        <w:gridCol w:w="241"/>
        <w:gridCol w:w="60"/>
        <w:gridCol w:w="125"/>
        <w:gridCol w:w="755"/>
        <w:gridCol w:w="80"/>
        <w:gridCol w:w="60"/>
        <w:gridCol w:w="125"/>
        <w:gridCol w:w="695"/>
        <w:gridCol w:w="60"/>
        <w:gridCol w:w="60"/>
        <w:gridCol w:w="155"/>
        <w:gridCol w:w="750"/>
        <w:gridCol w:w="247"/>
      </w:tblGrid>
      <w:tr>
        <w:trPr/>
        <w:tc>
          <w:tcPr>
            <w:tcW w:w="38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center"/>
              <w:rPr/>
            </w:pPr>
            <w:r>
              <w:rPr/>
              <w:t> </w:t>
            </w:r>
          </w:p>
        </w:tc>
        <w:tc>
          <w:tcPr>
            <w:tcW w:w="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center"/>
              <w:rPr/>
            </w:pPr>
            <w:r>
              <w:rPr/>
              <w:t> </w:t>
            </w:r>
          </w:p>
        </w:tc>
        <w:tc>
          <w:tcPr>
            <w:tcW w:w="247" w:type="dxa"/>
            <w:tcBorders/>
            <w:vAlign w:val="center"/>
          </w:tcPr>
          <w:p>
            <w:pPr>
              <w:pStyle w:val="TableContents"/>
              <w:bidi w:val="0"/>
              <w:spacing w:before="0" w:after="283"/>
              <w:jc w:val="left"/>
              <w:rPr/>
            </w:pPr>
            <w:r>
              <w:rPr/>
              <w:t> </w:t>
            </w:r>
          </w:p>
        </w:tc>
      </w:tr>
      <w:tr>
        <w:trPr/>
        <w:tc>
          <w:tcPr>
            <w:tcW w:w="38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188,862</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daily sales volumes (Boe)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47,839</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price per Boe</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42.91</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change from prior period due to prices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(68,873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change from prior period due to volumes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(13,845</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Rounding</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change from prior period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(82,716</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(187,898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detailed above, the decrease in total operating revenues for the three and nine months ended September 30, 2025 compared to the same periods in 2024 is the result of a 25% and 22% decrease in average realized price per Boe, respectively, plus 5% and 0% decrease in average daily sales volumes, respectively, primarily as a result of lower crude oil sales volumes as a result of reduced activity and natural decline partially offset by increased NGL and natural gas sales volumes due to third-party midstream expansions and debottlenecking.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Crude Oil and natural gas production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Crude oil and natural gas production costs in total and per Boe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53"/>
        <w:gridCol w:w="60"/>
        <w:gridCol w:w="137"/>
        <w:gridCol w:w="650"/>
        <w:gridCol w:w="66"/>
        <w:gridCol w:w="66"/>
        <w:gridCol w:w="137"/>
        <w:gridCol w:w="650"/>
        <w:gridCol w:w="60"/>
        <w:gridCol w:w="60"/>
        <w:gridCol w:w="140"/>
        <w:gridCol w:w="789"/>
        <w:gridCol w:w="218"/>
        <w:gridCol w:w="60"/>
        <w:gridCol w:w="127"/>
        <w:gridCol w:w="708"/>
        <w:gridCol w:w="61"/>
        <w:gridCol w:w="61"/>
        <w:gridCol w:w="127"/>
        <w:gridCol w:w="601"/>
        <w:gridCol w:w="60"/>
        <w:gridCol w:w="60"/>
        <w:gridCol w:w="140"/>
        <w:gridCol w:w="789"/>
        <w:gridCol w:w="225"/>
      </w:tblGrid>
      <w:tr>
        <w:trPr/>
        <w:tc>
          <w:tcPr>
            <w:tcW w:w="41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t> </w:t>
            </w:r>
          </w:p>
        </w:tc>
        <w:tc>
          <w:tcPr>
            <w:tcW w:w="2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center"/>
              <w:rPr/>
            </w:pPr>
            <w:r>
              <w:rPr/>
              <w:t> </w:t>
            </w:r>
          </w:p>
        </w:tc>
        <w:tc>
          <w:tcPr>
            <w:tcW w:w="225" w:type="dxa"/>
            <w:tcBorders/>
            <w:vAlign w:val="center"/>
          </w:tcPr>
          <w:p>
            <w:pPr>
              <w:pStyle w:val="TableContents"/>
              <w:bidi w:val="0"/>
              <w:spacing w:before="0" w:after="283"/>
              <w:jc w:val="left"/>
              <w:rPr/>
            </w:pPr>
            <w:r>
              <w:rPr/>
              <w:t> </w:t>
            </w:r>
          </w:p>
        </w:tc>
      </w:tr>
      <w:tr>
        <w:trPr/>
        <w:tc>
          <w:tcPr>
            <w:tcW w:w="41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18"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2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5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production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33,312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5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production costs per Boe (excluding expense workovers)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5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Workover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crude oil and natural gas production costs for the three months ended September 30, 2025 compared to the same period in 2024 can be attributed primarily to decreased chemical and treating costs related to third party midstream expansions and debottlenecking partially offset by increased expense workover costs with increased well cleanouts and pump changes. The increase in crude oil and natural gas production costs for the nine months ended September 30, 2025 compared to the same period in 2024 can be attributed primarily to increased expense workover costs with increased well cleanouts and pump changes, increased electricity, power and fuel charges with the increased number of wells operated by the Company, increased insurance costs and increased pumper costs also due to the increased number of wells operated partially offset by decreased chemical and treating costs related to third party midstream expansions and debottlenecking partially offset by increased expense workover costs with increased well cleanouts and pump changes with our aging well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Production and ad valorem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Production and ad valorem taxes are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8921" w:type="dxa"/>
        <w:jc w:val="left"/>
        <w:tblInd w:w="0" w:type="dxa"/>
        <w:tblLayout w:type="fixed"/>
        <w:tblCellMar>
          <w:top w:w="0" w:type="dxa"/>
          <w:left w:w="0" w:type="dxa"/>
          <w:bottom w:w="0" w:type="dxa"/>
          <w:right w:w="0" w:type="dxa"/>
        </w:tblCellMar>
      </w:tblPr>
      <w:tblGrid>
        <w:gridCol w:w="2675"/>
        <w:gridCol w:w="60"/>
        <w:gridCol w:w="147"/>
        <w:gridCol w:w="698"/>
        <w:gridCol w:w="71"/>
        <w:gridCol w:w="71"/>
        <w:gridCol w:w="147"/>
        <w:gridCol w:w="698"/>
        <w:gridCol w:w="60"/>
        <w:gridCol w:w="60"/>
        <w:gridCol w:w="162"/>
        <w:gridCol w:w="787"/>
        <w:gridCol w:w="245"/>
        <w:gridCol w:w="60"/>
        <w:gridCol w:w="134"/>
        <w:gridCol w:w="635"/>
        <w:gridCol w:w="64"/>
        <w:gridCol w:w="64"/>
        <w:gridCol w:w="134"/>
        <w:gridCol w:w="635"/>
        <w:gridCol w:w="60"/>
        <w:gridCol w:w="60"/>
        <w:gridCol w:w="162"/>
        <w:gridCol w:w="787"/>
        <w:gridCol w:w="24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71" w:type="dxa"/>
            <w:tcBorders>
              <w:bottom w:val="single" w:sz="2" w:space="0" w:color="000000"/>
            </w:tcBorders>
            <w:tcMar>
              <w:bottom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ad valorem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 Overall, the decrease in production and ad valorem taxes during the three and nine months ended September 30, 2025 compared to the same periods in 2024 can be attributed primarily to the 25% and 22% decrease in overall commodity prices received, respectively, coupled with the aforementioned 7% and 0% decrease in sales volumes,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Production and ad valorem taxes per Boe are as follows:</w:t>
      </w:r>
    </w:p>
    <w:p>
      <w:pPr>
        <w:pStyle w:val="TextBody"/>
        <w:bidi w:val="0"/>
        <w:spacing w:before="0" w:after="0"/>
        <w:ind w:left="0" w:right="0" w:hanging="0"/>
        <w:jc w:val="left"/>
        <w:rPr>
          <w:caps w:val="false"/>
          <w:smallCaps w:val="false"/>
        </w:rPr>
      </w:pPr>
      <w:r>
        <w:rPr>
          <w:caps w:val="false"/>
          <w:smallCaps w:val="false"/>
        </w:rPr>
        <w:t> </w:t>
      </w:r>
    </w:p>
    <w:tbl>
      <w:tblPr>
        <w:tblW w:w="8397" w:type="dxa"/>
        <w:jc w:val="left"/>
        <w:tblInd w:w="0" w:type="dxa"/>
        <w:tblLayout w:type="fixed"/>
        <w:tblCellMar>
          <w:top w:w="0" w:type="dxa"/>
          <w:left w:w="0" w:type="dxa"/>
          <w:bottom w:w="0" w:type="dxa"/>
          <w:right w:w="0" w:type="dxa"/>
        </w:tblCellMar>
      </w:tblPr>
      <w:tblGrid>
        <w:gridCol w:w="2105"/>
        <w:gridCol w:w="60"/>
        <w:gridCol w:w="202"/>
        <w:gridCol w:w="617"/>
        <w:gridCol w:w="97"/>
        <w:gridCol w:w="97"/>
        <w:gridCol w:w="202"/>
        <w:gridCol w:w="617"/>
        <w:gridCol w:w="60"/>
        <w:gridCol w:w="60"/>
        <w:gridCol w:w="162"/>
        <w:gridCol w:w="787"/>
        <w:gridCol w:w="245"/>
        <w:gridCol w:w="60"/>
        <w:gridCol w:w="189"/>
        <w:gridCol w:w="576"/>
        <w:gridCol w:w="91"/>
        <w:gridCol w:w="91"/>
        <w:gridCol w:w="189"/>
        <w:gridCol w:w="576"/>
        <w:gridCol w:w="60"/>
        <w:gridCol w:w="60"/>
        <w:gridCol w:w="162"/>
        <w:gridCol w:w="787"/>
        <w:gridCol w:w="24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91" w:type="dxa"/>
            <w:tcBorders>
              <w:bottom w:val="single" w:sz="2"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taxes per Boe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 valorem taxes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0.33</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production taxes per Boe for the three and nine months ended September 30, 2025, compared with the same periods in 2024 can be attributed primarily to the lower commodity prices received thus far in 2025. The change in ad valorem taxes per Boe for the three and nine months ended September 30, 2025, compared with the same periods in 2024, was primarily due to an overaccrual during the early part of 2025 that was adjusted during the three months ended September 30, 2025 and overall for the year, taxes have decreased due to the assessments being lower based on lower overall prices in 2024 as compared to 2023 which is how taxes are assessed.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Exploration and abandonments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Exploration and abandonment expense details are as follows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3440"/>
        <w:gridCol w:w="60"/>
        <w:gridCol w:w="192"/>
        <w:gridCol w:w="747"/>
        <w:gridCol w:w="92"/>
        <w:gridCol w:w="92"/>
        <w:gridCol w:w="192"/>
        <w:gridCol w:w="516"/>
        <w:gridCol w:w="60"/>
        <w:gridCol w:w="60"/>
        <w:gridCol w:w="143"/>
        <w:gridCol w:w="806"/>
        <w:gridCol w:w="185"/>
        <w:gridCol w:w="60"/>
        <w:gridCol w:w="155"/>
        <w:gridCol w:w="604"/>
        <w:gridCol w:w="74"/>
        <w:gridCol w:w="74"/>
        <w:gridCol w:w="155"/>
        <w:gridCol w:w="604"/>
        <w:gridCol w:w="60"/>
        <w:gridCol w:w="60"/>
        <w:gridCol w:w="87"/>
        <w:gridCol w:w="862"/>
        <w:gridCol w:w="18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92" w:type="dxa"/>
            <w:tcBorders>
              <w:bottom w:val="single" w:sz="2" w:space="0" w:color="000000"/>
            </w:tcBorders>
            <w:tcMar>
              <w:bottom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74"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Plugging and abandonment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Abandoned leasehold costs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Geologic and geophysical personnel costs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Geologic and geophysical data costs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n/m</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n/m</w:t>
            </w:r>
          </w:p>
        </w:tc>
        <w:tc>
          <w:tcPr>
            <w:tcW w:w="18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abandonments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Exploration and abandonment costs increased during the three and nine months ended September 30, 2025 primarily due to increased plugging and abandonment expenses as a result of regulatory requirements and abandoned leasehold costs related to some low value leases in Signal Peak that were not extended due to the fact that they were in low working interest units that were not on the immediate drilling schedule due to the work and cost involved in acquiring enough additional working interest to justify drilling the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DD&amp;A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DD&amp;A expense and DD&amp;A expense per Boe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8295" w:type="dxa"/>
        <w:jc w:val="left"/>
        <w:tblInd w:w="0" w:type="dxa"/>
        <w:tblLayout w:type="fixed"/>
        <w:tblCellMar>
          <w:top w:w="0" w:type="dxa"/>
          <w:left w:w="0" w:type="dxa"/>
          <w:bottom w:w="0" w:type="dxa"/>
          <w:right w:w="0" w:type="dxa"/>
        </w:tblCellMar>
      </w:tblPr>
      <w:tblGrid>
        <w:gridCol w:w="1955"/>
        <w:gridCol w:w="60"/>
        <w:gridCol w:w="130"/>
        <w:gridCol w:w="724"/>
        <w:gridCol w:w="62"/>
        <w:gridCol w:w="62"/>
        <w:gridCol w:w="130"/>
        <w:gridCol w:w="724"/>
        <w:gridCol w:w="60"/>
        <w:gridCol w:w="60"/>
        <w:gridCol w:w="162"/>
        <w:gridCol w:w="787"/>
        <w:gridCol w:w="245"/>
        <w:gridCol w:w="60"/>
        <w:gridCol w:w="125"/>
        <w:gridCol w:w="695"/>
        <w:gridCol w:w="60"/>
        <w:gridCol w:w="60"/>
        <w:gridCol w:w="125"/>
        <w:gridCol w:w="695"/>
        <w:gridCol w:w="60"/>
        <w:gridCol w:w="60"/>
        <w:gridCol w:w="162"/>
        <w:gridCol w:w="787"/>
        <w:gridCol w:w="245"/>
      </w:tblGrid>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8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DD&amp;A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100,636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DD&amp;A expense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DD&amp;A during the three and nine months ended September 30, 2025 is primarily due to a decrease in the DD&amp;A rate primarily attributable to increased proved reserves coupled with the decreased production volumes.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 and general and administrative expense per Boe as well as stock-based compensation expense are as follows (in thousands, except percentages and per Boe amounts):</w:t>
      </w:r>
    </w:p>
    <w:p>
      <w:pPr>
        <w:pStyle w:val="TextBody"/>
        <w:bidi w:val="0"/>
        <w:spacing w:before="0" w:after="0"/>
        <w:ind w:left="0" w:right="0" w:hanging="0"/>
        <w:jc w:val="left"/>
        <w:rPr>
          <w:caps w:val="false"/>
          <w:smallCaps w:val="false"/>
        </w:rPr>
      </w:pPr>
      <w:r>
        <w:rPr>
          <w:caps w:val="false"/>
          <w:smallCaps w:val="false"/>
        </w:rPr>
        <w:t> </w:t>
      </w:r>
    </w:p>
    <w:tbl>
      <w:tblPr>
        <w:tblW w:w="9884" w:type="dxa"/>
        <w:jc w:val="left"/>
        <w:tblInd w:w="0" w:type="dxa"/>
        <w:tblLayout w:type="fixed"/>
        <w:tblCellMar>
          <w:top w:w="0" w:type="dxa"/>
          <w:left w:w="0" w:type="dxa"/>
          <w:bottom w:w="0" w:type="dxa"/>
          <w:right w:w="0" w:type="dxa"/>
        </w:tblCellMar>
      </w:tblPr>
      <w:tblGrid>
        <w:gridCol w:w="3590"/>
        <w:gridCol w:w="60"/>
        <w:gridCol w:w="171"/>
        <w:gridCol w:w="664"/>
        <w:gridCol w:w="82"/>
        <w:gridCol w:w="82"/>
        <w:gridCol w:w="171"/>
        <w:gridCol w:w="664"/>
        <w:gridCol w:w="60"/>
        <w:gridCol w:w="60"/>
        <w:gridCol w:w="143"/>
        <w:gridCol w:w="806"/>
        <w:gridCol w:w="245"/>
        <w:gridCol w:w="60"/>
        <w:gridCol w:w="138"/>
        <w:gridCol w:w="652"/>
        <w:gridCol w:w="66"/>
        <w:gridCol w:w="66"/>
        <w:gridCol w:w="138"/>
        <w:gridCol w:w="652"/>
        <w:gridCol w:w="60"/>
        <w:gridCol w:w="60"/>
        <w:gridCol w:w="162"/>
        <w:gridCol w:w="787"/>
        <w:gridCol w:w="24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increase in general and administrative expense in total and per Boe for the three and nine months ended September 30, 2025 compared to the same periods in 2024 is primarily a result of severance and legal costs paid related to the retirement of our former Chief Executive Officer who retired in September 2025 which totaled approximately $3.4 million, increased wages and benefits in addition to higher professional services costs related to the growth of the Company. The decrease in stock-based compensation expense for the three and nine months ended September 30, 2025 compared to the same periods in 2024 is the result of the Company not issuing any significant stock options or restricted stock in the past couple of years. All stock-based compensation has been fully recognized except for the restricted stock issued to outside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Other expense.</w:t>
      </w:r>
    </w:p>
    <w:p>
      <w:pPr>
        <w:pStyle w:val="TextBody"/>
        <w:bidi w:val="0"/>
        <w:spacing w:before="0" w:after="0"/>
        <w:ind w:left="0" w:right="0" w:hanging="0"/>
        <w:jc w:val="left"/>
        <w:rPr>
          <w:caps w:val="false"/>
          <w:smallCaps w:val="false"/>
        </w:rPr>
      </w:pPr>
      <w:r>
        <w:rPr>
          <w:caps w:val="false"/>
          <w:smallCaps w:val="false"/>
        </w:rPr>
        <w:t> </w:t>
      </w:r>
    </w:p>
    <w:tbl>
      <w:tblPr>
        <w:tblW w:w="8874" w:type="dxa"/>
        <w:jc w:val="left"/>
        <w:tblInd w:w="0" w:type="dxa"/>
        <w:tblLayout w:type="fixed"/>
        <w:tblCellMar>
          <w:top w:w="0" w:type="dxa"/>
          <w:left w:w="0" w:type="dxa"/>
          <w:bottom w:w="0" w:type="dxa"/>
          <w:right w:w="0" w:type="dxa"/>
        </w:tblCellMar>
      </w:tblPr>
      <w:tblGrid>
        <w:gridCol w:w="2585"/>
        <w:gridCol w:w="60"/>
        <w:gridCol w:w="192"/>
        <w:gridCol w:w="516"/>
        <w:gridCol w:w="92"/>
        <w:gridCol w:w="92"/>
        <w:gridCol w:w="192"/>
        <w:gridCol w:w="747"/>
        <w:gridCol w:w="60"/>
        <w:gridCol w:w="60"/>
        <w:gridCol w:w="124"/>
        <w:gridCol w:w="825"/>
        <w:gridCol w:w="245"/>
        <w:gridCol w:w="60"/>
        <w:gridCol w:w="159"/>
        <w:gridCol w:w="620"/>
        <w:gridCol w:w="76"/>
        <w:gridCol w:w="76"/>
        <w:gridCol w:w="159"/>
        <w:gridCol w:w="620"/>
        <w:gridCol w:w="60"/>
        <w:gridCol w:w="60"/>
        <w:gridCol w:w="124"/>
        <w:gridCol w:w="825"/>
        <w:gridCol w:w="24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2" w:type="dxa"/>
            <w:tcBorders>
              <w:bottom w:val="single" w:sz="2" w:space="0" w:color="000000"/>
            </w:tcBorders>
            <w:tcMar>
              <w:bottom w:w="28" w:type="dxa"/>
            </w:tcMar>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76" w:type="dxa"/>
            <w:tcBorders>
              <w:bottom w:val="single" w:sz="2" w:space="0" w:color="000000"/>
            </w:tcBorders>
            <w:tcMar>
              <w:bottom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7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refinancing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Repairs on production facilities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2,711</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and nine months ended September 30, 2025, the Company incurred approximately $29,000 and $2.5 million in rating agency fees, legal and accounting professional fees and other costs related to a proposed refinancing of its existing debt obligations. That specific refinancing transaction was not completed. Accordingly, these costs have been expensed as incurred. During the three and nine months ended September 30, 2024, the Company incurred approximately $1.2 million and $3.2 million, respectively, in costs related to repairs to production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tbl>
      <w:tblPr>
        <w:tblW w:w="9240" w:type="dxa"/>
        <w:jc w:val="left"/>
        <w:tblInd w:w="0" w:type="dxa"/>
        <w:tblLayout w:type="fixed"/>
        <w:tblCellMar>
          <w:top w:w="0" w:type="dxa"/>
          <w:left w:w="0" w:type="dxa"/>
          <w:bottom w:w="0" w:type="dxa"/>
          <w:right w:w="0" w:type="dxa"/>
        </w:tblCellMar>
      </w:tblPr>
      <w:tblGrid>
        <w:gridCol w:w="2900"/>
        <w:gridCol w:w="60"/>
        <w:gridCol w:w="147"/>
        <w:gridCol w:w="698"/>
        <w:gridCol w:w="71"/>
        <w:gridCol w:w="71"/>
        <w:gridCol w:w="147"/>
        <w:gridCol w:w="698"/>
        <w:gridCol w:w="60"/>
        <w:gridCol w:w="60"/>
        <w:gridCol w:w="143"/>
        <w:gridCol w:w="806"/>
        <w:gridCol w:w="245"/>
        <w:gridCol w:w="60"/>
        <w:gridCol w:w="125"/>
        <w:gridCol w:w="695"/>
        <w:gridCol w:w="60"/>
        <w:gridCol w:w="60"/>
        <w:gridCol w:w="125"/>
        <w:gridCol w:w="695"/>
        <w:gridCol w:w="60"/>
        <w:gridCol w:w="60"/>
        <w:gridCol w:w="162"/>
        <w:gridCol w:w="787"/>
        <w:gridCol w:w="24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1" w:type="dxa"/>
            <w:tcBorders>
              <w:bottom w:val="single" w:sz="2" w:space="0" w:color="000000"/>
            </w:tcBorders>
            <w:tcMar>
              <w:bottom w:w="28" w:type="dxa"/>
            </w:tcMar>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Credit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34,722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Credit Facility Agreement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discount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w:t>
            </w:r>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37,150</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110,550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129,204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decrease in interest expense can be attributed to a lower overall debt balance in 2025 compared with 2024, lower interest rates in 2025 compared with interest rates in 2024, lower amortization of discount and debt issuance costs in 2025 due to the loss on extinguishment of debt recognized during the three and nine months ended September 30, 2025 whereby the unamortized discount and debt issuance costs were expensed upon the closing of the First Term Loan Amendment on August 1, 2025 and fewer calendar days in the nine month period compared to the same period in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Gain (loss) on derivative instruments, net.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22"/>
        <w:gridCol w:w="60"/>
        <w:gridCol w:w="154"/>
        <w:gridCol w:w="601"/>
        <w:gridCol w:w="74"/>
        <w:gridCol w:w="74"/>
        <w:gridCol w:w="154"/>
        <w:gridCol w:w="732"/>
        <w:gridCol w:w="80"/>
        <w:gridCol w:w="60"/>
        <w:gridCol w:w="161"/>
        <w:gridCol w:w="783"/>
        <w:gridCol w:w="238"/>
        <w:gridCol w:w="60"/>
        <w:gridCol w:w="132"/>
        <w:gridCol w:w="624"/>
        <w:gridCol w:w="62"/>
        <w:gridCol w:w="62"/>
        <w:gridCol w:w="132"/>
        <w:gridCol w:w="687"/>
        <w:gridCol w:w="80"/>
        <w:gridCol w:w="60"/>
        <w:gridCol w:w="229"/>
        <w:gridCol w:w="714"/>
        <w:gridCol w:w="70"/>
      </w:tblGrid>
      <w:tr>
        <w:trPr/>
        <w:tc>
          <w:tcPr>
            <w:tcW w:w="41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center"/>
              <w:rPr/>
            </w:pPr>
            <w:r>
              <w:rPr/>
              <w:t> </w:t>
            </w:r>
          </w:p>
        </w:tc>
        <w:tc>
          <w:tcPr>
            <w:tcW w:w="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left"/>
              <w:rPr/>
            </w:pPr>
            <w:r>
              <w:rPr/>
              <w:t> </w:t>
            </w:r>
          </w:p>
        </w:tc>
      </w:tr>
      <w:tr>
        <w:trPr/>
        <w:tc>
          <w:tcPr>
            <w:tcW w:w="41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74"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38"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7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gain (loss) on derivative instruments,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70" w:type="dxa"/>
            <w:tcBorders/>
            <w:shd w:fill="CCEEFF" w:val="clear"/>
            <w:vAlign w:val="center"/>
          </w:tcPr>
          <w:p>
            <w:pPr>
              <w:pStyle w:val="TableContents"/>
              <w:bidi w:val="0"/>
              <w:spacing w:before="0" w:after="283"/>
              <w:jc w:val="left"/>
              <w:rPr/>
            </w:pPr>
            <w:r>
              <w:rPr/>
              <w:t> </w:t>
            </w:r>
          </w:p>
        </w:tc>
      </w:tr>
      <w:tr>
        <w:trPr/>
        <w:tc>
          <w:tcPr>
            <w:tcW w:w="41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receipts (payments) on settlement derivatives, net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w:t>
            </w:r>
          </w:p>
        </w:tc>
        <w:tc>
          <w:tcPr>
            <w:tcW w:w="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44"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n/m</w:t>
            </w:r>
          </w:p>
        </w:tc>
        <w:tc>
          <w:tcPr>
            <w:tcW w:w="2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7,988</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43"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n/m</w:t>
            </w:r>
          </w:p>
        </w:tc>
        <w:tc>
          <w:tcPr>
            <w:tcW w:w="70" w:type="dxa"/>
            <w:tcBorders/>
            <w:shd w:fill="FFFFFF" w:val="clear"/>
            <w:vAlign w:val="center"/>
          </w:tcPr>
          <w:p>
            <w:pPr>
              <w:pStyle w:val="TableContents"/>
              <w:bidi w:val="0"/>
              <w:spacing w:before="0" w:after="283"/>
              <w:jc w:val="left"/>
              <w:rPr/>
            </w:pPr>
            <w:r>
              <w:rPr/>
              <w:t> </w:t>
            </w:r>
          </w:p>
        </w:tc>
      </w:tr>
      <w:tr>
        <w:trPr/>
        <w:tc>
          <w:tcPr>
            <w:tcW w:w="41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derivative instruments,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6,913</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25,432</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43"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n/m</w:t>
            </w:r>
          </w:p>
        </w:tc>
        <w:tc>
          <w:tcPr>
            <w:tcW w:w="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utilizes commodity swap contracts, costless collars, enhanced collars and deferred premium put option contracts to (i) reduce the effect of price volatility on the commodities the Company produces and sells or consumes, (ii) support the Company’s annual capital budget and expenditure plans and (iii) reduce commodity price risk associated with certain capital projects. The Company’s Term Loan Credit Agreement and Senior Credit Facility Agreement require the Company to hedge certain quantities of its projected crude oil production. The Company may also, from time to time, utilize interest rate contracts to reduce the effect of interest rate volatility on the Company’s indebtedness. The above mark-to-market gain (loss) and cash settlements relate to crude oil derivative swap contracts, costless collars, enhanced collars and deferred premium put option contracts and natural gas derivative swap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Loss on extinguishment of debt.</w:t>
      </w:r>
    </w:p>
    <w:p>
      <w:pPr>
        <w:pStyle w:val="TextBody"/>
        <w:bidi w:val="0"/>
        <w:spacing w:before="0" w:after="0"/>
        <w:ind w:left="0" w:right="0" w:hanging="0"/>
        <w:jc w:val="left"/>
        <w:rPr>
          <w:caps w:val="false"/>
          <w:smallCaps w:val="false"/>
        </w:rPr>
      </w:pPr>
      <w:r>
        <w:rPr>
          <w:caps w:val="false"/>
          <w:smallCaps w:val="false"/>
        </w:rPr>
        <w:t> </w:t>
      </w:r>
    </w:p>
    <w:tbl>
      <w:tblPr>
        <w:tblW w:w="8834" w:type="dxa"/>
        <w:jc w:val="left"/>
        <w:tblInd w:w="0" w:type="dxa"/>
        <w:tblLayout w:type="fixed"/>
        <w:tblCellMar>
          <w:top w:w="0" w:type="dxa"/>
          <w:left w:w="0" w:type="dxa"/>
          <w:bottom w:w="0" w:type="dxa"/>
          <w:right w:w="0" w:type="dxa"/>
        </w:tblCellMar>
      </w:tblPr>
      <w:tblGrid>
        <w:gridCol w:w="2660"/>
        <w:gridCol w:w="60"/>
        <w:gridCol w:w="188"/>
        <w:gridCol w:w="887"/>
        <w:gridCol w:w="90"/>
        <w:gridCol w:w="90"/>
        <w:gridCol w:w="188"/>
        <w:gridCol w:w="391"/>
        <w:gridCol w:w="60"/>
        <w:gridCol w:w="60"/>
        <w:gridCol w:w="143"/>
        <w:gridCol w:w="806"/>
        <w:gridCol w:w="185"/>
        <w:gridCol w:w="60"/>
        <w:gridCol w:w="175"/>
        <w:gridCol w:w="829"/>
        <w:gridCol w:w="84"/>
        <w:gridCol w:w="84"/>
        <w:gridCol w:w="175"/>
        <w:gridCol w:w="365"/>
        <w:gridCol w:w="60"/>
        <w:gridCol w:w="60"/>
        <w:gridCol w:w="143"/>
        <w:gridCol w:w="806"/>
        <w:gridCol w:w="18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5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5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discount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11,482</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debt issuance costs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39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9,205</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3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Premium paid to exiting lenders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25,437</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25,437</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 2025, the Company entered into the First Term Loan Amendment which, among other things, (i) extended the maturity dates two years to September 2028, (ii) upsized the Term Loan Credit Agreement to $1.2 billion, providing additional liquidity, and (iii) deferred the Term Loan Credit Agreement quarterly amortization payments of $30.0 million for one year such that they begin again in September 2026. This amendment was considered an extinguishment of debt and thus unamortized discounts and debt issuance costs at the time of the amendment were written off to expense as was a premium paid to exiting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tbl>
      <w:tblPr>
        <w:tblW w:w="8722" w:type="dxa"/>
        <w:jc w:val="left"/>
        <w:tblInd w:w="0" w:type="dxa"/>
        <w:tblLayout w:type="fixed"/>
        <w:tblCellMar>
          <w:top w:w="0" w:type="dxa"/>
          <w:left w:w="0" w:type="dxa"/>
          <w:bottom w:w="0" w:type="dxa"/>
          <w:right w:w="0" w:type="dxa"/>
        </w:tblCellMar>
      </w:tblPr>
      <w:tblGrid>
        <w:gridCol w:w="2180"/>
        <w:gridCol w:w="60"/>
        <w:gridCol w:w="140"/>
        <w:gridCol w:w="613"/>
        <w:gridCol w:w="208"/>
        <w:gridCol w:w="67"/>
        <w:gridCol w:w="140"/>
        <w:gridCol w:w="664"/>
        <w:gridCol w:w="185"/>
        <w:gridCol w:w="60"/>
        <w:gridCol w:w="124"/>
        <w:gridCol w:w="825"/>
        <w:gridCol w:w="245"/>
        <w:gridCol w:w="60"/>
        <w:gridCol w:w="127"/>
        <w:gridCol w:w="604"/>
        <w:gridCol w:w="189"/>
        <w:gridCol w:w="61"/>
        <w:gridCol w:w="127"/>
        <w:gridCol w:w="604"/>
        <w:gridCol w:w="185"/>
        <w:gridCol w:w="60"/>
        <w:gridCol w:w="162"/>
        <w:gridCol w:w="787"/>
        <w:gridCol w:w="245"/>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208"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189"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14,035</w:t>
            </w:r>
          </w:p>
        </w:tc>
        <w:tc>
          <w:tcPr>
            <w:tcW w:w="18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income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change in provision for income taxes during the three and nine months ended September 30, 2025, compared with the same periods in 2024, was primarily due to the change in income before income taxes and the reversal of a $3.0 million deferred tax asset related to a temporary difference from restricted stock being reclassified to a permanent difference during the 2024 periods.  The effective income tax rate differs from the statutory rate primarily due to the certain aforementioned stock-based compensation revision, Texas state margin taxes and other permanent differences between GAAP income and taxable income. See Note 12 of Notes to Consolidated Financial Statements included in "Item 1. Condensed Consolidated Financial Statements (Unaudited)"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Liquidity</w:t>
      </w:r>
      <w:r>
        <w:rPr>
          <w:rFonts w:ascii="Times New Roman" w:hAnsi="Times New Roman"/>
          <w:caps w:val="false"/>
          <w:smallCaps w:val="false"/>
          <w:sz w:val="20"/>
        </w:rPr>
        <w:t>. The Company’s primary sources of short-term liquidity are (i) cash and cash equivalents, (ii) net cash provided by operating activities, (iii) unused borrowing capacity under the Senior Credit Facility Agreement, (iv) on an opportunistic basis, other issuances of debt or equity securities and (v) sales of nonstrategic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short-term and long-term liquidity requirements consist primarily of (i) capital expenditures, (ii) acquisitions of crude oil and natural gas properties, (iii) payments of other contractual obligations, (iv) working capital obligations, and (v) interest payments on and amortizations of its indebtedness. Funding for these cash needs may be provided by any combination of the Company’s sources of liquidity. Although the Company expects its sources of funding will be adequate to fund its 2025 planned capital expenditures and provide adequate liquidity to fund other needs, no assurance can be given that such funding sources will be adequate to meet the Company’s future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2025 capital budget</w:t>
      </w:r>
      <w:r>
        <w:rPr>
          <w:rFonts w:ascii="Times New Roman" w:hAnsi="Times New Roman"/>
          <w:i/>
          <w:caps w:val="false"/>
          <w:smallCaps w:val="false"/>
          <w:sz w:val="20"/>
        </w:rPr>
        <w:t>.</w:t>
      </w:r>
      <w:r>
        <w:rPr>
          <w:rFonts w:ascii="Times New Roman" w:hAnsi="Times New Roman"/>
          <w:caps w:val="false"/>
          <w:smallCaps w:val="false"/>
          <w:sz w:val="20"/>
        </w:rPr>
        <w:t> The Company’s capital budget for 2025 is expected to be in the range of approximately $375 to $405 million for drilling, completion, facilities and equipping crude oil wells plus $40 to $50 million for field infrastructure buildout and other costs and $33 to $35 million on one-time infrastructure expenditures. The 2025 capital budget excludes acquisitions, asset retirement obligations, geological and geophysical expenses and general and administrative expenses. HighPeak Energy expects to fund its forecasted capital expenditures with cash on its consolidated balance sheet, cash generated by operations and borrowing capacity available under its Senior Credit Facility Agreement, if needed. The Company’s capital expenditures for the nine months ended September 30, 2025 were $391.9 million, including the completion and/or continuation of certain one-time infrastructure projects but excluding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However, there are many factors and consequences beyond the Company’s control impacting our capital budget, such as political and regulatory uncertainties associated with the new Trump Administration, economic downturn or potential recession, geo-political risks and additional actions by businesses, OPEC or OPEC+, and governments in response to pandemics, that may have an impact on the Company’s future results and drilling plans. For additional information on the risks, see “Part I, Item 1A. Risk Factors” in the Company’s Annual Report. The Company is maintaining flexibility in its capital plan and will continue to evaluate drilling and completion activity on an economic basis, with future activity levels assessed monthly.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Capital resources</w:t>
      </w:r>
      <w:r>
        <w:rPr>
          <w:rFonts w:ascii="Times New Roman" w:hAnsi="Times New Roman"/>
          <w:caps w:val="false"/>
          <w:smallCaps w:val="false"/>
          <w:sz w:val="20"/>
        </w:rPr>
        <w:t>. Cash flows from operating, investing and financing activities are summarized below (in thousands).</w:t>
      </w:r>
    </w:p>
    <w:p>
      <w:pPr>
        <w:pStyle w:val="TextBody"/>
        <w:bidi w:val="0"/>
        <w:spacing w:before="0" w:after="0"/>
        <w:ind w:left="0" w:right="0" w:hanging="0"/>
        <w:jc w:val="left"/>
        <w:rPr>
          <w:caps w:val="false"/>
          <w:smallCaps w:val="false"/>
        </w:rPr>
      </w:pPr>
      <w:r>
        <w:rPr>
          <w:caps w:val="false"/>
          <w:smallCaps w:val="false"/>
        </w:rPr>
        <w:t> </w:t>
      </w:r>
    </w:p>
    <w:tbl>
      <w:tblPr>
        <w:tblW w:w="8429" w:type="dxa"/>
        <w:jc w:val="left"/>
        <w:tblInd w:w="0" w:type="dxa"/>
        <w:tblLayout w:type="fixed"/>
        <w:tblCellMar>
          <w:top w:w="0" w:type="dxa"/>
          <w:left w:w="0" w:type="dxa"/>
          <w:bottom w:w="0" w:type="dxa"/>
          <w:right w:w="0" w:type="dxa"/>
        </w:tblCellMar>
      </w:tblPr>
      <w:tblGrid>
        <w:gridCol w:w="4115"/>
        <w:gridCol w:w="60"/>
        <w:gridCol w:w="125"/>
        <w:gridCol w:w="755"/>
        <w:gridCol w:w="80"/>
        <w:gridCol w:w="60"/>
        <w:gridCol w:w="125"/>
        <w:gridCol w:w="755"/>
        <w:gridCol w:w="80"/>
        <w:gridCol w:w="60"/>
        <w:gridCol w:w="125"/>
        <w:gridCol w:w="755"/>
        <w:gridCol w:w="80"/>
        <w:gridCol w:w="60"/>
        <w:gridCol w:w="124"/>
        <w:gridCol w:w="825"/>
        <w:gridCol w:w="24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Change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Change </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(426,804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(475,827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The decrease in net cash flow provided by operating activities for the nine months ended September 30, 2025, compared with 2024, was primarily related to a decrease in discretionary cash flow as a result of a decrease in revenues less operating and general administrative expenses of approximately $190.1 million associated with lower overall commodity prices and lower crude oil production volumes partially offset by increased natural gas and NGL production volumes and increased costs related primarily to increased expense workover costs with increased well cleanouts and pump changes, increased electricity, power and fuel charges with the increased number of wells operated by the Company and increased pumper costs also due to the increased number of wells operated partially offset by changes in operating assets and liabilities that differ from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Investing activities. </w:t>
      </w:r>
      <w:r>
        <w:rPr>
          <w:rFonts w:ascii="Times New Roman" w:hAnsi="Times New Roman"/>
          <w:caps w:val="false"/>
          <w:smallCaps w:val="false"/>
          <w:sz w:val="20"/>
        </w:rPr>
        <w:t>The decrease in net cash used in investing activities for the nine months ended September 30, 2025, compared with 2024, was primarily due to decreases in additions to crude oil and natural gas properties and acquisitions partially offset by a decrease in working capital related to additions to crude oil and natural gas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Financing activities. </w:t>
      </w:r>
      <w:r>
        <w:rPr>
          <w:rFonts w:ascii="Times New Roman" w:hAnsi="Times New Roman"/>
          <w:caps w:val="false"/>
          <w:smallCaps w:val="false"/>
          <w:sz w:val="20"/>
        </w:rPr>
        <w:t>The Company's significant financing activities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 September 30, 2025: The Company increased borrowings under the Term Loan Credit Agreement on August 1, 2025 upon closing the First Term Loan Amendment by $180.0 million, partially offset by mandatory amortization payments totaling $60.0 million prior to that, borrowed and repaid $30.0 million under the Senior Credit Facility Agreement, paid dividends and dividend equivalents of $15.5 million and $1.6 million, respectively, paid debt issuance costs of $7.7 million primarily related to the First Term Loan Amendment and the Second Facility Amendment, paid $4.8 million in premium on extinguishment of debt and paid $3.8 million for tax withholding on vested equity awards related to the retirement of the Company’s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 September 30, 2024: The Company made mandatory payments on its Term Loan Credit Agreement totaling $90.0 million, paid $27.2 million to repurchase 1,849,636 shares of its common stock at an average cost of approximately $14.73 per share, excluding any potential excise taxes, and paid dividends and dividend equivalents of $15.1 million and $1.6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Interest Rate Risk.</w:t>
      </w:r>
      <w:r>
        <w:rPr>
          <w:rFonts w:ascii="Times New Roman" w:hAnsi="Times New Roman"/>
          <w:caps w:val="false"/>
          <w:smallCaps w:val="false"/>
          <w:sz w:val="20"/>
        </w:rPr>
        <w:t>  We are exposed to market risk due to the floating interest rates associated with any outstanding balance on the Term Loan Credit Agreement and the Senior Credit Facility Agreement. As of September 30, 2025, we had a $1.2 billion outstanding balance on the Term Loan Credit Agreement and zero outstanding on the Senior Credit Facility Agreement. Our Term Loan Credit Agreement fixes the interest rate for all of the principal balance of the Term Loan Credit Agreement at the end of each quarter for a period of three months and the Senior Credit Facility Agreement allows us to fix the interest rate for all or a portion of the principal balance for a period of up to six months. To the extent the interest rate is fixed, interest rate changes will affect the Term Loan Credit Agreement’s and Senior Credit Facility Agreement’s fair value but will not impact results of operations or cash flows. Conversely, for the portion of the Term Loan Credit Agreement and Senior Credit Facility Agreement that has a floating interest rate, interest rate changes will not affect the fair value but will impact future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Commodity Price Risk.</w:t>
      </w:r>
      <w:r>
        <w:rPr>
          <w:rFonts w:ascii="Times New Roman" w:hAnsi="Times New Roman"/>
          <w:caps w:val="false"/>
          <w:smallCaps w:val="false"/>
          <w:sz w:val="20"/>
        </w:rPr>
        <w:t>  The prices we receive for our crude oil, NGL and natural gas production directly impact our revenue, profitability, access to 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Additionally, commodity prices are subject to heightened levels of uncertainty related to geopolitical issues such as the ongoing war between Russia and Ukraine andconflicts in the Middle East. The realized prices we receive for our production also depend on numerous factors that are typically beyond our control. Based on our sales volumes during the nine months ended September 30, 2025 and excluding the effects on derivatives, a $1.00 per barrel increase (decrease) in the weighted average crude oil price for the nine months ended September 30, 2025 would have increased (decreased) the Company’s revenues by approximately $13.5 million on an annualized basis and a $0.10 per Mcf increase (decrease) in the weighted average natural gas price for the nine months ended September 30, 2025 would have increased (decreased) the Company’s revenues by approximately $1.6 million on an annualized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enter into commodity derivative contracts to reduce the risk of fluctuations in commodity prices. The fair value of our commodity derivative contracts is largely determined by estimates of the forward curves of the relevant price indices. As of September 30, 2025, a $1.00 increase (decrease) in the forward curves associated with our crude oil commodity derivative instruments would have decreased (increased) our net derivative positions for these products by approximately $7.4 million. Additionally, as of September 30, 2025, a $0.10 increase (decrease) in the forward curves associated with our natural gas commodity derivative instruments would have decreased (increased) our net derivative positions for these products by approximately $1.5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Contractual obligations. </w:t>
      </w:r>
      <w:r>
        <w:rPr>
          <w:rFonts w:ascii="Times New Roman" w:hAnsi="Times New Roman"/>
          <w:caps w:val="false"/>
          <w:smallCaps w:val="false"/>
          <w:sz w:val="20"/>
        </w:rPr>
        <w:t>The Company's contractual obligations include leases (primarily related to contracted drilling rigs, equipment and office facilities), capital funding obligations and other liabilities. Other joint owners in the properties operated by the Company could incur portions of the costs represented by these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EBITDAX represents net income before interest expense, interest and other income, income taxes, depletion, depreciation, and amortization, accretion of discount on asset retirement obligations, exploration and abandonment expense, non-cash stock-based compensation expense, noncash derivative gains and losses, other expense,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income from operations, net cash provided by operating activities, or other profitability or liquidity measures prepared under GAAP. Because EBITDAX excludes some, but not all items that affect net income and may vary among companies, the EBITDAX amounts presented may not be comparable to similar metrics of other companies.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subject to financial covenants under our Term Loan Credit Agreement and Senior Credit Facility Agreement based on EBITDAX ratios as further described in Note 7 of Notes to Consolidated Financial Statements included in “Item 1. Condensed Consolidated Financial Statements (Unaudited)” of this Quarterly Report.  The Term Loan Credit Agreement and Senior Credit Facility Agreement provide a material source of liquidity for us.  Under the terms of our Term Loan Credit Agreement and the Senior Credit Facility Agreement, if we fail to comply with the covenants that establish a maximum permitted ratio of total net leverage or a minimum permitted ratio of asset coverage, we would be in default, an event that would accelerate repayments under the Term Loan Credit Agreement and prevent us from borrowing under the Senior Credit Facility Agreement and would therefore materially limit a significant source of our liquidity.  In addition, if we are in default under the Term Loan Credit Agreement and the Senior Credit Facility Agreement and are unable to obtain a waiver of that default from our lenders, they would be entitled to exercise all their remedies for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our net income (GAAP) to EBITDAX (non-GAAP)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7256" w:type="dxa"/>
        <w:jc w:val="left"/>
        <w:tblInd w:w="0" w:type="dxa"/>
        <w:tblLayout w:type="fixed"/>
        <w:tblCellMar>
          <w:top w:w="0" w:type="dxa"/>
          <w:left w:w="0" w:type="dxa"/>
          <w:bottom w:w="0" w:type="dxa"/>
          <w:right w:w="0" w:type="dxa"/>
        </w:tblCellMar>
      </w:tblPr>
      <w:tblGrid>
        <w:gridCol w:w="3365"/>
        <w:gridCol w:w="60"/>
        <w:gridCol w:w="128"/>
        <w:gridCol w:w="716"/>
        <w:gridCol w:w="82"/>
        <w:gridCol w:w="61"/>
        <w:gridCol w:w="128"/>
        <w:gridCol w:w="716"/>
        <w:gridCol w:w="80"/>
        <w:gridCol w:w="60"/>
        <w:gridCol w:w="125"/>
        <w:gridCol w:w="695"/>
        <w:gridCol w:w="80"/>
        <w:gridCol w:w="60"/>
        <w:gridCol w:w="125"/>
        <w:gridCol w:w="695"/>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2024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(18,335</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86,088</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37,150</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129,204</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income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31,985</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100,636</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395,121</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 expense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11,326</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related noncash activity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11,514</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25,437</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EBITDAX</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139,852</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214,341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493,194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663,428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New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management’s opinion, the more significant reporting areas impacted by management’s judgments and estimates are the choice of accounting method for crude oil and natural gas activities, crude oil, NGL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our critical accounting policies and procedures during the nine months ended September 30, 2025. See our disclosure of critical accounting policies in “Item 7. Management’s Discussion and Analysis of Financial Condition and Results of Operations” and “Item 8. Financial Statements and Supplementary Data”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New accounting pronouncements issued but not yet adopted. </w:t>
      </w:r>
      <w:r>
        <w:rPr>
          <w:rFonts w:ascii="Times New Roman" w:hAnsi="Times New Roman"/>
          <w:caps w:val="false"/>
          <w:smallCaps w:val="false"/>
          <w:sz w:val="20"/>
        </w:rPr>
        <w:t>The effects of new accounting pronouncements are discussed in Note 2 of Notes to Condensed Consolidated Financial Statements included in "Item 1.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3.</w:t>
      </w:r>
      <w:r>
        <w:rPr>
          <w:rFonts w:ascii="Times New Roman" w:hAnsi="Times New Roman"/>
          <w:caps w:val="false"/>
          <w:smallCaps w:val="false"/>
          <w:sz w:val="20"/>
        </w:rPr>
        <w:t>     </w:t>
      </w:r>
      <w:r>
        <w:rPr>
          <w:rFonts w:ascii="Times New Roman" w:hAnsi="Times New Roman"/>
          <w:b/>
          <w:caps w:val="false"/>
          <w:smallCaps w:val="false"/>
          <w:sz w:val="20"/>
          <w:u w:val="single"/>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period from January 1, 2021 through September 30, 2025, the calendar month average NYMEX WTI crude oil price per Bbl ranged from a low of $52.10 to a high of $114.34, and the last trading day NYMEX natural gas price per MMBtu ranged from a low of $1.58 to a high of $9.35. A $1.00 per barrel increase (decrease) in the weighted average crude oil price for the nine months ended September 30, 2025 would have increased (decreased) the Company’s revenues by approximately $13.5 million on an annualized basis, excluding the effects of derivatives, and a $0.10 per Mcf increase (decrease) in the weighted average natural gas price for the nine months ended September 30, 2025 would have increased (decreased) the Company’s revenues by approximately $1.6 million on an annualized basis, excluding the effects of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Due to this volatility, the Company uses commodity derivative instruments, such as collars, puts, swaps and basis swaps,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The Company’s Term Loan Credit Agreement and Senior Credit Facility Agreement require the Company to hedge certain quantities of its projected crude oil production. The Company does not enter into any commodity derivative instruments, including derivatives, for speculative or trading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Counterparty and Customer Credit Risk.</w:t>
      </w:r>
      <w:r>
        <w:rPr>
          <w:rFonts w:ascii="Times New Roman" w:hAnsi="Times New Roman"/>
          <w:caps w:val="false"/>
          <w:smallCaps w:val="false"/>
          <w:sz w:val="20"/>
        </w:rPr>
        <w:t> The Company’s derivative contracts, if any, expose it to credit risk in the event of nonperformance by the counterparties. It is anticipated that if the Company enters into any commodity contracts, the collateral defined in the Collateral Agency Agreement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average forward prices based on September 30, 2025 market quotes were as follows:</w:t>
      </w:r>
    </w:p>
    <w:p>
      <w:pPr>
        <w:pStyle w:val="TextBody"/>
        <w:bidi w:val="0"/>
        <w:spacing w:before="0" w:after="0"/>
        <w:ind w:left="0" w:right="0" w:hanging="0"/>
        <w:jc w:val="left"/>
        <w:rPr>
          <w:caps w:val="false"/>
          <w:smallCaps w:val="false"/>
        </w:rPr>
      </w:pPr>
      <w:r>
        <w:rPr>
          <w:caps w:val="false"/>
          <w:smallCaps w:val="false"/>
        </w:rPr>
        <w:t> </w:t>
      </w:r>
    </w:p>
    <w:tbl>
      <w:tblPr>
        <w:tblW w:w="7078" w:type="dxa"/>
        <w:jc w:val="left"/>
        <w:tblInd w:w="0" w:type="dxa"/>
        <w:tblLayout w:type="fixed"/>
        <w:tblCellMar>
          <w:top w:w="0" w:type="dxa"/>
          <w:left w:w="0" w:type="dxa"/>
          <w:bottom w:w="0" w:type="dxa"/>
          <w:right w:w="0" w:type="dxa"/>
        </w:tblCellMar>
      </w:tblPr>
      <w:tblGrid>
        <w:gridCol w:w="4490"/>
        <w:gridCol w:w="60"/>
        <w:gridCol w:w="239"/>
        <w:gridCol w:w="935"/>
        <w:gridCol w:w="60"/>
        <w:gridCol w:w="60"/>
        <w:gridCol w:w="240"/>
        <w:gridCol w:w="934"/>
        <w:gridCol w:w="6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Remainder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2026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crude oil 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61.15</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natural gas price per MMBtu</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average forward prices based on October 31, 2025 market quotes were as follows:</w:t>
      </w:r>
    </w:p>
    <w:p>
      <w:pPr>
        <w:pStyle w:val="TextBody"/>
        <w:bidi w:val="0"/>
        <w:spacing w:before="0" w:after="0"/>
        <w:ind w:left="0" w:right="0" w:hanging="0"/>
        <w:jc w:val="left"/>
        <w:rPr>
          <w:caps w:val="false"/>
          <w:smallCaps w:val="false"/>
        </w:rPr>
      </w:pPr>
      <w:r>
        <w:rPr>
          <w:caps w:val="false"/>
          <w:smallCaps w:val="false"/>
        </w:rPr>
        <w:t> </w:t>
      </w:r>
    </w:p>
    <w:tbl>
      <w:tblPr>
        <w:tblW w:w="7123" w:type="dxa"/>
        <w:jc w:val="left"/>
        <w:tblInd w:w="0" w:type="dxa"/>
        <w:tblLayout w:type="fixed"/>
        <w:tblCellMar>
          <w:top w:w="0" w:type="dxa"/>
          <w:left w:w="0" w:type="dxa"/>
          <w:bottom w:w="0" w:type="dxa"/>
          <w:right w:w="0" w:type="dxa"/>
        </w:tblCellMar>
      </w:tblPr>
      <w:tblGrid>
        <w:gridCol w:w="4490"/>
        <w:gridCol w:w="60"/>
        <w:gridCol w:w="249"/>
        <w:gridCol w:w="970"/>
        <w:gridCol w:w="60"/>
        <w:gridCol w:w="60"/>
        <w:gridCol w:w="240"/>
        <w:gridCol w:w="934"/>
        <w:gridCol w:w="6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Remainder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crude oil price per Bbl</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60.04</w:t>
            </w:r>
          </w:p>
        </w:tc>
        <w:tc>
          <w:tcPr>
            <w:tcW w:w="60"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forward NYMEX natural gas price per MMBtu</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Credit Risk.</w:t>
      </w:r>
      <w:r>
        <w:rPr>
          <w:rFonts w:ascii="Times New Roman" w:hAnsi="Times New Roman"/>
          <w:caps w:val="false"/>
          <w:smallCaps w:val="false"/>
          <w:sz w:val="20"/>
        </w:rPr>
        <w:t> The Company's primary concentration of credit risk is associated with (i) the collection of receivables resulting from the sale of crude oil and natural gas production and (ii) the risk of a counterparty's failure to meet its obligations under derivative contracts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Interest Rate Risk.</w:t>
      </w:r>
      <w:r>
        <w:rPr>
          <w:rFonts w:ascii="Times New Roman" w:hAnsi="Times New Roman"/>
          <w:caps w:val="false"/>
          <w:smallCaps w:val="false"/>
          <w:sz w:val="20"/>
        </w:rPr>
        <w:t> As of September 30, 2025, we had $1.2 billion outstanding under the Term Loan Credit Agreement and had $93.1 million of available borrowing capacity under the Senior Credit Facility Agreement. The Company is subject to interest rate risk on its variable rate debt from our Term Loan Credit Agreement and Senior Credit Facility Agreement. The Company also has fixed rate debt for short periods that is periodically adjusted, but does not currently utilize derivative instruments to manage the economic effect of changes in interest rates. The impact of a 1% increase in interest rates on our outstanding debt as of September 30, 2025 would have resulted in an annual increase in interest expense of approximately $12.0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4.</w:t>
      </w:r>
      <w:r>
        <w:rPr>
          <w:rFonts w:ascii="Times New Roman" w:hAnsi="Times New Roman"/>
          <w:caps w:val="false"/>
          <w:smallCaps w:val="false"/>
          <w:sz w:val="20"/>
        </w:rPr>
        <w:t>     </w:t>
      </w:r>
      <w:r>
        <w:rPr>
          <w:rFonts w:ascii="Times New Roman" w:hAnsi="Times New Roman"/>
          <w:b/>
          <w:caps w:val="false"/>
          <w:smallCaps w:val="false"/>
          <w:sz w:val="20"/>
          <w:u w:val="single"/>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have been no changes in the Company’s internal control over financial reporting (as defined in Rule 13a-15(f) under the Exchange Act) that occurred during the three months ended September 30, 2025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1.</w:t>
      </w:r>
      <w:r>
        <w:rPr>
          <w:rFonts w:ascii="Times New Roman" w:hAnsi="Times New Roman"/>
          <w:caps w:val="false"/>
          <w:smallCaps w:val="false"/>
          <w:sz w:val="20"/>
        </w:rPr>
        <w:t>     </w:t>
      </w:r>
      <w:r>
        <w:rPr>
          <w:rFonts w:ascii="Times New Roman" w:hAnsi="Times New Roman"/>
          <w:b/>
          <w:caps w:val="false"/>
          <w:smallCaps w:val="false"/>
          <w:sz w:val="20"/>
          <w:u w:val="single"/>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the Company may be a party to various lawsuits, proceedings and claims incidental to its business. While many of these matters involve inherent uncertainty, the Company believes that the amount of liability, if any, ultimately incurred with respect to these proceedings and claims will not have a material adverse effect on the Company's consolidated financial position as a whole or on its liquidity, capital resources or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1A.</w:t>
      </w:r>
      <w:r>
        <w:rPr>
          <w:rFonts w:ascii="Times New Roman" w:hAnsi="Times New Roman"/>
          <w:caps w:val="false"/>
          <w:smallCaps w:val="false"/>
          <w:sz w:val="20"/>
        </w:rPr>
        <w:t>     </w:t>
      </w:r>
      <w:r>
        <w:rPr>
          <w:rFonts w:ascii="Times New Roman" w:hAnsi="Times New Roman"/>
          <w:b/>
          <w:caps w:val="false"/>
          <w:smallCaps w:val="false"/>
          <w:sz w:val="20"/>
          <w:u w:val="single"/>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should be carefully considered, as such risks could materially affect the Company's business, financial condition or future results. Except as set forth below, there has been no material change in the Company's risk factors that were described in the Company’s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are currently a</w:t>
      </w:r>
      <w:r>
        <w:rPr>
          <w:rFonts w:ascii="Times New Roman" w:hAnsi="Times New Roman"/>
          <w:caps w:val="false"/>
          <w:smallCaps w:val="false"/>
          <w:sz w:val="20"/>
        </w:rPr>
        <w:t> “</w:t>
      </w:r>
      <w:r>
        <w:rPr>
          <w:rFonts w:ascii="Times New Roman" w:hAnsi="Times New Roman"/>
          <w:b/>
          <w:i/>
          <w:caps w:val="false"/>
          <w:smallCaps w:val="false"/>
          <w:sz w:val="20"/>
        </w:rPr>
        <w:t>controlled company</w:t>
      </w:r>
      <w:r>
        <w:rPr>
          <w:rFonts w:ascii="Times New Roman" w:hAnsi="Times New Roman"/>
          <w:caps w:val="false"/>
          <w:smallCaps w:val="false"/>
          <w:sz w:val="20"/>
        </w:rPr>
        <w:t>” </w:t>
      </w:r>
      <w:r>
        <w:rPr>
          <w:rFonts w:ascii="Times New Roman" w:hAnsi="Times New Roman"/>
          <w:b/>
          <w:i/>
          <w:caps w:val="false"/>
          <w:smallCaps w:val="false"/>
          <w:sz w:val="20"/>
        </w:rPr>
        <w:t>within the meaning of Nasdaq rules and</w:t>
      </w:r>
      <w:r>
        <w:rPr>
          <w:rFonts w:ascii="Times New Roman" w:hAnsi="Times New Roman"/>
          <w:caps w:val="false"/>
          <w:smallCaps w:val="false"/>
          <w:sz w:val="20"/>
        </w:rPr>
        <w:t> </w:t>
      </w:r>
      <w:r>
        <w:rPr>
          <w:rFonts w:ascii="Times New Roman" w:hAnsi="Times New Roman"/>
          <w:b/>
          <w:i/>
          <w:caps w:val="false"/>
          <w:smallCaps w:val="false"/>
          <w:sz w:val="20"/>
        </w:rPr>
        <w:t>qualify</w:t>
      </w:r>
      <w:r>
        <w:rPr>
          <w:rFonts w:ascii="Times New Roman" w:hAnsi="Times New Roman"/>
          <w:caps w:val="false"/>
          <w:smallCaps w:val="false"/>
          <w:sz w:val="20"/>
        </w:rPr>
        <w:t> </w:t>
      </w:r>
      <w:r>
        <w:rPr>
          <w:rFonts w:ascii="Times New Roman" w:hAnsi="Times New Roman"/>
          <w:b/>
          <w:i/>
          <w:caps w:val="false"/>
          <w:smallCaps w:val="false"/>
          <w:sz w:val="20"/>
        </w:rPr>
        <w:t>for exemptions from certain corporate governance requirements. As a result, stockholders</w:t>
      </w:r>
      <w:r>
        <w:rPr>
          <w:rFonts w:ascii="Times New Roman" w:hAnsi="Times New Roman"/>
          <w:caps w:val="false"/>
          <w:smallCaps w:val="false"/>
          <w:sz w:val="20"/>
        </w:rPr>
        <w:t> </w:t>
      </w:r>
      <w:r>
        <w:rPr>
          <w:rFonts w:ascii="Times New Roman" w:hAnsi="Times New Roman"/>
          <w:b/>
          <w:i/>
          <w:caps w:val="false"/>
          <w:smallCaps w:val="false"/>
          <w:sz w:val="20"/>
        </w:rPr>
        <w:t>do</w:t>
      </w:r>
      <w:r>
        <w:rPr>
          <w:rFonts w:ascii="Times New Roman" w:hAnsi="Times New Roman"/>
          <w:caps w:val="false"/>
          <w:smallCaps w:val="false"/>
          <w:sz w:val="20"/>
        </w:rPr>
        <w:t> </w:t>
      </w:r>
      <w:r>
        <w:rPr>
          <w:rFonts w:ascii="Times New Roman" w:hAnsi="Times New Roman"/>
          <w:b/>
          <w:i/>
          <w:caps w:val="false"/>
          <w:smallCaps w:val="false"/>
          <w:sz w:val="20"/>
        </w:rPr>
        <w:t>not have the same protections afforded to stockholders of companies that are not exempt from such corporate governance requirements. It is anticipated that we will cease to be a controlled company following the end of year, but that over a majority of our shares will still be held by the HighPeak Funds, the John Paul DeJoria Family Trust and the John Paul DeJoria Dynasty Trust</w:t>
      </w:r>
      <w:r>
        <w:rPr>
          <w:rFonts w:ascii="Times New Roman" w:hAnsi="Times New Roman"/>
          <w:caps w:val="false"/>
          <w:smallCaps w:val="false"/>
          <w:sz w:val="20"/>
        </w:rPr>
        <w:t xml:space="preserve">. </w:t>
      </w:r>
      <w:r>
        <w:rPr>
          <w:rFonts w:ascii="Times New Roman" w:hAnsi="Times New Roman"/>
          <w:b/>
          <w:i/>
          <w:caps w:val="false"/>
          <w:smallCaps w:val="false"/>
          <w:sz w:val="20"/>
        </w:rPr>
        <w:t>The HighPeak Funds have and, following the HighPeak II Distribution expected early next year, the John Paul DeJoria Family Trust and John Paul DeJoria Dynasty Trust, will have significant influence over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HighPeak Funds collectively own a majority of HighPeak Energy’s outstanding voting stock. Therefore, HighPeak Energy is a controlled company within the meaning of Nasdaq corporate governance standards. Following Mr. Jack Hightower’s retirement, the HighPeak Funds are managed by a committee comprised of Mr. Hollis, Daniel Silver and Ryan Hightower, each of whom also serve as President and Chief Executive Officer, Executive Vice President and Executive Vice President of the Company,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Nasdaq rules, a company of which more than 50% of the voting power is held by an individual, company or group of persons acting together is a controlled company and may elect not to comply with certain Nasdaq corporate governance requirements, including the requirements that:</w:t>
      </w:r>
    </w:p>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170"/>
        <w:gridCol w:w="6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majority of the Board consist of independent directors under Nasdaq rules;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nominating and governance committee be composed entirely of independent directors with a written charter addressing the committee’s purpose and responsibilities;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compensation committee be composed entirely of independent directors with a written charter addressing the committee’s purpose and responsibilities.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majority of the HighPeak Energy board members are independent and both the Nominating and Governance Committee and Compensation Committees are composed solely of independent members of the board. These requirements will not apply to HighPeak Energy as long as it remains a controlled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Mr. Jack Hightower’s retirement, the HighPeak Funds have agreed that HighPeak II will likely distribute its shares early next year (the “HighPeak II Distribution”), at which time HighPeak Energy will cease to be a controlled company. Following the HighPeak II Distribution and the distribution of 1,532,478 founder shares to Mr. Jack Hightower, the HighPeak Funds will own approximately 34.2% of our common stock, and approximately 35.8% of our common stock will be owned by the John Paul DeJoria Family Trust and the John Paul DeJoria Dynasty Trust. Such beneficial ownership by HighPeak Funds, the John Paul DeJoria Family Trust and the John Paul DeJoria Dynasty Trust of our voting interests could limit the ability of our other stockholders to approve transactions they may deem to be in the best interests of our Company or delay or prevent changes in control or changes in our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long as the HighPeak Funds and, following the HighPeak II Distribution, the John Paul DeJoria Family Trust and John Paul DeJoria Dynasty Trust continue to own or control a significant percentage of outstanding voting power, they may have the ability to strongly influence all corporate actions requiring stockholder approval, including the election and removal of directors and the size of our board of directors, any amendment of our Second Amended and Restated Certificate of Incorporation or our Amended and Restated Bylaws, or the approval of any merger or other significant corporate transaction, including a sale of substantially all of our assets. Moreover, this concentration of stock ownership by our significant stockholders may also adversely affect the trading price of our common stock to the extent investors perceive a disadvantage in owning stock of a company with stockholders who own such a significant percentage of our voting securities</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following the HighPeak II Distribution, because HighPeak Energy will cease to be a controlled company, any action required or permitted to be taken by the stockholders of the Company must be taken at a duly held annual or special meeting of stockholders and may not be taken by any consent in writing of such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Crude oil, NGL and natural gas prices are volatile. Sustained volatility, or declines in, crude oil, NGL and natural gas prices could adversely affect HighPeak Energy</w:t>
      </w:r>
      <w:r>
        <w:rPr>
          <w:rFonts w:ascii="Times New Roman" w:hAnsi="Times New Roman"/>
          <w:caps w:val="false"/>
          <w:smallCaps w:val="false"/>
          <w:sz w:val="20"/>
        </w:rPr>
        <w:t>’</w:t>
      </w:r>
      <w:r>
        <w:rPr>
          <w:rFonts w:ascii="Times New Roman" w:hAnsi="Times New Roman"/>
          <w:b/>
          <w:i/>
          <w:caps w:val="false"/>
          <w:smallCaps w:val="false"/>
          <w:sz w:val="20"/>
        </w:rPr>
        <w:t>s business, financial condition and results of operations and its ability to meet its capital expenditure obligations and other financial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prices we receive for our crude oil, NGL and natural gas production heavily influence its revenue, profitability, access to capital, future rate of growth and the carrying value of its properties. The markets for crude oil and natural gas have been volatile historically and are likely to remain volatile in the future. For example, during the period from January 1, 2021 through September 30, 2025, the calendar month average NYMEX WTI crude oil price per Bbl ranged from a low of $52.10 to a high of $114.34, and the last trading day NYMEX natural gas price per MMBtu ranged from a low of $1.58 to a high of $9.35. One of the factors which caused the fall in prices was OPEC and its non-OPEC allies, known collectively as OPEC+, being unable to reach an agreement on production levels for crude oil, which resulted in Saudi Arabia and Russia initiating efforts to increase production. The convergence of these events, along with the significantly reduced demand because of the COVID-19 pandemic, created an unprecedented global crude oil and natural gas supply and demand imbalance, reduced global crude oil and natural gas storage capacity, caused crude oil and natural gas prices to decline significantly and resulted in continued volatility in crude oil, NGL and natural gas prices. Prices have recovered to pre-pandemic levels, with the calendar month average NYMEX WTI crude oil price of $63.53 per Bbl and the last trading day NYMEX natural gas price of $2.867 per MMBtu for the month of September 2025. However, there can be no certainty that commodity prices will sustain at these levels or continue to increase. In addition, the current U.S. presidential administration has signaled it will encourage increased domestic production of crude oil, which could lead to declines in crude oil, NGL and natural gas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Likewise, NGL, which are made up of ethane, propane, isobutane, normal butane and natural gasoline, each of which has different uses and pricing characteristics, have also fluctuated widely during this period. The prices HighPeak Energy receives for its production, and the levels of HighPeak Energy’s production, will depend on numerous factors beyond HighPeak Energy’s control, which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worldwide and regional economic conditions, including elevated interest rates and associated policies of the Federal Reserve, impacting the global supply and demand for crude oil, NGL and natural gas;</w:t>
            </w:r>
          </w:p>
        </w:tc>
      </w:tr>
    </w:tbl>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price and quantity of foreign imports of crude oil, NGL and natural gas;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domestic and global political and economic conditions, such as the change in U.S. presidential administration, the ongoing war between Russia and Ukraine, conflicts in the Middle East, socio-political unrest and instability, terrorism or hostilities in or affecting other producing regions or countries, including the Middle East, Africa, South America and Russia;</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occurrence or threat of epidemic or pandemic diseases, such as COVID-19, or any government response to such occurrence or threat;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actions of OPEC or OPEC+, its members and other state-controlled crude oil companies relating to crude oil price and production controls;</w:t>
            </w:r>
          </w:p>
        </w:tc>
      </w:tr>
    </w:tbl>
    <w:tbl>
      <w:tblPr>
        <w:tblW w:w="5230" w:type="dxa"/>
        <w:jc w:val="left"/>
        <w:tblInd w:w="0" w:type="dxa"/>
        <w:tblLayout w:type="fixed"/>
        <w:tblCellMar>
          <w:top w:w="0" w:type="dxa"/>
          <w:left w:w="0" w:type="dxa"/>
          <w:bottom w:w="0" w:type="dxa"/>
          <w:right w:w="0" w:type="dxa"/>
        </w:tblCellMar>
      </w:tblPr>
      <w:tblGrid>
        <w:gridCol w:w="60"/>
        <w:gridCol w:w="170"/>
        <w:gridCol w:w="50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level of global exploration, development and production;</w:t>
            </w:r>
          </w:p>
        </w:tc>
      </w:tr>
    </w:tbl>
    <w:tbl>
      <w:tblPr>
        <w:tblW w:w="2755" w:type="dxa"/>
        <w:jc w:val="left"/>
        <w:tblInd w:w="0" w:type="dxa"/>
        <w:tblLayout w:type="fixed"/>
        <w:tblCellMar>
          <w:top w:w="0" w:type="dxa"/>
          <w:left w:w="0" w:type="dxa"/>
          <w:bottom w:w="0" w:type="dxa"/>
          <w:right w:w="0" w:type="dxa"/>
        </w:tblCellMar>
      </w:tblPr>
      <w:tblGrid>
        <w:gridCol w:w="60"/>
        <w:gridCol w:w="170"/>
        <w:gridCol w:w="2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level of global inventories;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prevailing prices, and expectations regarding future prices, on local price indexes in the areas in which HighPeak Energy operates;</w:t>
            </w:r>
          </w:p>
        </w:tc>
      </w:tr>
    </w:tbl>
    <w:tbl>
      <w:tblPr>
        <w:tblW w:w="7270" w:type="dxa"/>
        <w:jc w:val="left"/>
        <w:tblInd w:w="0" w:type="dxa"/>
        <w:tblLayout w:type="fixed"/>
        <w:tblCellMar>
          <w:top w:w="0" w:type="dxa"/>
          <w:left w:w="0" w:type="dxa"/>
          <w:bottom w:w="0" w:type="dxa"/>
          <w:right w:w="0" w:type="dxa"/>
        </w:tblCellMar>
      </w:tblPr>
      <w:tblGrid>
        <w:gridCol w:w="60"/>
        <w:gridCol w:w="170"/>
        <w:gridCol w:w="70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proximity, capacity, cost and availability of gathering and transportation facilities;</w:t>
            </w:r>
          </w:p>
        </w:tc>
      </w:tr>
    </w:tbl>
    <w:tbl>
      <w:tblPr>
        <w:tblW w:w="7270" w:type="dxa"/>
        <w:jc w:val="left"/>
        <w:tblInd w:w="0" w:type="dxa"/>
        <w:tblLayout w:type="fixed"/>
        <w:tblCellMar>
          <w:top w:w="0" w:type="dxa"/>
          <w:left w:w="0" w:type="dxa"/>
          <w:bottom w:w="0" w:type="dxa"/>
          <w:right w:w="0" w:type="dxa"/>
        </w:tblCellMar>
      </w:tblPr>
      <w:tblGrid>
        <w:gridCol w:w="60"/>
        <w:gridCol w:w="170"/>
        <w:gridCol w:w="70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localized and global supply and demand fundamentals and transportation availability;</w:t>
            </w:r>
          </w:p>
        </w:tc>
      </w:tr>
    </w:tbl>
    <w:tbl>
      <w:tblPr>
        <w:tblW w:w="6280" w:type="dxa"/>
        <w:jc w:val="left"/>
        <w:tblInd w:w="0" w:type="dxa"/>
        <w:tblLayout w:type="fixed"/>
        <w:tblCellMar>
          <w:top w:w="0" w:type="dxa"/>
          <w:left w:w="0" w:type="dxa"/>
          <w:bottom w:w="0" w:type="dxa"/>
          <w:right w:w="0" w:type="dxa"/>
        </w:tblCellMar>
      </w:tblPr>
      <w:tblGrid>
        <w:gridCol w:w="60"/>
        <w:gridCol w:w="170"/>
        <w:gridCol w:w="6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cost of exploring for, developing, producing and transporting reserves;</w:t>
            </w:r>
          </w:p>
        </w:tc>
      </w:tr>
    </w:tbl>
    <w:tbl>
      <w:tblPr>
        <w:tblW w:w="3550" w:type="dxa"/>
        <w:jc w:val="left"/>
        <w:tblInd w:w="0" w:type="dxa"/>
        <w:tblLayout w:type="fixed"/>
        <w:tblCellMar>
          <w:top w:w="0" w:type="dxa"/>
          <w:left w:w="0" w:type="dxa"/>
          <w:bottom w:w="0" w:type="dxa"/>
          <w:right w:w="0" w:type="dxa"/>
        </w:tblCellMar>
      </w:tblPr>
      <w:tblGrid>
        <w:gridCol w:w="60"/>
        <w:gridCol w:w="170"/>
        <w:gridCol w:w="3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weather conditions and natural disasters;</w:t>
            </w:r>
          </w:p>
        </w:tc>
      </w:tr>
    </w:tbl>
    <w:tbl>
      <w:tblPr>
        <w:tblW w:w="4705" w:type="dxa"/>
        <w:jc w:val="left"/>
        <w:tblInd w:w="0" w:type="dxa"/>
        <w:tblLayout w:type="fixed"/>
        <w:tblCellMar>
          <w:top w:w="0" w:type="dxa"/>
          <w:left w:w="0" w:type="dxa"/>
          <w:bottom w:w="0" w:type="dxa"/>
          <w:right w:w="0" w:type="dxa"/>
        </w:tblCellMar>
      </w:tblPr>
      <w:tblGrid>
        <w:gridCol w:w="60"/>
        <w:gridCol w:w="170"/>
        <w:gridCol w:w="4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technological advances affecting energy consumption;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price and availability of alternative fuels, including the potential acceleration of the development of alternative fuels as a result of the IRA 2022 or otherwise;</w:t>
            </w:r>
          </w:p>
        </w:tc>
      </w:tr>
    </w:tbl>
    <w:tbl>
      <w:tblPr>
        <w:tblW w:w="4225" w:type="dxa"/>
        <w:jc w:val="left"/>
        <w:tblInd w:w="0" w:type="dxa"/>
        <w:tblLayout w:type="fixed"/>
        <w:tblCellMar>
          <w:top w:w="0" w:type="dxa"/>
          <w:left w:w="0" w:type="dxa"/>
          <w:bottom w:w="0" w:type="dxa"/>
          <w:right w:w="0" w:type="dxa"/>
        </w:tblCellMar>
      </w:tblPr>
      <w:tblGrid>
        <w:gridCol w:w="60"/>
        <w:gridCol w:w="170"/>
        <w:gridCol w:w="3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expectations about future commodity prices; and</w:t>
            </w:r>
          </w:p>
        </w:tc>
      </w:tr>
    </w:tbl>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 state and local and non-U.S. governmental regulation and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Lower commodity prices may reduce HighPeak Energy’s cash flow and access to capital markets. If HighPeak Energy is unable to obtain needed capital or financing on satisfactory terms, its ability to develop future reserves could be adversely affected. Also, using lower prices in estimating proved reserves may result in a reduction in proved reserve volumes due to economic limits. In addition, sustained periods with lower crude oil and natural gas prices may adversely affect drilling economics and HighPeak Energy’s ability to raise capital, which may require it to re-evaluate and postpone or eliminate its development program, and result in the reduction of some proved undeveloped reserves and related standardized measure. If HighPeak Energy is required to curtail its drilling program, HighPeak Energy may be unable to hold leases that are scheduled to expire, which may further reduce reserves. As a result, a substantial or extended decline in commodity prices may materially and adversely affect HighPeak Energy’s future business, financial condition, results of operations, liquidity and ability to finance planned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Tariffs and other trade measures could adversely affect our operations, profitability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2, 2025, the United States announced a baseline tariff on all foreign goods, with goods imported from specified nations, including China and those in the European Union, subject to higher tariff rates. Since then, there have been delays of imposition of tariffs while the United States negotiates with those countries, as well as litigation seeking to restrict and/or delay the implantation of such tariffs, and the extent of such delays and the ultimate outcome and impacts cannot be predicted at this time. It remains unclear to what extent, upon which countries, and upon which terms, tariffs may be levied and, to the extent that such trade policies impact our supply chain, we may not be able to fully mitigate the impact of these increased costs or pass price increases on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be materially adversely impacted by tariffs if we are not able to adapt our supply chain strategy. We may also face unanticipated costs in developing our domestic supply chain and increased competition for materials and components in the United States, which also would impact our business and results of operations. The imposition of tariffs has and may create uncertainty in our industry. Increases in costs to drill and develop reserves as a result of tariffs coupled with lower commodity prices from increased domestic production could make producing such reserves no longer economically viable or technically feasible. Additionally, existing or future tariffs may negatively affect our customers, suppliers, and manufacturing partners. Such outcomes could adversely affect the amount or timing of our revenues, results of operations or cash flows, and continuing uncertainty could cause sales volatility and price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Tariffs, the adoption and expansion of trade restrictions, the occurrence of a trade war, or other governmental action related to tariffs, trade agreements or related policies have the potential to adversely impact our supply chain and access to equipment, and our costs and ability to economically serve certain markets. Any such cost increases or decreases in availability could slow our growth and cause our financial results and operational metrics to suffer. There is current uncertainty about the future relationship between the United States and other countries with respect to trade policies, taxes, government regulations, and tariffs and we cannot predict whether, and to what extent, U.S. trade policies will change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HighPeak Energy</w:t>
      </w:r>
      <w:r>
        <w:rPr>
          <w:rFonts w:ascii="Times New Roman" w:hAnsi="Times New Roman"/>
          <w:caps w:val="false"/>
          <w:smallCaps w:val="false"/>
          <w:sz w:val="20"/>
        </w:rPr>
        <w:t>’</w:t>
      </w:r>
      <w:r>
        <w:rPr>
          <w:rFonts w:ascii="Times New Roman" w:hAnsi="Times New Roman"/>
          <w:b/>
          <w:i/>
          <w:caps w:val="false"/>
          <w:smallCaps w:val="false"/>
          <w:sz w:val="20"/>
        </w:rPr>
        <w:t>s development projects and acquisitions will require substantial capital expenditures. HighPeak Energy may be unable to obtain required capital or financing on satisfactory terms, including as a result of recent increases in the cost of capital resulting from Federal Reserve policies or otherwise, which could reduce its ability to access or increase production and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crude oil and natural gas industry is capital-intensive. We have evaluated multiple development scenarios under multiple potential commodity price assumptions. Under its current 2025 development program, we would expect to incur approximately $375 to $405 million of capital expenditures for drilling, completion, facilities and equipping costs, $40 to $50 million for field infrastructure and $33 to $35 million on one-time infrastructure expenditures. The ability to make these capital expenditures will be highly dependent on the price of crude oil and available funding of HighPeak Energy. Commodity prices have declined in the first nine months of 2025, with the calendar month average NYMEX WTI price of $63.53 per Bbl and last trading day NYMEX natural gas price of $2.867 per MMBtu for the month of September 2025. We ran a two-rig program for the majority of 2024. We expect to average one to two (1-2) drilling rigs and one (1) frac crew during 2025. We recognize that commodity prices remain highly volatile and that its liquidity is limited, and as a result, there is no certainty that we will operate a two (2) rig development program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fund our forecasted capital expenditures with cash on its balance sheet, cash generated by operations and, depending on market circumstances, potential future debt or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operations are subject to significant uncertainty. As a result, the amount of liquidity that we will have in the future is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financing needs may require it to alter or increase its capitalization substantially through the issuance of debt or equity securities or the sale of assets. The availability and cost of these capital sources is cyclical, and these capital sources may not remain available, or we may not be able to obtain financing at a reasonable cost in the future. For example, due to the high levels of inflation in the United States, the Federal Reserve and other central banks increased interest rates multiple times in 2022 and 2023, and began decreasing rates with three rate cuts toward the end of 2024. The Federal Reserve kept interest rates steady in 2025 citing the unknown effects of the Trump Administration’s trade policies on inflation, but it resumed such decreases in September 2025, although uncertainty remains as to when or if such elevated rates may be decreased further. Such increased interest rates have increased the cost of capital and may prevent us from being able to obtain debt financing at favorable rates, or at all, which would materially impact our operations. In addition, conditions in the global capital markets have been volatile due to uncertainty around tariff rates and trade policies, the ongoing war between Russia and Ukraine, conflicts in the Middle East or otherwise, making terms for certain types of financing difficult to predict, and in certain cases, resulting in certain types of financing being unavailable. Further, the issuance of additional indebtedness would require that an additional portion of cash flow from operations be used for the payment of interest and principal on its indebtedness, thereby further reducing its ability to use cash flow from operations to fund working capital, capital expenditures and acquisitions. The issuance of additional equity securities would be dilutive to existing stockholders. The actual amount and timing of future capital expenditures may differ materially from estimates as a result of, among other things: commodity prices; actual drilling results; the availability of drilling rigs and other services and equipment; and regulatory, technological and competitive developments. A reduction in commodity prices from current levels may result in a decrease in actual capital expenditures, which would negatively impact our ability to increase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cash flow from operations and access to capital are subject to several variables, including:</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prices at which our production is sold;</w:t>
            </w:r>
          </w:p>
        </w:tc>
      </w:tr>
    </w:tbl>
    <w:tbl>
      <w:tblPr>
        <w:tblW w:w="1570" w:type="dxa"/>
        <w:jc w:val="left"/>
        <w:tblInd w:w="0" w:type="dxa"/>
        <w:tblLayout w:type="fixed"/>
        <w:tblCellMar>
          <w:top w:w="0" w:type="dxa"/>
          <w:left w:w="0" w:type="dxa"/>
          <w:bottom w:w="0" w:type="dxa"/>
          <w:right w:w="0" w:type="dxa"/>
        </w:tblCellMar>
      </w:tblPr>
      <w:tblGrid>
        <w:gridCol w:w="60"/>
        <w:gridCol w:w="170"/>
        <w:gridCol w:w="1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proved reserves;</w:t>
            </w:r>
          </w:p>
        </w:tc>
      </w:tr>
    </w:tbl>
    <w:tbl>
      <w:tblPr>
        <w:tblW w:w="5650" w:type="dxa"/>
        <w:jc w:val="left"/>
        <w:tblInd w:w="0" w:type="dxa"/>
        <w:tblLayout w:type="fixed"/>
        <w:tblCellMar>
          <w:top w:w="0" w:type="dxa"/>
          <w:left w:w="0" w:type="dxa"/>
          <w:bottom w:w="0" w:type="dxa"/>
          <w:right w:w="0" w:type="dxa"/>
        </w:tblCellMar>
      </w:tblPr>
      <w:tblGrid>
        <w:gridCol w:w="60"/>
        <w:gridCol w:w="170"/>
        <w:gridCol w:w="5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4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 of hydrocarbons we are able to produce from our wells;</w:t>
            </w:r>
          </w:p>
        </w:tc>
      </w:tr>
    </w:tbl>
    <w:tbl>
      <w:tblPr>
        <w:tblW w:w="4750" w:type="dxa"/>
        <w:jc w:val="left"/>
        <w:tblInd w:w="0" w:type="dxa"/>
        <w:tblLayout w:type="fixed"/>
        <w:tblCellMar>
          <w:top w:w="0" w:type="dxa"/>
          <w:left w:w="0" w:type="dxa"/>
          <w:bottom w:w="0" w:type="dxa"/>
          <w:right w:w="0" w:type="dxa"/>
        </w:tblCellMar>
      </w:tblPr>
      <w:tblGrid>
        <w:gridCol w:w="60"/>
        <w:gridCol w:w="170"/>
        <w:gridCol w:w="4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acquire, locate and produce new reserves;</w:t>
            </w:r>
          </w:p>
        </w:tc>
      </w:tr>
    </w:tbl>
    <w:tbl>
      <w:tblPr>
        <w:tblW w:w="3355" w:type="dxa"/>
        <w:jc w:val="left"/>
        <w:tblInd w:w="0" w:type="dxa"/>
        <w:tblLayout w:type="fixed"/>
        <w:tblCellMar>
          <w:top w:w="0" w:type="dxa"/>
          <w:left w:w="0" w:type="dxa"/>
          <w:bottom w:w="0" w:type="dxa"/>
          <w:right w:w="0" w:type="dxa"/>
        </w:tblCellMar>
      </w:tblPr>
      <w:tblGrid>
        <w:gridCol w:w="60"/>
        <w:gridCol w:w="170"/>
        <w:gridCol w:w="3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 of our operating expenses;</w:t>
            </w:r>
          </w:p>
        </w:tc>
      </w:tr>
    </w:tbl>
    <w:tbl>
      <w:tblPr>
        <w:tblW w:w="4030" w:type="dxa"/>
        <w:jc w:val="left"/>
        <w:tblInd w:w="0" w:type="dxa"/>
        <w:tblLayout w:type="fixed"/>
        <w:tblCellMar>
          <w:top w:w="0" w:type="dxa"/>
          <w:left w:w="0" w:type="dxa"/>
          <w:bottom w:w="0" w:type="dxa"/>
          <w:right w:w="0" w:type="dxa"/>
        </w:tblCellMar>
      </w:tblPr>
      <w:tblGrid>
        <w:gridCol w:w="60"/>
        <w:gridCol w:w="170"/>
        <w:gridCol w:w="3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settlements from our derivative activities;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interruptions or curtailments from time-to-time related to third-party infrastructure downtime or delays in third-party installation of infrastructure, including electrical power supply, that affects our ability to produce our crude oil and natural gas;</w:t>
            </w:r>
          </w:p>
        </w:tc>
      </w:tr>
    </w:tbl>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duration and scope of the ongoing war between Russia and Ukraine and conflicts in the Middle East;</w:t>
            </w:r>
          </w:p>
        </w:tc>
      </w:tr>
    </w:tbl>
    <w:tbl>
      <w:tblPr>
        <w:tblW w:w="5650" w:type="dxa"/>
        <w:jc w:val="left"/>
        <w:tblInd w:w="0" w:type="dxa"/>
        <w:tblLayout w:type="fixed"/>
        <w:tblCellMar>
          <w:top w:w="0" w:type="dxa"/>
          <w:left w:w="0" w:type="dxa"/>
          <w:bottom w:w="0" w:type="dxa"/>
          <w:right w:w="0" w:type="dxa"/>
        </w:tblCellMar>
      </w:tblPr>
      <w:tblGrid>
        <w:gridCol w:w="60"/>
        <w:gridCol w:w="170"/>
        <w:gridCol w:w="5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obtain storage capacity for the crude oil we produce;</w:t>
            </w:r>
          </w:p>
        </w:tc>
      </w:tr>
    </w:tbl>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2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in the instruments governing our debt on our ability to incur additional indebtedness; and</w:t>
            </w:r>
          </w:p>
        </w:tc>
      </w:tr>
    </w:tbl>
    <w:tbl>
      <w:tblPr>
        <w:tblW w:w="4915" w:type="dxa"/>
        <w:jc w:val="left"/>
        <w:tblInd w:w="0" w:type="dxa"/>
        <w:tblLayout w:type="fixed"/>
        <w:tblCellMar>
          <w:top w:w="0" w:type="dxa"/>
          <w:left w:w="0" w:type="dxa"/>
          <w:bottom w:w="0" w:type="dxa"/>
          <w:right w:w="0" w:type="dxa"/>
        </w:tblCellMar>
      </w:tblPr>
      <w:tblGrid>
        <w:gridCol w:w="60"/>
        <w:gridCol w:w="170"/>
        <w:gridCol w:w="4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6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access the public or private capital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Should our revenues decrease as a result of lower crude oil, NGL and natural gas prices, operational difficulties, declines in reserves or for any other reason, we may have limited ability to obtain the capital necessary to sustain operations at expected levels. If additional capital is needed, we may not be able to obtain debt or equity financing on terms acceptable to it, if at all, due to elevated interest rates and associated policies of the Federal Reserve, or otherwise. If cash flow generated by our operations or available debt financing are insufficient to meet our capital requirements, the failure to obtain additional financing could result in a curtailment of the development of our properties, which in turn could lead to a decline in reserves and production and could materially and adversely affect our business, financial condition and results of operations. If we seek and obtain additional financing, subject to the restrictions in the instruments governing its existing debt, the addition of new debt to existing debt levels could intensify the operational risks that we will face. Further, adding new debt could limit our ability to service existing debt service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Hedging transactions expose HighPeak Energy to counterparty credit risk and may become more costly or unavailable.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Hedging transactions expose us to risk of financial loss if a counterparty fails to perform under a derivative contract. Disruptions in the financial markets could lead to sudden decreases in a counterparty’s liquidity, which could make them unable to perform under the terms of the derivative contract and we may not be able to realize the benefit of the derivative contract. Derivative instruments also expose us to the risk of financial loss in some circumstances, including when there is an increase in the differential between the underlying price in the derivative instrument and actual prices received or there are issues with regard to legal enforceability of such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use of derivatives may, in some cases, require the posting of cash collateral with counterparties. If we enter into derivative instruments that require cash collateral and commodity prices or interest rates change in an adverse manner, our cash otherwise available for use in operations would be reduced which could limit our ability to make future capital expenditures and make payments on indebtedness. Future collateral requirements will depend on arrangements with counterparties, highly volatile crude oil, NGL and natural gas prices and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derivative arrangements could limit the benefits to be received from increases in the prices for crude oil, NGL and natural gas, which could also have an adverse effect on HighPeak Energy’s financial condition. If crude oil, NGL and natural gas prices upon settlement of derivative swap contracts exceed the price at which commodities have been hedged, we will be obligated to make cash payments to counterparties, which could, in certain circumstances, be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HighPeak Energy experiences periods of higher costs when commodity prices rise and inflation may adversely affect our operating results, which could negatively impact our profitability, cash flow and ability to complete development activities as planned. Continuing or worsening inflationary issues and associated changes in monetary policy have resulted in and may result in additional increases to the cost of our goods, services and personnel, which in turn could cause our capital expenditures and operating costs to 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Historically, capital and operating costs have risen during periods of increasing crude oil, NGL and natural gas prices. Inflationary factors such as increases in labor costs, material costs and overhead costs may adversely affect our operating results. These cost increases have resulted from a variety of factors that we will be unable to control, such as increases in the cost of electricity, steel and other raw materials; increased demand for labor, services and materials as drilling activity increases; and increased taxes. Such costs may rise faster than increases in our revenue if commodity prices rise, thereby negatively impacting its profitability, cash flow and ability to complete development activities as scheduled and on budget. A high rate of inflation may have an adverse effect on our operating results and this impact may be magnified to the extent that our ability to participate in the commodity price increases is limited by its derivative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inflation rates moderated in 2024 and the first half of 2025, inflationary pressures have resulted in and may result in additional increases to the costs of our oilfield goods, services and personnel, which would in turn cause our capital expenditures and operating costs to rise. Due to the high levels of inflation, the Federal Reserve and other central banks increased interest rates multiple times in 2022 and 2023, and began decreasing rates with three rate cuts toward the end of 2024. The Federal Reserve kept interest rates steady in 2025 citing the unknown effects of the Trump Administration’s trade policies on inflation, but resumed such decreases in September 2025, although uncertainty remains as to when or if such rates may be decreased further.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Higher crude oil and natural gas prices, continued inflation and supply chain issues as well as an increase in demand for services may cause the costs of materials and services to continue to rise. We cannot predict any future trends in the rate of inflation, and a significant increase in inflation, to the extent we are unable to recover higher costs through higher crude oil and natural gas prices and revenues, would negatively impact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Volatility in the political, legal and regulatory environments as a result of the change in the U.S. presidential administration and political instability or armed conflict in crude oil or natural gas producing regions, such as the ongoing war between Russia and Ukraine, conflicts in the Middle East and OPEC+ policy decisions could have a material adverse impact on our business, financial condition or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financial condition and future results are subject to political and economic risks and uncertainties, including volatility in the political, legal and regulatory environments as a result of the imposition of and changes in tariffs and instability resulting from civil unrest, political demonstrations, mass strikes or armed conflict or other crises in crude oil or natural gas producing areas such as the ongoing war between Russia and Ukraine and conflicts in the Middle East.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United States and other countries and certain international organizations have imposed broad-ranging and severe economic sanctions on Russia and certain Russian individuals, banking entities and corporations as a response, and additional sanctions may be imposed in the future. This conflict and the resulting sanctions and concerns regarding global energy security have contributed to increases and volatility in the prices for crude oil and natural gas. The length, impact, and outcome of the ongoing war between Russia and Ukraine is highly unpredictable, and such events or any further hostilities in Ukraine or elsewhere could severely impact the world economy and may adversely affect our financial condition. Furthermore, escalations of conflicts in the Middle East may result in heightened geopolitical risks for crude oil and natural gas markets, given the significant share of global oil supply in the Middle East. While the Company does not have operations overseas, these conflicts elevate the likelihood of supply chain disruptions, heightened volatility in crude oil and natural gas prices and negative effects on our ability to raise additional capital when required and could have a material adverse impact on our business, financial condition or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Currently, global crude oil inventories are low relative to historical levels and supply from OPEC+ and other crude oil producing nations are not expected to be sufficient to meet forecasted crude oil demand growth for the next few years. It is believed that many OPEC+ countries will be unable to increase their production levels or even produce at expected levels due to their lack of capital investments in developing incremental crude oil supplies over the past few years. OPEC+ began phasing out a 2.2 million Bopd reduction in oil production in April 2025, which it had previously postponed due to a slowdown in global demand and rising output surrounding the global economic and crude oil market outlooks, and approved another crude oil production increase of 137,000 Bopd in October 2025. Furthermore, sanctions and import bans on Russian crude oil have been implemented by various countries in response to the war in Ukraine, further impacting global crude oil supply. Still, crude oil and natural gas prices have declined from the highs experienced in second quarter of 2022 and could decrease or increase with any changes in demand due to, among other things, uncertainty and volatility from global supply chain disruptions attributable to the pandemic, the ongoing war between Russia and Ukraine, conflicts in the Middle East, international sanctions, speculation as to future actions by OPEC+, increasing inflation and government efforts to reduce inflation, and possible changes in the overall health of the global economy, including a prolonged recession. Further, the volatility in crude oil and natural gas prices could accelerate a transition away from fossil fuels, resulting in reduced demand over the longer term.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which are not within our control and cannot be accurately predicted.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are evaluating strategic alternatives, including a possible sale of our business, and there can be no assurance that we will be successful in identifying or completing any strategic alternative transactions, that any such strategic alternative transactions will result in additional value for our shareholders or that the process will not have an adverse impact on our business and shareholders.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continues to evaluate a range of strategic alternative transactions to maximize shareholder value, including a potential sale of the Company. These transactions could include, but are not limited to, acquisitions, debt refinancing transactions, asset divestitures, monetization of intellectual property, and mergers, reverse mergers or other business combinations. Because we have publicly approved the undertaking of this process, the market price of our common stock may reflect an expectation that shares of our common stock may be acquired at a premium in the near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can be no assurance that the review of strategic alternative transactions will result in the identification or consummation of any transaction. Our Board may also determine that our most effective strategy is to continue to effectuate our current business plan. The process of reviewing strategic alternative transactions may be time consuming and disruptive to our business operations and, if we are unable to effectively manage the process, our business, financial condition and results of operations could be adversely affected. We could incur substantial expenses associated with identifying and evaluating potential strategic alternative transactions. No decision has been made with respect to any transaction and we cannot assure you that we will be able to identify and undertake any transaction that allows our shareholders to realize an increase in the value of their common stock or provide any guidance on the timing of such action,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cannot assure you that any potential transaction or other strategic alternatives, if identified, evaluated and consummated, will provide greater value to our shareholders than that reflected in the current price of our common stock. Any potential transaction would be dependent upon a number of factors that may be beyond our control, including, but not limited to, market conditions, industry trends, the interest of third parties in our business and the availability of financing to potential buyers on reasonable terms. We do not intend to comment regarding the evaluation of strategic alternative transactions until such time as our Board has determined the outcome of the process or otherwise has deemed that disclosure is appropriate or required by applicable law. As a consequence, perceived uncertainties related to our future may result in the loss of potential business opportunities and volatility in the market price of our common stock and may make it more difficult for us to attract and retain qualified personnel and business partners. Volatility in the trading price of our common stock could also adversely affect the trading market for and the trading price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Principal Stockholder Group</w:t>
      </w:r>
      <w:r>
        <w:rPr>
          <w:rFonts w:ascii="Times New Roman" w:hAnsi="Times New Roman"/>
          <w:caps w:val="false"/>
          <w:smallCaps w:val="false"/>
          <w:sz w:val="20"/>
        </w:rPr>
        <w:t> </w:t>
      </w:r>
      <w:r>
        <w:rPr>
          <w:rFonts w:ascii="Times New Roman" w:hAnsi="Times New Roman"/>
          <w:b/>
          <w:i/>
          <w:caps w:val="false"/>
          <w:smallCaps w:val="false"/>
          <w:sz w:val="20"/>
        </w:rPr>
        <w:t>has</w:t>
      </w:r>
      <w:r>
        <w:rPr>
          <w:rFonts w:ascii="Times New Roman" w:hAnsi="Times New Roman"/>
          <w:caps w:val="false"/>
          <w:smallCaps w:val="false"/>
          <w:sz w:val="20"/>
        </w:rPr>
        <w:t> </w:t>
      </w:r>
      <w:r>
        <w:rPr>
          <w:rFonts w:ascii="Times New Roman" w:hAnsi="Times New Roman"/>
          <w:b/>
          <w:i/>
          <w:caps w:val="false"/>
          <w:smallCaps w:val="false"/>
          <w:sz w:val="20"/>
        </w:rPr>
        <w:t>significant influence over HighPeak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Principal Stockholder Group owns approximately 65% of our common stock as of September 30, 2025. As long as the Principal Stockholder Group owns or controls a significant percentage of our outstanding voting power, subject to the terms of the Stockholders’ Agreement, they will have the ability to influence certain corporate actions requiring stockholder approval. Under the Stockholders’ Agreement, the Principal Stockholder Group will be entitled to nominate a specified number of directors for appointment to the Board so long as the Principal Stockholder Group meets certain ownership criteria outlined in the Stockholders’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one of our former executive officers were forced to sell shares of our common stock that he has pledged to secure certain personal loan obligations, such sales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banking institutions have made extensions of credit to Jack Hightower, our former Chief Executive Officer, a portion of which was used to purchase shares of common stock in the public market and in certain of our public offerings and private placements at the same prices offered to third-party participants in such offerings and placements. We are not a party to these loans, which are primarily secured by pledges of shares of our common stock currently owned directly by Mr. Jack Hightower and shares of HighPeak common stock held indirectly by Mr. Jack Hightower via his interests in the HighPeak Funds and HPK GP. If the price of our common stock were to decline or such loans were to reach maturity without renewal, Mr. Jack Hightower may be forced by one or more of the banking institutions to sell, or the applicable banking institution may elect to sell, shares of HighPeak common stock or interests in the HighPeak Funds to satisfy his applicable loan obligations if he could not do so through other means. Any such sales could adversely affect the trading market and trading price of our common stock, as well as significantly reduce Mr. Jack Hightower’s ownership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management changes could disrupt our operations and impair our ability to attract and retain key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experienced recent changes to our senior management team, including the departure of our Chief Executive Officer, Jack Hightower, in September 2025 when our President, Michael Hollis, was named Interim Chief Executive Officer. Subsequent to quarter end on November 4, 2025, the Board named Michael Hollis President and Chief Executive Officer. Changes in our senior management and uncertainty regarding pending changes may disrupt our operations, impact customer and partner relationships, and impair our ability to recruit and retain other needed personnel. Any such disruption or impairment could have an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2.</w:t>
      </w:r>
      <w:r>
        <w:rPr>
          <w:rFonts w:ascii="Times New Roman" w:hAnsi="Times New Roman"/>
          <w:caps w:val="false"/>
          <w:smallCaps w:val="false"/>
          <w:sz w:val="20"/>
        </w:rPr>
        <w:t>     </w:t>
      </w:r>
      <w:r>
        <w:rPr>
          <w:rFonts w:ascii="Times New Roman" w:hAnsi="Times New Roman"/>
          <w:b/>
          <w:caps w:val="false"/>
          <w:smallCaps w:val="false"/>
          <w:sz w:val="20"/>
          <w:u w:val="single"/>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common stock repurchase activity for the three months ended September 30, 2025 was as follows:</w:t>
      </w:r>
    </w:p>
    <w:p>
      <w:pPr>
        <w:pStyle w:val="TextBody"/>
        <w:bidi w:val="0"/>
        <w:spacing w:before="0" w:after="0"/>
        <w:ind w:left="0" w:right="0" w:hanging="0"/>
        <w:jc w:val="left"/>
        <w:rPr>
          <w:caps w:val="false"/>
          <w:smallCaps w:val="false"/>
        </w:rPr>
      </w:pPr>
      <w:r>
        <w:rPr>
          <w:caps w:val="false"/>
          <w:smallCaps w:val="false"/>
        </w:rPr>
        <w:t> </w:t>
      </w:r>
    </w:p>
    <w:tbl>
      <w:tblPr>
        <w:tblW w:w="7911" w:type="dxa"/>
        <w:jc w:val="left"/>
        <w:tblInd w:w="0" w:type="dxa"/>
        <w:tblLayout w:type="fixed"/>
        <w:tblCellMar>
          <w:top w:w="0" w:type="dxa"/>
          <w:left w:w="0" w:type="dxa"/>
          <w:bottom w:w="28" w:type="dxa"/>
          <w:right w:w="0" w:type="dxa"/>
        </w:tblCellMar>
      </w:tblPr>
      <w:tblGrid>
        <w:gridCol w:w="3305"/>
        <w:gridCol w:w="60"/>
        <w:gridCol w:w="88"/>
        <w:gridCol w:w="1041"/>
        <w:gridCol w:w="60"/>
        <w:gridCol w:w="60"/>
        <w:gridCol w:w="197"/>
        <w:gridCol w:w="602"/>
        <w:gridCol w:w="60"/>
        <w:gridCol w:w="60"/>
        <w:gridCol w:w="188"/>
        <w:gridCol w:w="821"/>
        <w:gridCol w:w="60"/>
        <w:gridCol w:w="60"/>
        <w:gridCol w:w="207"/>
        <w:gridCol w:w="982"/>
        <w:gridCol w:w="60"/>
      </w:tblGrid>
      <w:tr>
        <w:trPr/>
        <w:tc>
          <w:tcPr>
            <w:tcW w:w="33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Paid Per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Shares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Part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Publicly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Announced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Approximate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Dollar Value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that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May Yet to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 the </w:t>
            </w:r>
          </w:p>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Plan(3)(4)</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7851" w:type="dxa"/>
            <w:gridSpan w:val="16"/>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 except per share amounts and shares)</w:t>
            </w:r>
          </w:p>
        </w:tc>
        <w:tc>
          <w:tcPr>
            <w:tcW w:w="60"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2025 - July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ind w:left="0" w:right="0" w:hanging="0"/>
              <w:jc w:val="left"/>
              <w:rPr/>
            </w:pPr>
            <w:r>
              <w:rPr/>
              <w:t> </w:t>
            </w:r>
          </w:p>
        </w:tc>
        <w:tc>
          <w:tcPr>
            <w:tcW w:w="104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pPr>
            <w:r>
              <w:rPr/>
              <w:t> </w:t>
            </w:r>
          </w:p>
        </w:tc>
        <w:tc>
          <w:tcPr>
            <w:tcW w:w="821"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39,907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 2025 - August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ind w:left="0" w:right="0" w:hanging="0"/>
              <w:jc w:val="left"/>
              <w:rPr/>
            </w:pPr>
            <w:r>
              <w:rPr/>
              <w:t> </w:t>
            </w:r>
          </w:p>
        </w:tc>
        <w:tc>
          <w:tcPr>
            <w:tcW w:w="104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pPr>
            <w:r>
              <w:rPr/>
              <w:t> </w:t>
            </w:r>
          </w:p>
        </w:tc>
        <w:tc>
          <w:tcPr>
            <w:tcW w:w="82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39,907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 2025 -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545,195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39,907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04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545,195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Consists entirely of 545,195 shares of common stock repurchased from the former Chairman and Chief Executive Officer in order to satisfy tax withholding requirements. Such shares are cancelled and retired. These shares also do not count toward the dollar value that may yet to be purchased under the plan nor are they subject to the 1% excise tax discussed below.</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average price paid per share includes any commissions paid to repurchase stock.</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In February 2024, our Board approved a stock repurchase program for up to $75.0 million, excluding excise taxes and other expenses. The stock repurchase program expired on December 31, 2024. However, on March 6, 2025, our Board extended the program in its entirety to December 31, 2025. The program may be suspended, modified, or discontinued by the Board at any time.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IRA of 2022, which was enacted into law on August 16, 2022, imposed a nondeductible 1% excise tax on the net value of certain stock repurchases made after December 31, 2022. All dollar amounts presented exclude such excise taxes,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5.</w:t>
      </w:r>
      <w:r>
        <w:rPr>
          <w:rFonts w:ascii="Times New Roman" w:hAnsi="Times New Roman"/>
          <w:caps w:val="false"/>
          <w:smallCaps w:val="false"/>
          <w:sz w:val="20"/>
        </w:rPr>
        <w:t>     </w:t>
      </w:r>
      <w:r>
        <w:rPr>
          <w:rFonts w:ascii="Times New Roman" w:hAnsi="Times New Roman"/>
          <w:b/>
          <w:caps w:val="false"/>
          <w:smallCaps w:val="false"/>
          <w:sz w:val="20"/>
          <w:u w:val="single"/>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2025, no director or officer of the Company adopted or terminated a “Rule 10b5-1 trading arrangement” or “non-Rule 10b5-1 trading arrangement,” as each term is defined in Item 408 of Regulation S-K.</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ITEM 6.</w:t>
      </w:r>
      <w:r>
        <w:rPr>
          <w:rFonts w:ascii="Times New Roman" w:hAnsi="Times New Roman"/>
          <w:caps w:val="false"/>
          <w:smallCaps w:val="false"/>
          <w:sz w:val="20"/>
        </w:rPr>
        <w:t>     </w:t>
      </w:r>
      <w:r>
        <w:rPr>
          <w:rFonts w:ascii="Times New Roman" w:hAnsi="Times New Roman"/>
          <w:b/>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94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480"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caps w:val="false"/>
                  <w:smallCaps w:val="false"/>
                  <w:sz w:val="20"/>
                  <w:u w:val="single"/>
                </w:rPr>
                <w:t>Second Amended &amp; Restated Certificate of Incorporation of HighPeak Energy, Inc. (incorporated by reference to Exhibit 3.1 to the Company’s Current Report on Form 8-K (File No. 001-39464) filed with the SEC on June 2, 2023).</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480"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caps w:val="false"/>
                  <w:smallCaps w:val="false"/>
                  <w:sz w:val="20"/>
                  <w:u w:val="single"/>
                </w:rPr>
                <w:t>Amended and Restated Bylaws of HighPeak Energy, Inc. (incorporated by reference to Exhibit 3.1 to the Company’s Current Report on Form 8-K (File No. 001-39464) filed with the SEC on November 9,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9480"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caps w:val="false"/>
                  <w:smallCaps w:val="false"/>
                  <w:sz w:val="20"/>
                  <w:u w:val="single"/>
                </w:rPr>
                <w:t>Registration Rights Agreement, dated as of August 21, 2020, by and among HighPeak Energy, Inc., HighPeak Pure Acquisition, LLC, HighPeak Energy, LP, HighPeak Energy II, LP, HighPeak Energy III, LP and certain other security holders named therein (incorporated by reference to Exhibit 4.4 to the Company’s Current Report on Form 8-K (File No. 001-39464) filed with the SEC on August 27,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9480"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caps w:val="false"/>
                  <w:smallCaps w:val="false"/>
                  <w:sz w:val="20"/>
                  <w:u w:val="single"/>
                </w:rPr>
                <w:t>Stockholders’ Agreement, dated as of August 21, 2020, by and among HighPeak Energy, Inc., HighPeak Pure Acquisition, LLC, HighPeak Energy, LP, HighPeak Energy II, LP, HighPeak Energy III, LP, Jack Hightower and certain directors of Pure Acquisition Corp. (incorporated by reference to Exhibit 4.3 to the Company’s Current Report on Form 8-K (File No. 001-39464) filed with the SEC on August 27,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9480"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caps w:val="false"/>
                  <w:smallCaps w:val="false"/>
                  <w:sz w:val="20"/>
                  <w:u w:val="single"/>
                </w:rPr>
                <w:t>Amendment and Assignment to Warrant Agreement, dated as of August 21, 2020, by and among Pure Acquisition Corp., Continental Stock Transfer &amp; Trust Company and HighPeak Energy, Inc. (incorporated by reference to Exhibit 4.2 to the Company’s Current Report on Form 8-K (File No. 001-39464) filed with the SEC on August 27, 2020).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480"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caps w:val="false"/>
                  <w:smallCaps w:val="false"/>
                  <w:sz w:val="20"/>
                  <w:u w:val="single"/>
                </w:rPr>
                <w:t>Second Amendment to Revolving Credit Agreement, dated August 1, 2025, by and among HighPeak Energy, Inc., as borrower, Fifth Third Bank, National Association, as administrative agent, the guarantors party thereto and the lenders party thereto (incorporated by reference to Exhibit 10.1 to the Company’s Current Report on Form 8-K (File No. 001-39464) filed with the SEC on August 4, 2025).</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9480"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caps w:val="false"/>
                  <w:smallCaps w:val="false"/>
                  <w:sz w:val="20"/>
                  <w:u w:val="single"/>
                </w:rPr>
                <w:t>Master Assignment and First Amendment to Credit Agreement, dated August 1, 2025, by and among HighPeak Energy, Inc., as borrower, the guarantors party thereto, Texas Capital Bank, as administrative agent, Chambers Energy Management, LP, as collateral agent, and the lenders party thereto (incorporated by reference to Exhibit 10.2 to the Company’s Current Report on Form 8-K (File No. 001-39464) filed with the SEC on August 4, 2025).</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9480"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caps w:val="false"/>
                  <w:smallCaps w:val="false"/>
                  <w:sz w:val="20"/>
                  <w:u w:val="single"/>
                </w:rPr>
                <w:t>HighPeak Energy, Inc. Change in Control Plan and Summary Plan Description (incorporated by reference to Exhibit 10.1 to the Company’s Current Report on Form 8-K (File No. 001-39464) filed with the SEC on September 15, 2025).</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480"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caps w:val="false"/>
                  <w:smallCaps w:val="false"/>
                  <w:sz w:val="20"/>
                  <w:u w:val="single"/>
                </w:rPr>
                <w:t>Separation Agreement and General Release of Claims by and between the Company and Jack Hightower, effective September 15, 2025 (incorporated by reference to Exhibit 10.1 to the Company’s Current Report on Form 8-K (File No. 001-39464) filed with the SEC on September 16, 2025).</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9480" w:type="dxa"/>
            <w:tcBorders/>
            <w:vAlign w:val="center"/>
          </w:tcPr>
          <w:p>
            <w:pPr>
              <w:pStyle w:val="TableContents"/>
              <w:bidi w:val="0"/>
              <w:spacing w:before="0" w:after="0"/>
              <w:ind w:left="0" w:right="0" w:hanging="0"/>
              <w:jc w:val="both"/>
              <w:rPr/>
            </w:pPr>
            <w:hyperlink w:anchor="ex_873306.htm">
              <w:r>
                <w:rPr>
                  <w:rStyle w:val="InternetLink"/>
                  <w:rFonts w:ascii="Times New Roman;Times;serif" w:hAnsi="Times New Roman;Times;serif"/>
                  <w:caps w:val="false"/>
                  <w:smallCaps w:val="false"/>
                  <w:sz w:val="20"/>
                </w:rPr>
                <w:t>Certification of the Company</w:t>
              </w:r>
            </w:hyperlink>
            <w:hyperlink w:anchor="ex_873306.htm">
              <w:r>
                <w:rPr>
                  <w:rStyle w:val="InternetLink"/>
                  <w:rFonts w:ascii="Times New Roman;Times;serif" w:hAnsi="Times New Roman;Times;serif"/>
                  <w:caps w:val="false"/>
                  <w:smallCaps w:val="false"/>
                  <w:sz w:val="20"/>
                  <w:u w:val="single"/>
                </w:rPr>
                <w:t>’s Chief Executive Officer Pursuant to Section 302 of the Sarbanes Oxley Act of 2002 (18 U.S.C. Section 7241).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9480" w:type="dxa"/>
            <w:tcBorders/>
            <w:vAlign w:val="center"/>
          </w:tcPr>
          <w:p>
            <w:pPr>
              <w:pStyle w:val="TableContents"/>
              <w:bidi w:val="0"/>
              <w:spacing w:before="0" w:after="0"/>
              <w:ind w:left="0" w:right="0" w:hanging="0"/>
              <w:jc w:val="both"/>
              <w:rPr/>
            </w:pPr>
            <w:hyperlink w:anchor="ex_873305.htm">
              <w:r>
                <w:rPr>
                  <w:rStyle w:val="InternetLink"/>
                  <w:rFonts w:ascii="Times New Roman;Times;serif" w:hAnsi="Times New Roman;Times;serif"/>
                  <w:caps w:val="false"/>
                  <w:smallCaps w:val="false"/>
                  <w:sz w:val="20"/>
                </w:rPr>
                <w:t>Certification of the Company</w:t>
              </w:r>
            </w:hyperlink>
            <w:hyperlink w:anchor="ex_873305.htm">
              <w:r>
                <w:rPr>
                  <w:rStyle w:val="InternetLink"/>
                  <w:rFonts w:ascii="Times New Roman;Times;serif" w:hAnsi="Times New Roman;Times;serif"/>
                  <w:caps w:val="false"/>
                  <w:smallCaps w:val="false"/>
                  <w:sz w:val="20"/>
                  <w:u w:val="single"/>
                </w:rPr>
                <w:t>’s Chief Financial Officer Pursuant to Section 302 of the Sarbanes Oxley Act of 2002 (18 U.S.C. Section 7241).</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9480" w:type="dxa"/>
            <w:tcBorders/>
            <w:vAlign w:val="center"/>
          </w:tcPr>
          <w:p>
            <w:pPr>
              <w:pStyle w:val="TableContents"/>
              <w:bidi w:val="0"/>
              <w:spacing w:before="0" w:after="0"/>
              <w:ind w:left="0" w:right="0" w:hanging="0"/>
              <w:jc w:val="both"/>
              <w:rPr/>
            </w:pPr>
            <w:hyperlink w:anchor="ex_873304.htm">
              <w:r>
                <w:rPr>
                  <w:rStyle w:val="InternetLink"/>
                  <w:rFonts w:ascii="Times New Roman;Times;serif" w:hAnsi="Times New Roman;Times;serif"/>
                  <w:caps w:val="false"/>
                  <w:smallCaps w:val="false"/>
                  <w:sz w:val="20"/>
                </w:rPr>
                <w:t>Certification of the Company</w:t>
              </w:r>
            </w:hyperlink>
            <w:hyperlink w:anchor="ex_873304.htm">
              <w:r>
                <w:rPr>
                  <w:rStyle w:val="InternetLink"/>
                  <w:rFonts w:ascii="Times New Roman;Times;serif" w:hAnsi="Times New Roman;Times;serif"/>
                  <w:caps w:val="false"/>
                  <w:smallCaps w:val="false"/>
                  <w:sz w:val="20"/>
                  <w:u w:val="single"/>
                </w:rPr>
                <w:t>’s Chief Executive Officer Pursuant to Section 906 of the Sarbanes Oxley Act of 2002 (18 U.S.C. Section 1350).</w:t>
              </w:r>
            </w:hyperlink>
          </w:p>
        </w:tc>
      </w:tr>
      <w:tr>
        <w:trPr/>
        <w:tc>
          <w:tcPr>
            <w:tcW w:w="725"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9480" w:type="dxa"/>
            <w:tcBorders/>
            <w:vAlign w:val="center"/>
          </w:tcPr>
          <w:p>
            <w:pPr>
              <w:pStyle w:val="TableContents"/>
              <w:bidi w:val="0"/>
              <w:spacing w:before="0" w:after="0"/>
              <w:ind w:left="0" w:right="0" w:hanging="0"/>
              <w:jc w:val="both"/>
              <w:rPr/>
            </w:pPr>
            <w:hyperlink w:anchor="ex_873303.htm">
              <w:r>
                <w:rPr>
                  <w:rStyle w:val="InternetLink"/>
                  <w:rFonts w:ascii="Times New Roman;Times;serif" w:hAnsi="Times New Roman;Times;serif"/>
                  <w:caps w:val="false"/>
                  <w:smallCaps w:val="false"/>
                  <w:sz w:val="20"/>
                </w:rPr>
                <w:t>Certification of the Company</w:t>
              </w:r>
            </w:hyperlink>
            <w:hyperlink w:anchor="ex_873303.htm">
              <w:r>
                <w:rPr>
                  <w:rStyle w:val="InternetLink"/>
                  <w:rFonts w:ascii="Times New Roman;Times;serif" w:hAnsi="Times New Roman;Times;serif"/>
                  <w:caps w:val="false"/>
                  <w:smallCaps w:val="false"/>
                  <w:sz w:val="20"/>
                  <w:u w:val="single"/>
                </w:rPr>
                <w:t>’s Chief Financial Officer Pursuant to Section 906 of the Sarbanes Oxley Act of 2002 (18 U.S.C. Section 1350).</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7"/>
        <w:gridCol w:w="9408"/>
      </w:tblGrid>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 – The instance document does not appear in the Interactive Data File because its XBRL tabs are embedded within the Inline XBRL document</w:t>
            </w:r>
          </w:p>
        </w:tc>
      </w:tr>
      <w:tr>
        <w:trPr/>
        <w:tc>
          <w:tcPr>
            <w:tcW w:w="797"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797"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797"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797"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r>
      <w:tr>
        <w:trPr/>
        <w:tc>
          <w:tcPr>
            <w:tcW w:w="797"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 </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797"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 </w:t>
            </w:r>
          </w:p>
        </w:tc>
      </w:tr>
      <w:tr>
        <w:trPr/>
        <w:tc>
          <w:tcPr>
            <w:tcW w:w="7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4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30"/>
        <w:gridCol w:w="1625"/>
      </w:tblGrid>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40"/>
        <w:gridCol w:w="4730"/>
      </w:tblGrid>
      <w:tr>
        <w:trPr/>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contract or compensatory plan or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hereto duly authorized.</w:t>
      </w:r>
    </w:p>
    <w:p>
      <w:pPr>
        <w:pStyle w:val="TextBody"/>
        <w:bidi w:val="0"/>
        <w:spacing w:before="0" w:after="0"/>
        <w:ind w:left="0" w:right="0" w:hanging="0"/>
        <w:jc w:val="left"/>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1535"/>
        <w:gridCol w:w="320"/>
        <w:gridCol w:w="3650"/>
      </w:tblGrid>
      <w:tr>
        <w:trPr/>
        <w:tc>
          <w:tcPr>
            <w:tcW w:w="1535"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HIGHPEAK ENERGY, INC.</w:t>
            </w:r>
          </w:p>
        </w:tc>
      </w:tr>
      <w:tr>
        <w:trPr/>
        <w:tc>
          <w:tcPr>
            <w:tcW w:w="1535"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5, 2025</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3650" w:type="dxa"/>
            <w:tcBorders>
              <w:bottom w:val="single" w:sz="2" w:space="0" w:color="000000"/>
            </w:tcBorders>
            <w:tcMar>
              <w:bottom w:w="28"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Steven Tholen</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Steven Tholen</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5, 2025</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3650" w:type="dxa"/>
            <w:tcBorders>
              <w:bottom w:val="single" w:sz="2" w:space="0" w:color="000000"/>
            </w:tcBorders>
            <w:tcMar>
              <w:bottom w:w="28"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Keith Forbes</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Keith Forbes</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 w:hAnsi="Times New Roman"/>
          <w:sz w:val="20"/>
        </w:rPr>
      </w:pPr>
      <w:r>
        <w:rPr>
          <w:rFonts w:ascii="Times New Roman" w:hAnsi="Times New Roman"/>
          <w:sz w:val="20"/>
        </w:rPr>
        <w:t>49</w:t>
      </w:r>
    </w:p>
    <w:p>
      <w:pPr>
        <w:pStyle w:val="TextBody"/>
        <w:bidi w:val="0"/>
        <w:spacing w:before="0" w:after="0"/>
        <w:ind w:left="0" w:right="0" w:hanging="0"/>
        <w:jc w:val="left"/>
        <w:rPr>
          <w:caps w:val="false"/>
          <w:smallCaps w:val="false"/>
        </w:rPr>
      </w:pPr>
      <w:bookmarkStart w:id="2" w:name="ex_873306.htm"/>
      <w:bookmarkStart w:id="3" w:name="ksex_873306"/>
      <w:bookmarkEnd w:id="2"/>
      <w:bookmarkEnd w:id="3"/>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EXECUTIVE OFFICER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 Michael Hollis, certify that:</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70"/>
        <w:gridCol w:w="63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HighPeak Energy,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Hollis</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Hollis</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5,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pPr>
      <w:r>
        <w:rPr/>
      </w:r>
      <w:bookmarkStart w:id="4" w:name="ex_873305.htm"/>
      <w:bookmarkStart w:id="5" w:name="ksex_873305"/>
      <w:bookmarkStart w:id="6" w:name="ex_873305.htm"/>
      <w:bookmarkStart w:id="7" w:name="ksex_873305"/>
      <w:bookmarkEnd w:id="6"/>
      <w:bookmarkEnd w:id="7"/>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 CERTIFICATION</w:t>
      </w:r>
    </w:p>
    <w:p>
      <w:pPr>
        <w:pStyle w:val="TextBody"/>
        <w:bidi w:val="0"/>
        <w:spacing w:before="0" w:after="0"/>
        <w:ind w:left="0" w:right="0" w:hanging="0"/>
        <w:jc w:val="left"/>
        <w:rPr/>
      </w:pPr>
      <w:r>
        <w:rPr/>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 Steven Tholen, certify that:</w:t>
      </w:r>
    </w:p>
    <w:p>
      <w:pPr>
        <w:pStyle w:val="TextBody"/>
        <w:bidi w:val="0"/>
        <w:spacing w:before="0" w:after="0"/>
        <w:ind w:left="0" w:right="0" w:hanging="0"/>
        <w:jc w:val="left"/>
        <w:rPr/>
      </w:pPr>
      <w:r>
        <w:rPr/>
      </w:r>
    </w:p>
    <w:tbl>
      <w:tblPr>
        <w:tblW w:w="6520" w:type="dxa"/>
        <w:jc w:val="left"/>
        <w:tblInd w:w="0" w:type="dxa"/>
        <w:tblLayout w:type="fixed"/>
        <w:tblCellMar>
          <w:top w:w="0" w:type="dxa"/>
          <w:left w:w="0" w:type="dxa"/>
          <w:bottom w:w="0" w:type="dxa"/>
          <w:right w:w="0" w:type="dxa"/>
        </w:tblCellMar>
      </w:tblPr>
      <w:tblGrid>
        <w:gridCol w:w="170"/>
        <w:gridCol w:w="63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HighPeak Energy, Inc.;</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r>
    </w:p>
    <w:tbl>
      <w:tblPr>
        <w:tblW w:w="2203" w:type="dxa"/>
        <w:jc w:val="left"/>
        <w:tblInd w:w="0" w:type="dxa"/>
        <w:tblLayout w:type="fixed"/>
        <w:tblCellMar>
          <w:top w:w="0" w:type="dxa"/>
          <w:left w:w="0" w:type="dxa"/>
          <w:bottom w:w="0" w:type="dxa"/>
          <w:right w:w="0" w:type="dxa"/>
        </w:tblCellMar>
      </w:tblPr>
      <w:tblGrid>
        <w:gridCol w:w="23"/>
        <w:gridCol w:w="2180"/>
      </w:tblGrid>
      <w:tr>
        <w:trPr/>
        <w:tc>
          <w:tcPr>
            <w:tcW w:w="23" w:type="dxa"/>
            <w:tcBorders/>
            <w:vAlign w:val="center"/>
          </w:tcPr>
          <w:p>
            <w:pPr>
              <w:pStyle w:val="TableContents"/>
              <w:bidi w:val="0"/>
              <w:spacing w:before="0" w:after="283"/>
              <w:jc w:val="left"/>
              <w:rPr/>
            </w:pPr>
            <w:r>
              <w:rPr/>
            </w:r>
          </w:p>
        </w:tc>
        <w:tc>
          <w:tcPr>
            <w:tcW w:w="21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23" w:type="dxa"/>
            <w:tcBorders/>
            <w:vAlign w:val="center"/>
          </w:tcPr>
          <w:p>
            <w:pPr>
              <w:pStyle w:val="TableContents"/>
              <w:bidi w:val="0"/>
              <w:spacing w:before="0" w:after="283"/>
              <w:jc w:val="left"/>
              <w:rPr/>
            </w:pPr>
            <w:r>
              <w:rPr/>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23" w:type="dxa"/>
            <w:tcBorders/>
            <w:vAlign w:val="center"/>
          </w:tcPr>
          <w:p>
            <w:pPr>
              <w:pStyle w:val="TableContents"/>
              <w:bidi w:val="0"/>
              <w:spacing w:before="0" w:after="283"/>
              <w:jc w:val="left"/>
              <w:rPr/>
            </w:pPr>
            <w:r>
              <w:rPr/>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3" w:type="dxa"/>
            <w:tcBorders/>
            <w:vAlign w:val="center"/>
          </w:tcPr>
          <w:p>
            <w:pPr>
              <w:pStyle w:val="TableContents"/>
              <w:bidi w:val="0"/>
              <w:spacing w:before="0" w:after="283"/>
              <w:jc w:val="left"/>
              <w:rPr/>
            </w:pPr>
            <w:r>
              <w:rPr/>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5, 2025</w:t>
            </w:r>
          </w:p>
        </w:tc>
      </w:tr>
    </w:tbl>
    <w:p>
      <w:pPr>
        <w:pStyle w:val="TextBody"/>
        <w:bidi w:val="0"/>
        <w:spacing w:before="0" w:after="0"/>
        <w:ind w:left="0" w:right="0" w:hanging="0"/>
        <w:jc w:val="left"/>
        <w:rPr/>
      </w:pPr>
      <w:r>
        <w:rPr/>
      </w:r>
    </w:p>
    <w:p>
      <w:pPr>
        <w:pStyle w:val="TextBody"/>
        <w:bidi w:val="0"/>
        <w:spacing w:before="0" w:after="0"/>
        <w:ind w:left="0" w:right="0" w:hanging="0"/>
        <w:jc w:val="left"/>
        <w:rPr>
          <w:caps w:val="false"/>
          <w:smallCaps w:val="false"/>
        </w:rPr>
      </w:pPr>
      <w:bookmarkStart w:id="8" w:name="ex_873304.htm"/>
      <w:bookmarkStart w:id="9" w:name="ksex_873304"/>
      <w:bookmarkEnd w:id="8"/>
      <w:bookmarkEnd w:id="9"/>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 OF</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CHIEF EXECUTIVE OFFICER</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OF HIGHPEAK ENERGY,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 xml:space="preserve">PURSUANT TO 18 U.S.C. </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Michael Hollis,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September 30, 2025:</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8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60"/>
        <w:gridCol w:w="3080"/>
      </w:tblGrid>
      <w:tr>
        <w:trPr/>
        <w:tc>
          <w:tcPr>
            <w:tcW w:w="60" w:type="dxa"/>
            <w:tcBorders/>
            <w:vAlign w:val="center"/>
          </w:tcPr>
          <w:p>
            <w:pPr>
              <w:pStyle w:val="TableContents"/>
              <w:bidi w:val="0"/>
              <w:spacing w:before="0" w:after="283"/>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Hollis</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Hollis</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5,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pPr>
      <w:r>
        <w:rPr/>
      </w:r>
      <w:bookmarkStart w:id="10" w:name="ex_873303.htm"/>
      <w:bookmarkStart w:id="11" w:name="ksex_873303"/>
      <w:bookmarkStart w:id="12" w:name="ex_873303.htm"/>
      <w:bookmarkStart w:id="13" w:name="ksex_873303"/>
      <w:bookmarkEnd w:id="12"/>
      <w:bookmarkEnd w:id="13"/>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32.2</w:t>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 OF</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CHIEF FINANCIAL OFFICER</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OF HIGHPEAK ENERGY,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 xml:space="preserve">PURSUANT TO 18 U.S.C. </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1350</w:t>
      </w:r>
    </w:p>
    <w:p>
      <w:pPr>
        <w:pStyle w:val="TextBody"/>
        <w:bidi w:val="0"/>
        <w:spacing w:before="0" w:after="0"/>
        <w:ind w:left="0" w:right="0" w:hanging="0"/>
        <w:jc w:val="left"/>
        <w:rPr/>
      </w:pPr>
      <w:r>
        <w:rPr/>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September 30, 2025:</w:t>
      </w:r>
    </w:p>
    <w:p>
      <w:pPr>
        <w:pStyle w:val="TextBody"/>
        <w:bidi w:val="0"/>
        <w:spacing w:before="0" w:after="0"/>
        <w:ind w:left="0" w:right="0" w:hanging="0"/>
        <w:jc w:val="left"/>
        <w:rPr/>
      </w:pPr>
      <w:r>
        <w:rPr/>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Fully complies with the requirements of Section 13(a) or 15(d) of the Securities Exchange Act of 1934, as amended; and</w:t>
            </w:r>
          </w:p>
        </w:tc>
      </w:tr>
    </w:tbl>
    <w:p>
      <w:pPr>
        <w:pStyle w:val="TextBody"/>
        <w:bidi w:val="0"/>
        <w:spacing w:before="0" w:after="0"/>
        <w:ind w:left="0" w:right="0" w:hanging="0"/>
        <w:jc w:val="left"/>
        <w:rPr/>
      </w:pPr>
      <w:r>
        <w:rPr/>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8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Fairly presents, in all material respects, the financial condition and results of operations of the Company.</w:t>
            </w:r>
          </w:p>
        </w:tc>
      </w:tr>
    </w:tbl>
    <w:p>
      <w:pPr>
        <w:pStyle w:val="TextBody"/>
        <w:bidi w:val="0"/>
        <w:spacing w:before="0" w:after="0"/>
        <w:ind w:left="0" w:right="0" w:hanging="0"/>
        <w:jc w:val="left"/>
        <w:rPr/>
      </w:pPr>
      <w:r>
        <w:rPr/>
      </w:r>
    </w:p>
    <w:tbl>
      <w:tblPr>
        <w:tblW w:w="2203" w:type="dxa"/>
        <w:jc w:val="left"/>
        <w:tblInd w:w="0" w:type="dxa"/>
        <w:tblLayout w:type="fixed"/>
        <w:tblCellMar>
          <w:top w:w="0" w:type="dxa"/>
          <w:left w:w="0" w:type="dxa"/>
          <w:bottom w:w="0" w:type="dxa"/>
          <w:right w:w="0" w:type="dxa"/>
        </w:tblCellMar>
      </w:tblPr>
      <w:tblGrid>
        <w:gridCol w:w="23"/>
        <w:gridCol w:w="2180"/>
      </w:tblGrid>
      <w:tr>
        <w:trPr/>
        <w:tc>
          <w:tcPr>
            <w:tcW w:w="23" w:type="dxa"/>
            <w:tcBorders/>
            <w:vAlign w:val="center"/>
          </w:tcPr>
          <w:p>
            <w:pPr>
              <w:pStyle w:val="TableContents"/>
              <w:bidi w:val="0"/>
              <w:spacing w:before="0" w:after="283"/>
              <w:jc w:val="left"/>
              <w:rPr/>
            </w:pPr>
            <w:r>
              <w:rPr/>
            </w:r>
          </w:p>
        </w:tc>
        <w:tc>
          <w:tcPr>
            <w:tcW w:w="21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Tholen</w:t>
            </w:r>
          </w:p>
        </w:tc>
      </w:tr>
      <w:tr>
        <w:trPr/>
        <w:tc>
          <w:tcPr>
            <w:tcW w:w="23" w:type="dxa"/>
            <w:tcBorders/>
            <w:vAlign w:val="center"/>
          </w:tcPr>
          <w:p>
            <w:pPr>
              <w:pStyle w:val="TableContents"/>
              <w:bidi w:val="0"/>
              <w:spacing w:before="0" w:after="283"/>
              <w:jc w:val="left"/>
              <w:rPr/>
            </w:pPr>
            <w:r>
              <w:rPr/>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Tholen</w:t>
            </w:r>
          </w:p>
        </w:tc>
      </w:tr>
      <w:tr>
        <w:trPr/>
        <w:tc>
          <w:tcPr>
            <w:tcW w:w="23" w:type="dxa"/>
            <w:tcBorders/>
            <w:vAlign w:val="center"/>
          </w:tcPr>
          <w:p>
            <w:pPr>
              <w:pStyle w:val="TableContents"/>
              <w:bidi w:val="0"/>
              <w:spacing w:before="0" w:after="283"/>
              <w:jc w:val="left"/>
              <w:rPr/>
            </w:pPr>
            <w:r>
              <w:rPr/>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3" w:type="dxa"/>
            <w:tcBorders/>
            <w:vAlign w:val="center"/>
          </w:tcPr>
          <w:p>
            <w:pPr>
              <w:pStyle w:val="TableContents"/>
              <w:bidi w:val="0"/>
              <w:spacing w:before="0" w:after="283"/>
              <w:jc w:val="left"/>
              <w:rPr/>
            </w:pPr>
            <w:r>
              <w:rPr/>
            </w:r>
          </w:p>
        </w:tc>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5, 2025</w:t>
            </w:r>
          </w:p>
        </w:tc>
      </w:tr>
    </w:tbl>
    <w:p>
      <w:pPr>
        <w:pStyle w:val="TextBody"/>
        <w:bidi w:val="0"/>
        <w:spacing w:before="0" w:after="0"/>
        <w:ind w:left="0" w:right="0" w:hanging="0"/>
        <w:jc w:val="left"/>
        <w:rPr/>
      </w:pPr>
      <w:r>
        <w:rPr/>
      </w:r>
    </w:p>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92849/000143774925006838/hpe20241231_10k.htm" TargetMode="External"/><Relationship Id="rId3" Type="http://schemas.openxmlformats.org/officeDocument/2006/relationships/hyperlink" Target="http://www.sec.gov/Archives/edgar/data/1792849/000143774925016122/hpe20250331_10q.htm" TargetMode="External"/><Relationship Id="rId4" Type="http://schemas.openxmlformats.org/officeDocument/2006/relationships/hyperlink" Target="http://www.sec.gov/Archives/edgar/data/1792849/000143774925025923/hpe20250630_10q.htm" TargetMode="External"/><Relationship Id="rId5" Type="http://schemas.openxmlformats.org/officeDocument/2006/relationships/hyperlink" Target="http://www.sec.gov/Archives/edgar/data/1792849/000143774925006838/hpe20241231_10k.htm" TargetMode="External"/><Relationship Id="rId6" Type="http://schemas.openxmlformats.org/officeDocument/2006/relationships/hyperlink" Target="http://www.sec.gov/Archives/edgar/data/1792849/000143774923016414/ex_528908.htm" TargetMode="External"/><Relationship Id="rId7" Type="http://schemas.openxmlformats.org/officeDocument/2006/relationships/hyperlink" Target="http://www.sec.gov/Archives/edgar/data/1792849/000143774920023072/ex_212713.htm" TargetMode="External"/><Relationship Id="rId8" Type="http://schemas.openxmlformats.org/officeDocument/2006/relationships/hyperlink" Target="http://www.sec.gov/Archives/edgar/data/1792849/000143774920018850/ex_201560.htm" TargetMode="External"/><Relationship Id="rId9" Type="http://schemas.openxmlformats.org/officeDocument/2006/relationships/hyperlink" Target="http://www.sec.gov/Archives/edgar/data/1792849/000143774920018850/ex_201559.htm" TargetMode="External"/><Relationship Id="rId10" Type="http://schemas.openxmlformats.org/officeDocument/2006/relationships/hyperlink" Target="http://www.sec.gov/Archives/edgar/data/1792849/000143774920018850/ex_201558.htm" TargetMode="External"/><Relationship Id="rId11" Type="http://schemas.openxmlformats.org/officeDocument/2006/relationships/hyperlink" Target="http://www.sec.gov/Archives/edgar/data/1792849/000143774925024452/ex_847112.htm" TargetMode="External"/><Relationship Id="rId12" Type="http://schemas.openxmlformats.org/officeDocument/2006/relationships/hyperlink" Target="http://www.sec.gov/Archives/edgar/data/1792849/000143774925024452/ex_847113.htm" TargetMode="External"/><Relationship Id="rId13" Type="http://schemas.openxmlformats.org/officeDocument/2006/relationships/hyperlink" Target="http://www.sec.gov/Archives/edgar/data/1792849/000143774925029088/ex_861548.htm" TargetMode="External"/><Relationship Id="rId14" Type="http://schemas.openxmlformats.org/officeDocument/2006/relationships/hyperlink" Target="http://www.sec.gov/Archives/edgar/data/1792849/000143774925029107/ex_861643.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37551</Words>
  <Characters>205520</Characters>
  <CharactersWithSpaces>245372</CharactersWithSpaces>
  <Paragraphs>9401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