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2" w:lineRule="exact"/>
        <w:rPr>
          <w:sz w:val="24"/>
          <w:szCs w:val="24"/>
          <w:color w:val="auto"/>
        </w:rPr>
      </w:pPr>
    </w:p>
    <w:p>
      <w:pPr>
        <w:ind w:left="4800"/>
        <w:spacing w:after="0"/>
        <w:rPr>
          <w:sz w:val="20"/>
          <w:szCs w:val="20"/>
          <w:color w:val="auto"/>
        </w:rPr>
      </w:pPr>
      <w:r>
        <w:rPr>
          <w:rFonts w:ascii="Arial" w:cs="Arial" w:eastAsia="Arial" w:hAnsi="Arial"/>
          <w:sz w:val="18"/>
          <w:szCs w:val="18"/>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14605</wp:posOffset>
            </wp:positionV>
            <wp:extent cx="2580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(Exact name of Registrant as specified in its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89"/>
              </w:rPr>
              <w:t>Delaware</w:t>
            </w:r>
          </w:p>
        </w:tc>
        <w:tc>
          <w:tcPr>
            <w:tcW w:w="3540" w:type="dxa"/>
            <w:vAlign w:val="bottom"/>
          </w:tcPr>
          <w:p>
            <w:pPr>
              <w:jc w:val="right"/>
              <w:ind w:right="610"/>
              <w:spacing w:after="0"/>
              <w:rPr>
                <w:sz w:val="20"/>
                <w:szCs w:val="20"/>
                <w:color w:val="auto"/>
              </w:rPr>
            </w:pPr>
            <w:r>
              <w:rPr>
                <w:rFonts w:ascii="Arial" w:cs="Arial" w:eastAsia="Arial" w:hAnsi="Arial"/>
                <w:sz w:val="18"/>
                <w:szCs w:val="18"/>
                <w:b w:val="1"/>
                <w:bCs w:val="1"/>
                <w:color w:val="auto"/>
              </w:rPr>
              <w:t>84-3533602</w:t>
            </w:r>
          </w:p>
        </w:tc>
      </w:tr>
      <w:tr>
        <w:trPr>
          <w:trHeight w:val="216"/>
        </w:trPr>
        <w:tc>
          <w:tcPr>
            <w:tcW w:w="51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 incorporation or</w:t>
            </w:r>
          </w:p>
        </w:tc>
        <w:tc>
          <w:tcPr>
            <w:tcW w:w="3540" w:type="dxa"/>
            <w:vAlign w:val="bottom"/>
          </w:tcPr>
          <w:p>
            <w:pPr>
              <w:jc w:val="center"/>
              <w:ind w:left="1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92"/>
              </w:rPr>
              <w:t>organization)</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9"/>
              </w:rPr>
              <w:t>No.)</w:t>
            </w:r>
          </w:p>
        </w:tc>
      </w:tr>
      <w:tr>
        <w:trPr>
          <w:trHeight w:val="414"/>
        </w:trPr>
        <w:tc>
          <w:tcPr>
            <w:tcW w:w="51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421 W. 3rd St., Suite 1000</w:t>
            </w:r>
          </w:p>
        </w:tc>
        <w:tc>
          <w:tcPr>
            <w:tcW w:w="3540" w:type="dxa"/>
            <w:vAlign w:val="bottom"/>
          </w:tcPr>
          <w:p>
            <w:pPr>
              <w:jc w:val="right"/>
              <w:ind w:right="810"/>
              <w:spacing w:after="0"/>
              <w:rPr>
                <w:sz w:val="20"/>
                <w:szCs w:val="20"/>
                <w:color w:val="auto"/>
              </w:rPr>
            </w:pPr>
            <w:r>
              <w:rPr>
                <w:rFonts w:ascii="Arial" w:cs="Arial" w:eastAsia="Arial" w:hAnsi="Arial"/>
                <w:sz w:val="18"/>
                <w:szCs w:val="18"/>
                <w:b w:val="1"/>
                <w:bCs w:val="1"/>
                <w:color w:val="auto"/>
              </w:rPr>
              <w:t>76102</w:t>
            </w:r>
          </w:p>
        </w:tc>
      </w:tr>
      <w:tr>
        <w:trPr>
          <w:trHeight w:val="220"/>
        </w:trPr>
        <w:tc>
          <w:tcPr>
            <w:tcW w:w="5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Fort Worth, Texas</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r>
        <w:trPr>
          <w:trHeight w:val="23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91"/>
              </w:rPr>
              <w:t>(Address of principal executive offices and zip code)</w:t>
            </w:r>
          </w:p>
        </w:tc>
        <w:tc>
          <w:tcPr>
            <w:tcW w:w="35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850-9200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4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6"/>
                <w:szCs w:val="16"/>
                <w:color w:val="auto"/>
              </w:rPr>
            </w:pPr>
          </w:p>
        </w:tc>
        <w:tc>
          <w:tcPr>
            <w:tcW w:w="3140" w:type="dxa"/>
            <w:vAlign w:val="bottom"/>
          </w:tcPr>
          <w:p>
            <w:pPr>
              <w:jc w:val="center"/>
              <w:spacing w:after="0" w:line="195" w:lineRule="exact"/>
              <w:rPr>
                <w:sz w:val="20"/>
                <w:szCs w:val="20"/>
                <w:color w:val="auto"/>
              </w:rPr>
            </w:pPr>
            <w:r>
              <w:rPr>
                <w:rFonts w:ascii="Arial" w:cs="Arial" w:eastAsia="Arial" w:hAnsi="Arial"/>
                <w:sz w:val="18"/>
                <w:szCs w:val="18"/>
                <w:color w:val="auto"/>
                <w:w w:val="97"/>
              </w:rPr>
              <w:t>HPK</w:t>
            </w:r>
          </w:p>
        </w:tc>
        <w:tc>
          <w:tcPr>
            <w:tcW w:w="240" w:type="dxa"/>
            <w:vAlign w:val="bottom"/>
          </w:tcPr>
          <w:p>
            <w:pPr>
              <w:spacing w:after="0"/>
              <w:rPr>
                <w:sz w:val="16"/>
                <w:szCs w:val="16"/>
                <w:color w:val="auto"/>
              </w:rPr>
            </w:pPr>
          </w:p>
        </w:tc>
        <w:tc>
          <w:tcPr>
            <w:tcW w:w="380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9"/>
              </w:rPr>
              <w:t>Warrants to purchase Common Stock</w:t>
            </w:r>
          </w:p>
        </w:tc>
        <w:tc>
          <w:tcPr>
            <w:tcW w:w="24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6"/>
              </w:rPr>
              <w:t>HPKEW</w:t>
            </w:r>
          </w:p>
        </w:tc>
        <w:tc>
          <w:tcPr>
            <w:tcW w:w="24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8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740"/>
              <w:spacing w:after="0"/>
              <w:rPr>
                <w:sz w:val="20"/>
                <w:szCs w:val="20"/>
                <w:color w:val="auto"/>
              </w:rPr>
            </w:pPr>
            <w:r>
              <w:rPr>
                <w:rFonts w:ascii="Arial" w:cs="Arial" w:eastAsia="Arial" w:hAnsi="Arial"/>
                <w:sz w:val="18"/>
                <w:szCs w:val="18"/>
                <w:b w:val="1"/>
                <w:bCs w:val="1"/>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740"/>
              <w:spacing w:after="0"/>
              <w:rPr>
                <w:sz w:val="20"/>
                <w:szCs w:val="20"/>
                <w:color w:val="auto"/>
              </w:rPr>
            </w:pPr>
            <w:r>
              <w:rPr>
                <w:rFonts w:ascii="Arial" w:cs="Arial" w:eastAsia="Arial" w:hAnsi="Arial"/>
                <w:sz w:val="18"/>
                <w:szCs w:val="18"/>
                <w:b w:val="1"/>
                <w:bCs w:val="1"/>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60" w:type="dxa"/>
            <w:vAlign w:val="bottom"/>
          </w:tcPr>
          <w:p>
            <w:pPr>
              <w:ind w:left="740"/>
              <w:spacing w:after="0"/>
              <w:rPr>
                <w:sz w:val="20"/>
                <w:szCs w:val="20"/>
                <w:color w:val="auto"/>
              </w:rPr>
            </w:pPr>
            <w:r>
              <w:rPr>
                <w:rFonts w:ascii="Arial" w:cs="Arial" w:eastAsia="Arial" w:hAnsi="Arial"/>
                <w:sz w:val="18"/>
                <w:szCs w:val="18"/>
                <w:b w:val="1"/>
                <w:bCs w:val="1"/>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May 5, 2023, there were 113,177,146 shares of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68"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Page</w:t>
            </w:r>
          </w:p>
        </w:tc>
      </w:tr>
      <w:tr>
        <w:trPr>
          <w:trHeight w:val="210"/>
        </w:trPr>
        <w:tc>
          <w:tcPr>
            <w:tcW w:w="10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Definitions of Certain Terms and Conventions Used Herein</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800" w:type="dxa"/>
            <w:vAlign w:val="bottom"/>
            <w:gridSpan w:val="8"/>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36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r>
      <w:tr>
        <w:trPr>
          <w:trHeight w:val="176"/>
        </w:trPr>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100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Condensed Consolidated Financial Statements (Unaudited)</w:t>
            </w:r>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gridSpan w:val="5"/>
          </w:tcPr>
          <w:p>
            <w:pPr>
              <w:ind w:left="20"/>
              <w:spacing w:after="0"/>
              <w:rPr>
                <w:sz w:val="20"/>
                <w:szCs w:val="20"/>
                <w:color w:val="auto"/>
              </w:rPr>
            </w:pPr>
            <w:r>
              <w:rPr>
                <w:rFonts w:ascii="Arial" w:cs="Arial" w:eastAsia="Arial" w:hAnsi="Arial"/>
                <w:sz w:val="18"/>
                <w:szCs w:val="18"/>
                <w:color w:val="auto"/>
              </w:rPr>
              <w:t>Condensed Consolidated Statements of Operations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Condensed Consolidated Statements of Changes in Stockholders’ Equity</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gridSpan w:val="5"/>
          </w:tcPr>
          <w:p>
            <w:pPr>
              <w:ind w:left="20"/>
              <w:spacing w:after="0"/>
              <w:rPr>
                <w:sz w:val="20"/>
                <w:szCs w:val="20"/>
                <w:color w:val="auto"/>
              </w:rPr>
            </w:pPr>
            <w:r>
              <w:rPr>
                <w:rFonts w:ascii="Arial" w:cs="Arial" w:eastAsia="Arial" w:hAnsi="Arial"/>
                <w:sz w:val="18"/>
                <w:szCs w:val="18"/>
                <w:color w:val="auto"/>
              </w:rPr>
              <w:t>Condensed Consolidated Statements of Cash Flows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Notes to Condensed Consolidated Financial Statements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176"/>
        </w:trPr>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2.</w:t>
            </w:r>
          </w:p>
        </w:tc>
        <w:tc>
          <w:tcPr>
            <w:tcW w:w="100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Item 3.</w:t>
            </w: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10020" w:type="dxa"/>
            <w:vAlign w:val="bottom"/>
            <w:tcBorders>
              <w:bottom w:val="single" w:sz="8" w:color="CCEEFF"/>
            </w:tcBorders>
            <w:gridSpan w:val="5"/>
            <w:shd w:val="clear" w:color="auto" w:fill="CCEEFF"/>
          </w:tcPr>
          <w:p>
            <w:pPr>
              <w:ind w:left="2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175"/>
        </w:trPr>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4.</w:t>
            </w:r>
          </w:p>
        </w:tc>
        <w:tc>
          <w:tcPr>
            <w:tcW w:w="100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Controls and Procedures</w:t>
            </w:r>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560" w:type="dxa"/>
            <w:vAlign w:val="bottom"/>
            <w:gridSpan w:val="3"/>
            <w:shd w:val="clear" w:color="auto" w:fill="CCEEFF"/>
          </w:tcPr>
          <w:p>
            <w:pPr>
              <w:jc w:val="center"/>
              <w:ind w:right="3800"/>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440" w:type="dxa"/>
            <w:vAlign w:val="bottom"/>
            <w:shd w:val="clear" w:color="auto" w:fill="CCEEFF"/>
          </w:tcPr>
          <w:p>
            <w:pPr>
              <w:spacing w:after="0"/>
              <w:rPr>
                <w:sz w:val="17"/>
                <w:szCs w:val="17"/>
                <w:color w:val="auto"/>
              </w:rPr>
            </w:pPr>
          </w:p>
        </w:tc>
      </w:tr>
      <w:tr>
        <w:trPr>
          <w:trHeight w:val="176"/>
        </w:trPr>
        <w:tc>
          <w:tcPr>
            <w:tcW w:w="78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1.</w:t>
            </w:r>
          </w:p>
        </w:tc>
        <w:tc>
          <w:tcPr>
            <w:tcW w:w="3460" w:type="dxa"/>
            <w:vAlign w:val="bottom"/>
            <w:tcBorders>
              <w:top w:val="single" w:sz="8" w:color="CCEEFF"/>
            </w:tcBorders>
            <w:gridSpan w:val="2"/>
          </w:tcPr>
          <w:p>
            <w:pPr>
              <w:ind w:left="20"/>
              <w:spacing w:after="0" w:line="176" w:lineRule="exact"/>
              <w:rPr>
                <w:sz w:val="20"/>
                <w:szCs w:val="20"/>
                <w:color w:val="auto"/>
              </w:rPr>
            </w:pPr>
            <w:r>
              <w:rPr>
                <w:rFonts w:ascii="Arial" w:cs="Arial" w:eastAsia="Arial" w:hAnsi="Arial"/>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800" w:type="dxa"/>
            <w:vAlign w:val="bottom"/>
            <w:tcBorders>
              <w:top w:val="single" w:sz="8" w:color="CCEEFF"/>
            </w:tcBorders>
            <w:gridSpan w:val="2"/>
          </w:tcPr>
          <w:p>
            <w:pPr>
              <w:spacing w:after="0"/>
              <w:rPr>
                <w:sz w:val="15"/>
                <w:szCs w:val="15"/>
                <w:color w:val="auto"/>
              </w:rPr>
            </w:pPr>
          </w:p>
        </w:tc>
        <w:tc>
          <w:tcPr>
            <w:tcW w:w="4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02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auto"/>
              </w:rPr>
              <w:t>Risk Factors</w:t>
            </w:r>
          </w:p>
        </w:tc>
        <w:tc>
          <w:tcPr>
            <w:tcW w:w="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176"/>
        </w:trPr>
        <w:tc>
          <w:tcPr>
            <w:tcW w:w="6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Item 6.</w:t>
            </w:r>
          </w:p>
        </w:tc>
        <w:tc>
          <w:tcPr>
            <w:tcW w:w="140" w:type="dxa"/>
            <w:vAlign w:val="bottom"/>
            <w:tcBorders>
              <w:top w:val="single" w:sz="8" w:color="CCEEFF"/>
            </w:tcBorders>
          </w:tcPr>
          <w:p>
            <w:pPr>
              <w:spacing w:after="0"/>
              <w:rPr>
                <w:sz w:val="15"/>
                <w:szCs w:val="15"/>
                <w:color w:val="auto"/>
              </w:rPr>
            </w:pPr>
          </w:p>
        </w:tc>
        <w:tc>
          <w:tcPr>
            <w:tcW w:w="10020" w:type="dxa"/>
            <w:vAlign w:val="bottom"/>
            <w:tcBorders>
              <w:top w:val="single" w:sz="8" w:color="CCEEFF"/>
            </w:tcBorders>
            <w:gridSpan w:val="5"/>
          </w:tcPr>
          <w:p>
            <w:pPr>
              <w:ind w:left="20"/>
              <w:spacing w:after="0" w:line="176" w:lineRule="exact"/>
              <w:rPr>
                <w:sz w:val="20"/>
                <w:szCs w:val="20"/>
                <w:color w:val="auto"/>
              </w:rPr>
            </w:pPr>
            <w:r>
              <w:rPr>
                <w:rFonts w:ascii="Arial" w:cs="Arial" w:eastAsia="Arial" w:hAnsi="Arial"/>
                <w:sz w:val="18"/>
                <w:szCs w:val="18"/>
                <w:color w:val="auto"/>
              </w:rPr>
              <w:t>Exhibits</w:t>
            </w:r>
          </w:p>
        </w:tc>
        <w:tc>
          <w:tcPr>
            <w:tcW w:w="4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Signatures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574"/>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this Quarterly Report on Form 10-Q (this “Quarterly Report”), the following terms and conventions have specific meanings:</w:t>
      </w:r>
    </w:p>
    <w:p>
      <w:pPr>
        <w:spacing w:after="0" w:line="225" w:lineRule="exact"/>
        <w:rPr>
          <w:sz w:val="20"/>
          <w:szCs w:val="20"/>
          <w:color w:val="auto"/>
        </w:rPr>
      </w:pPr>
    </w:p>
    <w:p>
      <w:pPr>
        <w:ind w:left="660" w:right="60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“10.000% Senior Notes</w:t>
      </w:r>
      <w:r>
        <w:rPr>
          <w:rFonts w:ascii="Arial" w:cs="Arial" w:eastAsia="Arial" w:hAnsi="Arial"/>
          <w:sz w:val="18"/>
          <w:szCs w:val="18"/>
          <w:color w:val="auto"/>
        </w:rPr>
        <w:t>” means the $225.0 million aggregate principal amount of our 10.000% Senior Notes due 2024, which were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indenture in February 2022.</w:t>
      </w:r>
    </w:p>
    <w:p>
      <w:pPr>
        <w:spacing w:after="0" w:line="1" w:lineRule="exact"/>
        <w:rPr>
          <w:rFonts w:ascii="Arial" w:cs="Arial" w:eastAsia="Arial" w:hAnsi="Arial"/>
          <w:sz w:val="18"/>
          <w:szCs w:val="18"/>
          <w:color w:val="auto"/>
        </w:rPr>
      </w:pPr>
    </w:p>
    <w:p>
      <w:pPr>
        <w:ind w:left="660" w:right="20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“10.625% Senior Notes</w:t>
      </w:r>
      <w:r>
        <w:rPr>
          <w:rFonts w:ascii="Arial" w:cs="Arial" w:eastAsia="Arial" w:hAnsi="Arial"/>
          <w:sz w:val="16"/>
          <w:szCs w:val="16"/>
          <w:color w:val="auto"/>
        </w:rPr>
        <w:t>” means the $250.0 million aggregate principal amount of our 10.625% Senior Notes due 2024, $225.0 million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issued pursuant to an indenture in November 2022 and $25.0 million of which were issued pursuant to an indenture in December 2022.</w:t>
      </w:r>
    </w:p>
    <w:p>
      <w:pPr>
        <w:spacing w:after="0" w:line="1" w:lineRule="exact"/>
        <w:rPr>
          <w:rFonts w:ascii="Arial" w:cs="Arial" w:eastAsia="Arial" w:hAnsi="Arial"/>
          <w:sz w:val="16"/>
          <w:szCs w:val="16"/>
          <w:color w:val="auto"/>
        </w:rPr>
      </w:pPr>
    </w:p>
    <w:p>
      <w:pPr>
        <w:ind w:left="660" w:right="8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“3-D seismic</w:t>
      </w:r>
      <w:r>
        <w:rPr>
          <w:rFonts w:ascii="Arial" w:cs="Arial" w:eastAsia="Arial" w:hAnsi="Arial"/>
          <w:sz w:val="17"/>
          <w:szCs w:val="17"/>
          <w:color w:val="auto"/>
        </w:rPr>
        <w:t>” means three-dimensional seismic data which is geophysical data that depicts the subsurface strata in three dimensions. 3-D seismic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typically provides a more detailed and accurate interpretation of the subsurface strata than two-dimensional data.</w:t>
      </w:r>
    </w:p>
    <w:p>
      <w:pPr>
        <w:ind w:left="660" w:right="4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“Alamo Acquisitions</w:t>
      </w:r>
      <w:r>
        <w:rPr>
          <w:rFonts w:ascii="Arial" w:cs="Arial" w:eastAsia="Arial" w:hAnsi="Arial"/>
          <w:sz w:val="17"/>
          <w:szCs w:val="17"/>
          <w:color w:val="auto"/>
        </w:rPr>
        <w:t>” means the acquisitions of certain crude oil and natural gas properties in Borden County, Texas, collectively, from (i) Alamo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Borden County II, LLC (“Alamo II”), Alamo Borden County III, LLC (“Alamo III”) and Alamo Borden County IV, LLC (“Alamo IV”) pursuant to that certain Purchase and Sale Agreement dated February 15, 2022 by and among HighPeak Energy, HighPeak Energy Assets, LLC (together with HighPeak Energy, the “HighPeak Parties”), Alamo II, Alamo III, and Alamo IV and (ii) Alamo Borden County 1, LLC (“Alamo I”) pursuant to that certain Purchase and Sale Agreement dated June 3, 2022 by and among the HighPeak Parties and Alamo I.</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“ASC</w:t>
      </w:r>
      <w:r>
        <w:rPr>
          <w:rFonts w:ascii="Arial" w:cs="Arial" w:eastAsia="Arial" w:hAnsi="Arial"/>
          <w:sz w:val="18"/>
          <w:szCs w:val="18"/>
          <w:color w:val="auto"/>
        </w:rPr>
        <w:t>” means Accounting Standards Codification.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“ASU</w:t>
      </w:r>
      <w:r>
        <w:rPr>
          <w:rFonts w:ascii="Arial" w:cs="Arial" w:eastAsia="Arial" w:hAnsi="Arial"/>
          <w:sz w:val="18"/>
          <w:szCs w:val="18"/>
          <w:color w:val="auto"/>
        </w:rPr>
        <w:t>” means Accounting Standards Update.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“Basin</w:t>
      </w:r>
      <w:r>
        <w:rPr>
          <w:rFonts w:ascii="Arial" w:cs="Arial" w:eastAsia="Arial" w:hAnsi="Arial"/>
          <w:sz w:val="18"/>
          <w:szCs w:val="18"/>
          <w:color w:val="auto"/>
        </w:rPr>
        <w:t>” means a large natural depression on the earth’s surface in which sediments generally brought by water accumulate.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“Bbl</w:t>
      </w:r>
      <w:r>
        <w:rPr>
          <w:rFonts w:ascii="Arial" w:cs="Arial" w:eastAsia="Arial" w:hAnsi="Arial"/>
          <w:sz w:val="18"/>
          <w:szCs w:val="18"/>
          <w:color w:val="auto"/>
        </w:rPr>
        <w:t>” means a standard barrel containing 42 United States gallons.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“Bcf</w:t>
      </w:r>
      <w:r>
        <w:rPr>
          <w:rFonts w:ascii="Arial" w:cs="Arial" w:eastAsia="Arial" w:hAnsi="Arial"/>
          <w:sz w:val="18"/>
          <w:szCs w:val="18"/>
          <w:color w:val="auto"/>
        </w:rPr>
        <w:t>” means one billion cubic feet.</w:t>
      </w:r>
    </w:p>
    <w:p>
      <w:pPr>
        <w:spacing w:after="0" w:line="9" w:lineRule="exact"/>
        <w:rPr>
          <w:rFonts w:ascii="Arial" w:cs="Arial" w:eastAsia="Arial" w:hAnsi="Arial"/>
          <w:sz w:val="18"/>
          <w:szCs w:val="18"/>
          <w:color w:val="auto"/>
        </w:rPr>
      </w:pPr>
    </w:p>
    <w:p>
      <w:pPr>
        <w:jc w:val="both"/>
        <w:ind w:left="660" w:right="4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“Boe</w:t>
      </w:r>
      <w:r>
        <w:rPr>
          <w:rFonts w:ascii="Arial" w:cs="Arial" w:eastAsia="Arial" w:hAnsi="Arial"/>
          <w:sz w:val="18"/>
          <w:szCs w:val="18"/>
          <w:color w:val="auto"/>
        </w:rPr>
        <w:t>” means a barrel of crude oil equivalent and is a standard convention used to express crude oil and natural gas volumes on a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equivalent basis. Natural gas equivalents are determined under the relative energy content method by using the ratio of six thousand cubic feet of natural gas to one Bbl of crude oil or NGL.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“Boepd</w:t>
      </w:r>
      <w:r>
        <w:rPr>
          <w:rFonts w:ascii="Arial" w:cs="Arial" w:eastAsia="Arial" w:hAnsi="Arial"/>
          <w:sz w:val="18"/>
          <w:szCs w:val="18"/>
          <w:color w:val="auto"/>
        </w:rPr>
        <w:t>” means Boe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“Bopd</w:t>
      </w:r>
      <w:r>
        <w:rPr>
          <w:rFonts w:ascii="Arial" w:cs="Arial" w:eastAsia="Arial" w:hAnsi="Arial"/>
          <w:sz w:val="18"/>
          <w:szCs w:val="18"/>
          <w:color w:val="auto"/>
        </w:rPr>
        <w:t>” means one barrel of crude oil per day.</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“Btu</w:t>
      </w:r>
      <w:r>
        <w:rPr>
          <w:rFonts w:ascii="Arial" w:cs="Arial" w:eastAsia="Arial" w:hAnsi="Arial"/>
          <w:sz w:val="18"/>
          <w:szCs w:val="18"/>
          <w:color w:val="auto"/>
        </w:rPr>
        <w:t>” means British thermal unit, which is a measure of the amount of energy required to raise the temperature of one pound of water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Fahrenheit.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or “</w:t>
      </w:r>
      <w:r>
        <w:rPr>
          <w:rFonts w:ascii="Arial" w:cs="Arial" w:eastAsia="Arial" w:hAnsi="Arial"/>
          <w:sz w:val="18"/>
          <w:szCs w:val="18"/>
          <w:b w:val="1"/>
          <w:bCs w:val="1"/>
          <w:i w:val="1"/>
          <w:iCs w:val="1"/>
          <w:color w:val="auto"/>
        </w:rPr>
        <w:t>HighPeak Energy common stock</w:t>
      </w:r>
      <w:r>
        <w:rPr>
          <w:rFonts w:ascii="Arial" w:cs="Arial" w:eastAsia="Arial" w:hAnsi="Arial"/>
          <w:sz w:val="18"/>
          <w:szCs w:val="18"/>
          <w:color w:val="auto"/>
        </w:rPr>
        <w:t>” means the Company’s common stock, par value $0.0001 per share.</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crude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or in the case of a dry hole, the reporting of abandonment to the appropriate agency.</w:t>
      </w:r>
    </w:p>
    <w:p>
      <w:pPr>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Company’s Credit Agreement, dated as of December 17, 2020, as amended from time to time, among HighPeak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Inc., as Borrower, Wells Fargo Bank, National Association, as administrative agent, and the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“DD&amp;A</w:t>
      </w:r>
      <w:r>
        <w:rPr>
          <w:rFonts w:ascii="Arial" w:cs="Arial" w:eastAsia="Arial" w:hAnsi="Arial"/>
          <w:sz w:val="18"/>
          <w:szCs w:val="18"/>
          <w:color w:val="auto"/>
        </w:rPr>
        <w:t>” means depletion, depreciation and amortization.</w:t>
      </w:r>
    </w:p>
    <w:p>
      <w:pPr>
        <w:spacing w:after="0" w:line="9" w:lineRule="exact"/>
        <w:rPr>
          <w:rFonts w:ascii="Arial" w:cs="Arial" w:eastAsia="Arial" w:hAnsi="Arial"/>
          <w:sz w:val="18"/>
          <w:szCs w:val="18"/>
          <w:color w:val="auto"/>
        </w:rPr>
      </w:pPr>
    </w:p>
    <w:p>
      <w:pPr>
        <w:ind w:left="660" w:right="1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costs</w:t>
      </w:r>
      <w:r>
        <w:rPr>
          <w:rFonts w:ascii="Arial" w:cs="Arial" w:eastAsia="Arial" w:hAnsi="Arial"/>
          <w:sz w:val="17"/>
          <w:szCs w:val="17"/>
          <w:color w:val="auto"/>
        </w:rPr>
        <w:t>” Costs incurred to obtain access to proved reserves and to provide facilities for extracting, treating, gathering and storing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and natural gas. For a complete definition of development costs, refer to the SEC’s Regulation S-X, Rule 4-10(a)(7).</w:t>
      </w:r>
    </w:p>
    <w:p>
      <w:pPr>
        <w:jc w:val="both"/>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project</w:t>
      </w:r>
      <w:r>
        <w:rPr>
          <w:rFonts w:ascii="Arial" w:cs="Arial" w:eastAsia="Arial" w:hAnsi="Arial"/>
          <w:sz w:val="17"/>
          <w:szCs w:val="17"/>
          <w:color w:val="auto"/>
        </w:rPr>
        <w:t>” A development project is the means by which petroleum resources are brought to the status of economically producible.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 crude oil or natural gas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“Differential</w:t>
      </w:r>
      <w:r>
        <w:rPr>
          <w:rFonts w:ascii="Arial" w:cs="Arial" w:eastAsia="Arial" w:hAnsi="Arial"/>
          <w:sz w:val="18"/>
          <w:szCs w:val="18"/>
          <w:color w:val="auto"/>
        </w:rPr>
        <w:t>” An adjustment to the price of crude oil, NGL or natural gas from an established spot market price to reflect differences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and/or location of crude oil, NGL or natural gas.</w:t>
      </w: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dry well</w:t>
      </w:r>
      <w:r>
        <w:rPr>
          <w:rFonts w:ascii="Arial" w:cs="Arial" w:eastAsia="Arial" w:hAnsi="Arial"/>
          <w:sz w:val="18"/>
          <w:szCs w:val="18"/>
          <w:color w:val="auto"/>
        </w:rPr>
        <w:t>” A well found to be incapable of producing hydrocarbons in sufficient quantities such that proceeds from the sale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producible</w:t>
      </w:r>
      <w:r>
        <w:rPr>
          <w:rFonts w:ascii="Arial" w:cs="Arial" w:eastAsia="Arial" w:hAnsi="Arial"/>
          <w:sz w:val="18"/>
          <w:szCs w:val="18"/>
          <w:color w:val="auto"/>
        </w:rPr>
        <w:t>” The term economically producible, as it relates to a resource, means a resource which generates revenue that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reasonably expected to exceed, the costs of the operation.</w:t>
      </w:r>
    </w:p>
    <w:p>
      <w:pPr>
        <w:ind w:left="660" w:right="12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“Eighth Amendment</w:t>
      </w:r>
      <w:r>
        <w:rPr>
          <w:rFonts w:ascii="Arial" w:cs="Arial" w:eastAsia="Arial" w:hAnsi="Arial"/>
          <w:sz w:val="16"/>
          <w:szCs w:val="16"/>
          <w:color w:val="auto"/>
        </w:rPr>
        <w:t>” means the Eighth Amendment to Credit Agreement, dated as of March 14, 2023, by and among HighPeak Energy, Inc.,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 Wells Fargo Bank, National Association, as administrative agent, the guarantors party thereto and the lenders party thereto.</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“EUR</w:t>
      </w:r>
      <w:r>
        <w:rPr>
          <w:rFonts w:ascii="Arial" w:cs="Arial" w:eastAsia="Arial" w:hAnsi="Arial"/>
          <w:sz w:val="17"/>
          <w:szCs w:val="17"/>
          <w:color w:val="auto"/>
        </w:rPr>
        <w:t>” or “</w:t>
      </w:r>
      <w:r>
        <w:rPr>
          <w:rFonts w:ascii="Arial" w:cs="Arial" w:eastAsia="Arial" w:hAnsi="Arial"/>
          <w:sz w:val="17"/>
          <w:szCs w:val="17"/>
          <w:b w:val="1"/>
          <w:bCs w:val="1"/>
          <w:i w:val="1"/>
          <w:iCs w:val="1"/>
          <w:color w:val="auto"/>
        </w:rPr>
        <w:t>Estimated ultimate recovery</w:t>
      </w:r>
      <w:r>
        <w:rPr>
          <w:rFonts w:ascii="Arial" w:cs="Arial" w:eastAsia="Arial" w:hAnsi="Arial"/>
          <w:sz w:val="17"/>
          <w:szCs w:val="17"/>
          <w:color w:val="auto"/>
        </w:rPr>
        <w:t>” The sum of reserves remaining as of a given date and cumulative production as of that date.</w:t>
      </w:r>
    </w:p>
    <w:p>
      <w:pPr>
        <w:spacing w:after="0" w:line="20" w:lineRule="exact"/>
        <w:rPr>
          <w:rFonts w:ascii="Arial" w:cs="Arial" w:eastAsia="Arial" w:hAnsi="Arial"/>
          <w:sz w:val="17"/>
          <w:szCs w:val="17"/>
          <w:color w:val="auto"/>
        </w:rPr>
      </w:pPr>
    </w:p>
    <w:p>
      <w:pPr>
        <w:jc w:val="both"/>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“Exploratory well</w:t>
      </w:r>
      <w:r>
        <w:rPr>
          <w:rFonts w:ascii="Arial" w:cs="Arial" w:eastAsia="Arial" w:hAnsi="Arial"/>
          <w:sz w:val="18"/>
          <w:szCs w:val="18"/>
          <w:color w:val="auto"/>
        </w:rPr>
        <w:t>” An exploratory well is a well drilled to find a new field, to find a new reservoir in a field previously found to be productive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or natural gas in another reservoir. Generally, an exploratory well is any well that is not a development well, an extension well, a service well or a stratigraphic test well as those items are defined by the SEC.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“Extension well</w:t>
      </w:r>
      <w:r>
        <w:rPr>
          <w:rFonts w:ascii="Arial" w:cs="Arial" w:eastAsia="Arial" w:hAnsi="Arial"/>
          <w:sz w:val="18"/>
          <w:szCs w:val="18"/>
          <w:color w:val="auto"/>
        </w:rPr>
        <w:t>” An extension well is a well drilled to extend the limits of a known reservoir.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“FASB</w:t>
      </w:r>
      <w:r>
        <w:rPr>
          <w:rFonts w:ascii="Arial" w:cs="Arial" w:eastAsia="Arial" w:hAnsi="Arial"/>
          <w:sz w:val="18"/>
          <w:szCs w:val="18"/>
          <w:color w:val="auto"/>
        </w:rPr>
        <w:t>” Financial Accounting Standards Board.</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or stratigraphic condition. The field name refers to the surface area, although it may refer to both the surface and the underground productive formations.</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“Fifth Amendment</w:t>
      </w:r>
      <w:r>
        <w:rPr>
          <w:rFonts w:ascii="Arial" w:cs="Arial" w:eastAsia="Arial" w:hAnsi="Arial"/>
          <w:sz w:val="18"/>
          <w:szCs w:val="18"/>
          <w:color w:val="auto"/>
        </w:rPr>
        <w:t>” means the Fifth Amendment to Credit Agreement, dated as of October 14, 2022, by and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the existing administrative agent, Wells Fargo Bank, National Association, as the new administrative agent, the guarantors party thereto and the lenders party thereto.</w:t>
      </w:r>
    </w:p>
    <w:p>
      <w:pPr>
        <w:spacing w:after="0" w:line="1" w:lineRule="exact"/>
        <w:rPr>
          <w:rFonts w:ascii="Arial" w:cs="Arial" w:eastAsia="Arial" w:hAnsi="Arial"/>
          <w:sz w:val="18"/>
          <w:szCs w:val="18"/>
          <w:color w:val="auto"/>
        </w:rPr>
      </w:pPr>
    </w:p>
    <w:p>
      <w:pPr>
        <w:ind w:left="660" w:right="3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“First Amendment</w:t>
      </w:r>
      <w:r>
        <w:rPr>
          <w:rFonts w:ascii="Arial" w:cs="Arial" w:eastAsia="Arial" w:hAnsi="Arial"/>
          <w:sz w:val="17"/>
          <w:szCs w:val="17"/>
          <w:color w:val="auto"/>
        </w:rPr>
        <w:t>” means the First Amendment to Credit Agreement, dated as of June 23, 2021, among HighPeak Energy, Inc., as Borrower,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Fifth Third Bank, National Association, as administrative agent, and the guarantors party thereto and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“Formation</w:t>
      </w:r>
      <w:r>
        <w:rPr>
          <w:rFonts w:ascii="Arial" w:cs="Arial" w:eastAsia="Arial" w:hAnsi="Arial"/>
          <w:sz w:val="18"/>
          <w:szCs w:val="18"/>
          <w:color w:val="auto"/>
        </w:rPr>
        <w:t>” A layer of rock which has distinct characteristics that differs from nearby rocks.</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“Fourth Amendment</w:t>
      </w:r>
      <w:r>
        <w:rPr>
          <w:rFonts w:ascii="Arial" w:cs="Arial" w:eastAsia="Arial" w:hAnsi="Arial"/>
          <w:sz w:val="17"/>
          <w:szCs w:val="17"/>
          <w:color w:val="auto"/>
        </w:rPr>
        <w:t>” means the Fourth Amendment to Credit Agreement, dated as of June 27, 2022, among HighPeak Energy, Inc., as Borrower,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Fifth Third Bank, National Association, as administrative agent, and the guarantors party thereto and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of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 means the total wells in which a working interest is owned.</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19" w:gutter="0" w:footer="0" w:header="0"/>
        </w:sectPr>
      </w:pPr>
    </w:p>
    <w:bookmarkStart w:id="3" w:name="page4"/>
    <w:bookmarkEnd w:id="3"/>
    <w:p>
      <w:pPr>
        <w:ind w:left="328" w:right="12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“Hannathon Acquisition</w:t>
      </w:r>
      <w:r>
        <w:rPr>
          <w:rFonts w:ascii="Arial" w:cs="Arial" w:eastAsia="Arial" w:hAnsi="Arial"/>
          <w:sz w:val="18"/>
          <w:szCs w:val="18"/>
          <w:color w:val="auto"/>
        </w:rPr>
        <w:t>” means the acquisition of various crude oil and natural gas properties largely contiguous to the Company’s Signal Peak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area in Howard County, Texas pursuant to that certain Purchase and Sale Agreement dated as of April 26, 2022, with Hannathon Petroleum, LLC and certain other third-party private sellers set forth therein.</w:t>
      </w:r>
    </w:p>
    <w:p>
      <w:pPr>
        <w:spacing w:after="0" w:line="2" w:lineRule="exact"/>
        <w:rPr>
          <w:rFonts w:ascii="Arial" w:cs="Arial" w:eastAsia="Arial" w:hAnsi="Arial"/>
          <w:sz w:val="18"/>
          <w:szCs w:val="18"/>
          <w:color w:val="auto"/>
        </w:rPr>
      </w:pPr>
    </w:p>
    <w:p>
      <w:pPr>
        <w:ind w:left="328" w:right="66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“Held by production</w:t>
      </w:r>
      <w:r>
        <w:rPr>
          <w:rFonts w:ascii="Arial" w:cs="Arial" w:eastAsia="Arial" w:hAnsi="Arial"/>
          <w:sz w:val="18"/>
          <w:szCs w:val="18"/>
          <w:color w:val="auto"/>
        </w:rPr>
        <w:t>” Acreage covered by a mineral lease that perpetuates a company’s right to operate a property as long as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 minimum paying quantity of crude oil or natural gas.</w:t>
      </w: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“HH</w:t>
      </w:r>
      <w:r>
        <w:rPr>
          <w:rFonts w:ascii="Arial" w:cs="Arial" w:eastAsia="Arial" w:hAnsi="Arial"/>
          <w:sz w:val="17"/>
          <w:szCs w:val="17"/>
          <w:color w:val="auto"/>
        </w:rPr>
        <w:t>” means Henry Hub, a distribution hub in Louisiana that serves as the delivery location for natural gas futures contracts on the NYMEX.</w:t>
      </w:r>
    </w:p>
    <w:p>
      <w:pPr>
        <w:spacing w:after="0" w:line="33"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HighPeak Energy, Inc. and its subsidiaries.</w:t>
      </w:r>
    </w:p>
    <w:p>
      <w:pPr>
        <w:spacing w:after="0" w:line="36" w:lineRule="exact"/>
        <w:rPr>
          <w:rFonts w:ascii="Arial" w:cs="Arial" w:eastAsia="Arial" w:hAnsi="Arial"/>
          <w:sz w:val="18"/>
          <w:szCs w:val="18"/>
          <w:color w:val="auto"/>
        </w:rPr>
      </w:pPr>
    </w:p>
    <w:p>
      <w:pPr>
        <w:ind w:left="328" w:right="10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within a specified interval.</w:t>
      </w:r>
    </w:p>
    <w:p>
      <w:pPr>
        <w:spacing w:after="0" w:line="1" w:lineRule="exact"/>
        <w:rPr>
          <w:rFonts w:ascii="Arial" w:cs="Arial" w:eastAsia="Arial" w:hAnsi="Arial"/>
          <w:sz w:val="18"/>
          <w:szCs w:val="18"/>
          <w:color w:val="auto"/>
        </w:rPr>
      </w:pPr>
    </w:p>
    <w:p>
      <w:pPr>
        <w:jc w:val="both"/>
        <w:ind w:left="328" w:right="3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“Hydraulic fracturing</w:t>
      </w:r>
      <w:r>
        <w:rPr>
          <w:rFonts w:ascii="Arial" w:cs="Arial" w:eastAsia="Arial" w:hAnsi="Arial"/>
          <w:sz w:val="18"/>
          <w:szCs w:val="18"/>
          <w:color w:val="auto"/>
        </w:rPr>
        <w:t>” is the technique of stimulating the production of hydrocarbons from tight formations. The Company routinely utilizes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“Lease operating expenses</w:t>
      </w:r>
      <w:r>
        <w:rPr>
          <w:rFonts w:ascii="Arial" w:cs="Arial" w:eastAsia="Arial" w:hAnsi="Arial"/>
          <w:sz w:val="18"/>
          <w:szCs w:val="18"/>
          <w:color w:val="auto"/>
        </w:rPr>
        <w:t>” The expenses of lifting crude oil or natural gas from a producing formation to the surface, constituting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“MBbl</w:t>
      </w:r>
      <w:r>
        <w:rPr>
          <w:rFonts w:ascii="Arial" w:cs="Arial" w:eastAsia="Arial" w:hAnsi="Arial"/>
          <w:sz w:val="18"/>
          <w:szCs w:val="18"/>
          <w:color w:val="auto"/>
        </w:rPr>
        <w:t>” means one thousand Bbls.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“MBoe</w:t>
      </w:r>
      <w:r>
        <w:rPr>
          <w:rFonts w:ascii="Arial" w:cs="Arial" w:eastAsia="Arial" w:hAnsi="Arial"/>
          <w:sz w:val="18"/>
          <w:szCs w:val="18"/>
          <w:color w:val="auto"/>
        </w:rPr>
        <w:t>” means one thousand Boes.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“Mcf</w:t>
      </w:r>
      <w:r>
        <w:rPr>
          <w:rFonts w:ascii="Arial" w:cs="Arial" w:eastAsia="Arial" w:hAnsi="Arial"/>
          <w:sz w:val="18"/>
          <w:szCs w:val="18"/>
          <w:color w:val="auto"/>
        </w:rPr>
        <w:t>” means one thousand cubic feet and is a measure of natural gas volume.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“MMBbl</w:t>
      </w:r>
      <w:r>
        <w:rPr>
          <w:rFonts w:ascii="Arial" w:cs="Arial" w:eastAsia="Arial" w:hAnsi="Arial"/>
          <w:sz w:val="18"/>
          <w:szCs w:val="18"/>
          <w:color w:val="auto"/>
        </w:rPr>
        <w:t>” means one million Bbls.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“MMBtu</w:t>
      </w:r>
      <w:r>
        <w:rPr>
          <w:rFonts w:ascii="Arial" w:cs="Arial" w:eastAsia="Arial" w:hAnsi="Arial"/>
          <w:sz w:val="18"/>
          <w:szCs w:val="18"/>
          <w:color w:val="auto"/>
        </w:rPr>
        <w:t>” means one million Btus.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“MMcf</w:t>
      </w:r>
      <w:r>
        <w:rPr>
          <w:rFonts w:ascii="Arial" w:cs="Arial" w:eastAsia="Arial" w:hAnsi="Arial"/>
          <w:sz w:val="18"/>
          <w:szCs w:val="18"/>
          <w:color w:val="auto"/>
        </w:rPr>
        <w:t>” means one million cubic feet and is a measure of natural gas volume.</w:t>
      </w:r>
    </w:p>
    <w:p>
      <w:pPr>
        <w:spacing w:after="0" w:line="36" w:lineRule="exact"/>
        <w:rPr>
          <w:rFonts w:ascii="Arial" w:cs="Arial" w:eastAsia="Arial" w:hAnsi="Arial"/>
          <w:sz w:val="18"/>
          <w:szCs w:val="18"/>
          <w:color w:val="auto"/>
        </w:rPr>
      </w:pPr>
    </w:p>
    <w:p>
      <w:pPr>
        <w:ind w:left="328"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“Net acres</w:t>
      </w:r>
      <w:r>
        <w:rPr>
          <w:rFonts w:ascii="Arial" w:cs="Arial" w:eastAsia="Arial" w:hAnsi="Arial"/>
          <w:sz w:val="18"/>
          <w:szCs w:val="18"/>
          <w:color w:val="auto"/>
        </w:rPr>
        <w:t>” The percentage of total acres an owner has out of a particular number of gross acres or a specified tract. As an example. an owner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50% interest in 100 gross acres owns 50 net acres.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“Net production</w:t>
      </w:r>
      <w:r>
        <w:rPr>
          <w:rFonts w:ascii="Arial" w:cs="Arial" w:eastAsia="Arial" w:hAnsi="Arial"/>
          <w:sz w:val="18"/>
          <w:szCs w:val="18"/>
          <w:color w:val="auto"/>
        </w:rPr>
        <w:t>” Production that is owned by us, less royalties and production due others.</w:t>
      </w:r>
    </w:p>
    <w:p>
      <w:pPr>
        <w:spacing w:after="0" w:line="21" w:lineRule="exact"/>
        <w:rPr>
          <w:rFonts w:ascii="Arial" w:cs="Arial" w:eastAsia="Arial" w:hAnsi="Arial"/>
          <w:sz w:val="18"/>
          <w:szCs w:val="18"/>
          <w:color w:val="auto"/>
        </w:rPr>
      </w:pPr>
    </w:p>
    <w:p>
      <w:pPr>
        <w:ind w:left="328" w:right="20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“NGL</w:t>
      </w:r>
      <w:r>
        <w:rPr>
          <w:rFonts w:ascii="Arial" w:cs="Arial" w:eastAsia="Arial" w:hAnsi="Arial"/>
          <w:sz w:val="18"/>
          <w:szCs w:val="18"/>
          <w:color w:val="auto"/>
        </w:rPr>
        <w:t>” means natural gas liquids, which are the heavier hydrocarbon liquids that are separated from the natural gas stream; such liquids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ethane, propane, isobutane, normal butane and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“NYMEX</w:t>
      </w:r>
      <w:r>
        <w:rPr>
          <w:rFonts w:ascii="Arial" w:cs="Arial" w:eastAsia="Arial" w:hAnsi="Arial"/>
          <w:sz w:val="18"/>
          <w:szCs w:val="18"/>
          <w:color w:val="auto"/>
        </w:rPr>
        <w:t>” means the New York Mercantile Exchange.</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“OPEC</w:t>
      </w:r>
      <w:r>
        <w:rPr>
          <w:rFonts w:ascii="Arial" w:cs="Arial" w:eastAsia="Arial" w:hAnsi="Arial"/>
          <w:sz w:val="18"/>
          <w:szCs w:val="18"/>
          <w:color w:val="auto"/>
        </w:rPr>
        <w:t>” means the Organization of Petroleum Exporting Countries.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“Operator</w:t>
      </w:r>
      <w:r>
        <w:rPr>
          <w:rFonts w:ascii="Arial" w:cs="Arial" w:eastAsia="Arial" w:hAnsi="Arial"/>
          <w:sz w:val="18"/>
          <w:szCs w:val="18"/>
          <w:color w:val="auto"/>
        </w:rPr>
        <w:t>” The individual or company responsible for the exploration and/or production of a crude oil or natural gas well or lease.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“Plugging</w:t>
      </w:r>
      <w:r>
        <w:rPr>
          <w:rFonts w:ascii="Arial" w:cs="Arial" w:eastAsia="Arial" w:hAnsi="Arial"/>
          <w:sz w:val="18"/>
          <w:szCs w:val="18"/>
          <w:color w:val="auto"/>
        </w:rPr>
        <w:t>” A downhole tool that is set inside the casing to isolate the lower part of the wellbore.</w:t>
      </w:r>
    </w:p>
    <w:p>
      <w:pPr>
        <w:spacing w:after="0" w:line="36"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“Pooling</w:t>
      </w:r>
      <w:r>
        <w:rPr>
          <w:rFonts w:ascii="Arial" w:cs="Arial" w:eastAsia="Arial" w:hAnsi="Arial"/>
          <w:sz w:val="18"/>
          <w:szCs w:val="18"/>
          <w:color w:val="auto"/>
        </w:rPr>
        <w:t>” The bringing together of small tracts or fractional mineral interests in one or more tracts to form a drilling and production unit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under applicable spacing rules.</w:t>
      </w:r>
    </w:p>
    <w:p>
      <w:pPr>
        <w:spacing w:after="0" w:line="1" w:lineRule="exact"/>
        <w:rPr>
          <w:rFonts w:ascii="Arial" w:cs="Arial" w:eastAsia="Arial" w:hAnsi="Arial"/>
          <w:sz w:val="18"/>
          <w:szCs w:val="18"/>
          <w:color w:val="auto"/>
        </w:rPr>
      </w:pPr>
    </w:p>
    <w:p>
      <w:pPr>
        <w:ind w:left="328" w:hanging="328"/>
        <w:spacing w:after="0" w:line="204"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b w:val="1"/>
          <w:bCs w:val="1"/>
          <w:i w:val="1"/>
          <w:iCs w:val="1"/>
          <w:color w:val="auto"/>
        </w:rPr>
        <w:t>“Predecessor</w:t>
      </w:r>
      <w:r>
        <w:rPr>
          <w:rFonts w:ascii="Arial" w:cs="Arial" w:eastAsia="Arial" w:hAnsi="Arial"/>
          <w:sz w:val="18"/>
          <w:szCs w:val="18"/>
          <w:color w:val="auto"/>
        </w:rPr>
        <w:t>” refers to HPK LP for the period from January 1, 2020 to August 20, 2020.</w:t>
      </w:r>
    </w:p>
    <w:p>
      <w:pPr>
        <w:spacing w:after="0" w:line="29" w:lineRule="exact"/>
        <w:rPr>
          <w:rFonts w:ascii="Arial" w:cs="Arial" w:eastAsia="Arial" w:hAnsi="Arial"/>
          <w:sz w:val="22"/>
          <w:szCs w:val="22"/>
          <w:color w:val="auto"/>
        </w:rPr>
      </w:pPr>
    </w:p>
    <w:p>
      <w:pPr>
        <w:ind w:left="328" w:right="180" w:hanging="328"/>
        <w:spacing w:after="0" w:line="249"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costs</w:t>
      </w:r>
      <w:r>
        <w:rPr>
          <w:rFonts w:ascii="Arial" w:cs="Arial" w:eastAsia="Arial" w:hAnsi="Arial"/>
          <w:sz w:val="18"/>
          <w:szCs w:val="18"/>
          <w:color w:val="auto"/>
        </w:rPr>
        <w:t>” Costs incurred to operate and maintain wells and related equipment and facilities, including depreciation and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2"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8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“Proration unit</w:t>
      </w:r>
      <w:r>
        <w:rPr>
          <w:rFonts w:ascii="Arial" w:cs="Arial" w:eastAsia="Arial" w:hAnsi="Arial"/>
          <w:sz w:val="18"/>
          <w:szCs w:val="18"/>
          <w:color w:val="auto"/>
        </w:rPr>
        <w:t>” A unit that can be effectively and efficiently drained by one well, as allocated by a governmental agency having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w:t>
      </w:r>
    </w:p>
    <w:p>
      <w:pPr>
        <w:ind w:left="328" w:right="200" w:hanging="328"/>
        <w:spacing w:after="0" w:line="265"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“Prospect</w:t>
      </w:r>
      <w:r>
        <w:rPr>
          <w:rFonts w:ascii="Arial" w:cs="Arial" w:eastAsia="Arial" w:hAnsi="Arial"/>
          <w:sz w:val="17"/>
          <w:szCs w:val="17"/>
          <w:color w:val="auto"/>
        </w:rPr>
        <w:t>” A specific geographic area which, based on supporting geological, geophysical or other data and also preliminary economic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reasonably anticipated prices and costs, is deemed to have potential for the discovery of commercial hydrocarbons.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nonproducing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PDNP</w:t>
      </w:r>
      <w:r>
        <w:rPr>
          <w:rFonts w:ascii="Arial" w:cs="Arial" w:eastAsia="Arial" w:hAnsi="Arial"/>
          <w:sz w:val="18"/>
          <w:szCs w:val="18"/>
          <w:color w:val="auto"/>
        </w:rPr>
        <w:t>” means proved reserves that are developed nonproducing reserves.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PDP</w:t>
      </w:r>
      <w:r>
        <w:rPr>
          <w:rFonts w:ascii="Arial" w:cs="Arial" w:eastAsia="Arial" w:hAnsi="Arial"/>
          <w:sz w:val="18"/>
          <w:szCs w:val="18"/>
          <w:color w:val="auto"/>
        </w:rPr>
        <w:t>” means proved reserves that are developed producing reserves.</w:t>
      </w:r>
    </w:p>
    <w:p>
      <w:pPr>
        <w:spacing w:after="0" w:line="36" w:lineRule="exact"/>
        <w:rPr>
          <w:rFonts w:ascii="Arial" w:cs="Arial" w:eastAsia="Arial" w:hAnsi="Arial"/>
          <w:sz w:val="18"/>
          <w:szCs w:val="18"/>
          <w:color w:val="auto"/>
        </w:rPr>
      </w:pPr>
    </w:p>
    <w:p>
      <w:pPr>
        <w:ind w:left="328" w:right="10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reserves</w:t>
      </w:r>
      <w:r>
        <w:rPr>
          <w:rFonts w:ascii="Arial" w:cs="Arial" w:eastAsia="Arial" w:hAnsi="Arial"/>
          <w:sz w:val="18"/>
          <w:szCs w:val="18"/>
          <w:color w:val="auto"/>
        </w:rPr>
        <w:t>” means proved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2"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reserves</w:t>
      </w:r>
      <w:r>
        <w:rPr>
          <w:rFonts w:ascii="Arial" w:cs="Arial" w:eastAsia="Arial" w:hAnsi="Arial"/>
          <w:sz w:val="18"/>
          <w:szCs w:val="18"/>
          <w:color w:val="auto"/>
        </w:rPr>
        <w:t>” Those quantities of crude oil and natural gas, which, by analysis of geosciences and engineering data, can be estimated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 w:lineRule="exact"/>
        <w:rPr>
          <w:rFonts w:ascii="Arial" w:cs="Arial" w:eastAsia="Arial" w:hAnsi="Arial"/>
          <w:sz w:val="18"/>
          <w:szCs w:val="18"/>
          <w:color w:val="auto"/>
        </w:rPr>
      </w:pPr>
    </w:p>
    <w:p>
      <w:pPr>
        <w:ind w:left="328" w:right="400" w:hanging="4"/>
        <w:spacing w:after="0" w:line="250" w:lineRule="auto"/>
        <w:tabs>
          <w:tab w:leader="none" w:pos="58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Arial" w:cs="Arial" w:eastAsia="Arial" w:hAnsi="Arial"/>
          <w:sz w:val="18"/>
          <w:szCs w:val="18"/>
          <w:color w:val="auto"/>
        </w:rPr>
      </w:pPr>
    </w:p>
    <w:p>
      <w:pPr>
        <w:ind w:left="328" w:right="420" w:hanging="4"/>
        <w:spacing w:after="0" w:line="281" w:lineRule="auto"/>
        <w:tabs>
          <w:tab w:leader="none" w:pos="638"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jc w:val="both"/>
        <w:ind w:left="328" w:right="280" w:hanging="4"/>
        <w:spacing w:after="0" w:line="250" w:lineRule="auto"/>
        <w:tabs>
          <w:tab w:leader="none" w:pos="685"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8"/>
          <w:szCs w:val="18"/>
          <w:color w:val="auto"/>
        </w:rPr>
      </w:pPr>
    </w:p>
    <w:p>
      <w:pPr>
        <w:ind w:left="328" w:right="100" w:hanging="4"/>
        <w:spacing w:after="0" w:line="265" w:lineRule="auto"/>
        <w:tabs>
          <w:tab w:leader="none" w:pos="678" w:val="left"/>
        </w:tabs>
        <w:numPr>
          <w:ilvl w:val="1"/>
          <w:numId w:val="4"/>
        </w:numPr>
        <w:rPr>
          <w:rFonts w:ascii="Arial" w:cs="Arial" w:eastAsia="Arial" w:hAnsi="Arial"/>
          <w:sz w:val="17"/>
          <w:szCs w:val="17"/>
          <w:color w:val="auto"/>
        </w:rPr>
      </w:pPr>
      <w:r>
        <w:rPr>
          <w:rFonts w:ascii="Arial" w:cs="Arial" w:eastAsia="Arial" w:hAnsi="Arial"/>
          <w:sz w:val="17"/>
          <w:szCs w:val="17"/>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ind w:left="328" w:right="20" w:hanging="4"/>
        <w:spacing w:after="0" w:line="253" w:lineRule="auto"/>
        <w:tabs>
          <w:tab w:leader="none" w:pos="628" w:val="left"/>
        </w:tabs>
        <w:numPr>
          <w:ilvl w:val="1"/>
          <w:numId w:val="4"/>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ectPr>
          <w:pgSz w:w="11900" w:h="16838" w:orient="portrait"/>
          <w:cols w:equalWidth="0" w:num="1">
            <w:col w:w="10908"/>
          </w:cols>
          <w:pgMar w:left="652" w:top="584" w:right="339" w:bottom="0" w:gutter="0" w:footer="0" w:header="0"/>
        </w:sectPr>
      </w:pPr>
    </w:p>
    <w:bookmarkStart w:id="4" w:name="page5"/>
    <w:bookmarkEnd w:id="4"/>
    <w:p>
      <w:pPr>
        <w:ind w:left="100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5" w:name="page6"/>
    <w:bookmarkEnd w:id="5"/>
    <w:p>
      <w:pPr>
        <w:ind w:left="660" w:right="14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PUD</w:t>
      </w:r>
      <w:r>
        <w:rPr>
          <w:rFonts w:ascii="Arial" w:cs="Arial" w:eastAsia="Arial" w:hAnsi="Arial"/>
          <w:sz w:val="18"/>
          <w:szCs w:val="18"/>
          <w:color w:val="auto"/>
        </w:rPr>
        <w:t>” means proved reserves that are expected to be recovered from new wells on undrilled acreage or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p>
      <w:pPr>
        <w:spacing w:after="0" w:line="2"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“PV-10</w:t>
      </w:r>
      <w:r>
        <w:rPr>
          <w:rFonts w:ascii="Arial" w:cs="Arial" w:eastAsia="Arial" w:hAnsi="Arial"/>
          <w:sz w:val="17"/>
          <w:szCs w:val="17"/>
          <w:color w:val="auto"/>
        </w:rPr>
        <w:t>” When used with respect to crude oil and natural gas reserves, PV-10 means the estimated future gross revenue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“Realized price</w:t>
      </w:r>
      <w:r>
        <w:rPr>
          <w:rFonts w:ascii="Arial" w:cs="Arial" w:eastAsia="Arial" w:hAnsi="Arial"/>
          <w:sz w:val="18"/>
          <w:szCs w:val="18"/>
          <w:color w:val="auto"/>
        </w:rPr>
        <w:t>” The cash market price less all expected quality, transportation and demand adjustments.</w:t>
      </w:r>
    </w:p>
    <w:p>
      <w:pPr>
        <w:spacing w:after="0" w:line="21" w:lineRule="exact"/>
        <w:rPr>
          <w:rFonts w:ascii="Arial" w:cs="Arial" w:eastAsia="Arial" w:hAnsi="Arial"/>
          <w:sz w:val="18"/>
          <w:szCs w:val="18"/>
          <w:color w:val="auto"/>
        </w:rPr>
      </w:pPr>
    </w:p>
    <w:p>
      <w:pPr>
        <w:ind w:left="660" w:right="5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enhancing existing reservoirs in an attempt to establish or increase existing production.</w:t>
      </w:r>
    </w:p>
    <w:p>
      <w:pPr>
        <w:spacing w:after="0" w:line="1" w:lineRule="exact"/>
        <w:rPr>
          <w:rFonts w:ascii="Arial" w:cs="Arial" w:eastAsia="Arial" w:hAnsi="Arial"/>
          <w:sz w:val="18"/>
          <w:szCs w:val="18"/>
          <w:color w:val="auto"/>
        </w:rPr>
      </w:pPr>
    </w:p>
    <w:p>
      <w:pPr>
        <w:ind w:left="660" w:right="2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“Reserves</w:t>
      </w:r>
      <w:r>
        <w:rPr>
          <w:rFonts w:ascii="Arial" w:cs="Arial" w:eastAsia="Arial" w:hAnsi="Arial"/>
          <w:sz w:val="16"/>
          <w:szCs w:val="16"/>
          <w:color w:val="auto"/>
        </w:rPr>
        <w:t>” Reserves are estimated remaining quantities of crude oil and natural gas and related substances anticipated to be economically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2"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crude oil and/or natural gas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confined by impermeable rock or water barriers and is separate from other reservoirs.</w:t>
      </w: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“Resources</w:t>
      </w:r>
      <w:r>
        <w:rPr>
          <w:rFonts w:ascii="Arial" w:cs="Arial" w:eastAsia="Arial" w:hAnsi="Arial"/>
          <w:sz w:val="18"/>
          <w:szCs w:val="18"/>
          <w:color w:val="auto"/>
        </w:rPr>
        <w:t>” Quantities of crude oil and natural gas estimated to exist in naturally occurring accumulations. A portion of the resources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to be recoverable, and another portion may be considered unrecoverable. Resources include both discovered and undiscovered accumulations.</w:t>
      </w:r>
    </w:p>
    <w:p>
      <w:pPr>
        <w:spacing w:after="0" w:line="1" w:lineRule="exact"/>
        <w:rPr>
          <w:rFonts w:ascii="Arial" w:cs="Arial" w:eastAsia="Arial" w:hAnsi="Arial"/>
          <w:sz w:val="18"/>
          <w:szCs w:val="18"/>
          <w:color w:val="auto"/>
        </w:rPr>
      </w:pPr>
    </w:p>
    <w:p>
      <w:pPr>
        <w:ind w:left="660" w:right="10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“royalty</w:t>
      </w:r>
      <w:r>
        <w:rPr>
          <w:rFonts w:ascii="Arial" w:cs="Arial" w:eastAsia="Arial" w:hAnsi="Arial"/>
          <w:sz w:val="16"/>
          <w:szCs w:val="16"/>
          <w:color w:val="auto"/>
        </w:rPr>
        <w:t>” An interest in a crude oil and natural gas lease that gives the owner the right to receive a portion of the production from the leased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1" w:lineRule="exact"/>
        <w:rPr>
          <w:rFonts w:ascii="Arial" w:cs="Arial" w:eastAsia="Arial" w:hAnsi="Arial"/>
          <w:sz w:val="18"/>
          <w:szCs w:val="18"/>
          <w:color w:val="auto"/>
        </w:rPr>
      </w:pPr>
    </w:p>
    <w:p>
      <w:pPr>
        <w:ind w:left="660" w:right="560" w:hanging="328"/>
        <w:spacing w:after="0" w:line="29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“Second Amendment</w:t>
      </w:r>
      <w:r>
        <w:rPr>
          <w:rFonts w:ascii="Arial" w:cs="Arial" w:eastAsia="Arial" w:hAnsi="Arial"/>
          <w:sz w:val="16"/>
          <w:szCs w:val="16"/>
          <w:color w:val="auto"/>
        </w:rPr>
        <w:t>” means the Second Amendment to Credit Agreement, dated as of October 1, 2021, among HighPeak Energy, Inc.,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 Fifth Third Bank, National Association, as administrative agent, and the guarantors party thereto and lenders party thereto.</w:t>
      </w: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“Service well</w:t>
      </w:r>
      <w:r>
        <w:rPr>
          <w:rFonts w:ascii="Arial" w:cs="Arial" w:eastAsia="Arial" w:hAnsi="Arial"/>
          <w:sz w:val="18"/>
          <w:szCs w:val="18"/>
          <w:color w:val="auto"/>
        </w:rPr>
        <w:t>” A well drilled or completed for the purpose of supporting production in an existing field. Specific purposes of service wells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Arial" w:cs="Arial" w:eastAsia="Arial" w:hAnsi="Arial"/>
          <w:sz w:val="18"/>
          <w:szCs w:val="18"/>
          <w:color w:val="auto"/>
        </w:rPr>
      </w:pPr>
    </w:p>
    <w:p>
      <w:pPr>
        <w:ind w:left="660" w:right="34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“Seventh Amendment</w:t>
      </w:r>
      <w:r>
        <w:rPr>
          <w:rFonts w:ascii="Arial" w:cs="Arial" w:eastAsia="Arial" w:hAnsi="Arial"/>
          <w:sz w:val="16"/>
          <w:szCs w:val="16"/>
          <w:color w:val="auto"/>
        </w:rPr>
        <w:t>” means the Seventh Amendment to Credit Agreement, dated as of December 9, 2022, by and among HighPeak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as Borrower, Wells Fargo Bank, National Association, as administrative agent, the guarantors party thereto and the lenders party thereto.</w:t>
      </w:r>
    </w:p>
    <w:p>
      <w:pPr>
        <w:spacing w:after="0" w:line="1" w:lineRule="exact"/>
        <w:rPr>
          <w:rFonts w:ascii="Arial" w:cs="Arial" w:eastAsia="Arial" w:hAnsi="Arial"/>
          <w:sz w:val="16"/>
          <w:szCs w:val="16"/>
          <w:color w:val="auto"/>
        </w:rPr>
      </w:pPr>
    </w:p>
    <w:p>
      <w:pPr>
        <w:ind w:left="660" w:right="24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“Sixth Amendment</w:t>
      </w:r>
      <w:r>
        <w:rPr>
          <w:rFonts w:ascii="Arial" w:cs="Arial" w:eastAsia="Arial" w:hAnsi="Arial"/>
          <w:sz w:val="16"/>
          <w:szCs w:val="16"/>
          <w:color w:val="auto"/>
        </w:rPr>
        <w:t>” means the Sixth Amendment to Credit Agreement, dated as of October 31, 2022, by and among HighPeak Energy, Inc.,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 Wells Fargo Bank, National Association, as administrative agent, the guarantors party thereto and the lenders party thereto.</w:t>
      </w:r>
    </w:p>
    <w:p>
      <w:pPr>
        <w:spacing w:after="0" w:line="1"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“Spacing</w:t>
      </w:r>
      <w:r>
        <w:rPr>
          <w:rFonts w:ascii="Arial" w:cs="Arial" w:eastAsia="Arial" w:hAnsi="Arial"/>
          <w:sz w:val="18"/>
          <w:szCs w:val="18"/>
          <w:color w:val="auto"/>
        </w:rPr>
        <w:t>” The distance between wells producing from the same reservoir. Spacing is often expressed in terms of acres, e.g., 100-acre spacing,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“Spot market price</w:t>
      </w:r>
      <w:r>
        <w:rPr>
          <w:rFonts w:ascii="Arial" w:cs="Arial" w:eastAsia="Arial" w:hAnsi="Arial"/>
          <w:sz w:val="18"/>
          <w:szCs w:val="18"/>
          <w:color w:val="auto"/>
        </w:rPr>
        <w:t>” The cash market price without reduction for expected quality, transportation and demand adjustments.</w:t>
      </w:r>
    </w:p>
    <w:p>
      <w:pPr>
        <w:spacing w:after="0" w:line="21" w:lineRule="exact"/>
        <w:rPr>
          <w:rFonts w:ascii="Arial" w:cs="Arial" w:eastAsia="Arial" w:hAnsi="Arial"/>
          <w:sz w:val="18"/>
          <w:szCs w:val="18"/>
          <w:color w:val="auto"/>
        </w:rPr>
      </w:pPr>
    </w:p>
    <w:p>
      <w:pPr>
        <w:ind w:left="660" w:hanging="328"/>
        <w:spacing w:after="0" w:line="26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“Standardized measure</w:t>
      </w:r>
      <w:r>
        <w:rPr>
          <w:rFonts w:ascii="Arial" w:cs="Arial" w:eastAsia="Arial" w:hAnsi="Arial"/>
          <w:sz w:val="17"/>
          <w:szCs w:val="17"/>
          <w:color w:val="auto"/>
        </w:rPr>
        <w:t>” The present value (discounted at an annual rate of 10 percent) of estimated future net revenues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1"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“Stratigraphic test well</w:t>
      </w:r>
      <w:r>
        <w:rPr>
          <w:rFonts w:ascii="Arial" w:cs="Arial" w:eastAsia="Arial" w:hAnsi="Arial"/>
          <w:sz w:val="18"/>
          <w:szCs w:val="18"/>
          <w:color w:val="auto"/>
        </w:rPr>
        <w:t>” A drilling effort, geologically directed, to obtain information pertaining to a specific geologic condition. Such wells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means the Third Amendment to Credit Agreement, dated as of February 9, 2022,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administrative agent, and the lenders party thereto.</w:t>
      </w:r>
    </w:p>
    <w:p>
      <w:pPr>
        <w:ind w:left="660" w:right="7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“Undeveloped acreage</w:t>
      </w:r>
      <w:r>
        <w:rPr>
          <w:rFonts w:ascii="Arial" w:cs="Arial" w:eastAsia="Arial" w:hAnsi="Arial"/>
          <w:sz w:val="17"/>
          <w:szCs w:val="17"/>
          <w:color w:val="auto"/>
        </w:rPr>
        <w:t>” Lease acreage on which wells have not been drilled or completed to a point that would permit the production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quantities of crude oil and natural gas regardless of whether such acreage contains proved reserves.</w:t>
      </w:r>
    </w:p>
    <w:p>
      <w:pPr>
        <w:ind w:left="660" w:right="3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“Unit</w:t>
      </w:r>
      <w:r>
        <w:rPr>
          <w:rFonts w:ascii="Arial" w:cs="Arial" w:eastAsia="Arial" w:hAnsi="Arial"/>
          <w:sz w:val="18"/>
          <w:szCs w:val="18"/>
          <w:color w:val="auto"/>
        </w:rPr>
        <w:t>” The joining of all or substantially all interests in a reservoir or field, rather than a single tract, to provide for development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separate property interests. Also, the area covered by a unitization agreement.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“U.S.</w:t>
      </w:r>
      <w:r>
        <w:rPr>
          <w:rFonts w:ascii="Arial" w:cs="Arial" w:eastAsia="Arial" w:hAnsi="Arial"/>
          <w:sz w:val="18"/>
          <w:szCs w:val="18"/>
          <w:color w:val="auto"/>
        </w:rPr>
        <w:t>” means the United States.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warrants to purchase one share of HighPeak Energy common stock at a price of $11.50 per share.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“Wellbore</w:t>
      </w:r>
      <w:r>
        <w:rPr>
          <w:rFonts w:ascii="Arial" w:cs="Arial" w:eastAsia="Arial" w:hAnsi="Arial"/>
          <w:sz w:val="16"/>
          <w:szCs w:val="16"/>
          <w:color w:val="auto"/>
        </w:rPr>
        <w:t>” The hole drilled by the bit that is equipped for crude oil and natural gas production on a completed well. Also called well or borehole.</w:t>
      </w:r>
    </w:p>
    <w:p>
      <w:pPr>
        <w:spacing w:after="0" w:line="59" w:lineRule="exact"/>
        <w:rPr>
          <w:rFonts w:ascii="Arial" w:cs="Arial" w:eastAsia="Arial" w:hAnsi="Arial"/>
          <w:sz w:val="16"/>
          <w:szCs w:val="16"/>
          <w:color w:val="auto"/>
        </w:rPr>
      </w:pPr>
    </w:p>
    <w:p>
      <w:pPr>
        <w:ind w:left="660" w:right="32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“Working interes</w:t>
      </w:r>
      <w:r>
        <w:rPr>
          <w:rFonts w:ascii="Arial" w:cs="Arial" w:eastAsia="Arial" w:hAnsi="Arial"/>
          <w:sz w:val="17"/>
          <w:szCs w:val="17"/>
          <w:color w:val="auto"/>
        </w:rPr>
        <w:t>t” The right granted to the lessee of a property to explore for and to produce and own crude oil, natural gas or other minerals.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working interest owners bear the exploration, development and operating costs on either a cash, penalty or carried basis.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Operations on a producing well to restore or increase production.</w:t>
      </w:r>
    </w:p>
    <w:p>
      <w:pPr>
        <w:spacing w:after="0" w:line="21"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“WTI</w:t>
      </w:r>
      <w:r>
        <w:rPr>
          <w:rFonts w:ascii="Arial" w:cs="Arial" w:eastAsia="Arial" w:hAnsi="Arial"/>
          <w:sz w:val="18"/>
          <w:szCs w:val="18"/>
          <w:color w:val="auto"/>
        </w:rPr>
        <w:t>” means West Texas Intermediate, a light sweet blend of crude oil produced from fields in western Texas and is a grade of crude oil used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benchmark in crude oil pricing.</w:t>
      </w:r>
    </w:p>
    <w:p>
      <w:pPr>
        <w:spacing w:after="0" w:line="1"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information on the working interest in wells and acreage,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wells and acres are determined by multiplying “</w:t>
      </w:r>
      <w:r>
        <w:rPr>
          <w:rFonts w:ascii="Arial" w:cs="Arial" w:eastAsia="Arial" w:hAnsi="Arial"/>
          <w:sz w:val="18"/>
          <w:szCs w:val="18"/>
          <w:b w:val="1"/>
          <w:bCs w:val="1"/>
          <w:i w:val="1"/>
          <w:iCs w:val="1"/>
          <w:color w:val="auto"/>
        </w:rPr>
        <w:t>gross</w:t>
      </w:r>
      <w:r>
        <w:rPr>
          <w:rFonts w:ascii="Arial" w:cs="Arial" w:eastAsia="Arial" w:hAnsi="Arial"/>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currency amounts are expressed in U.S. dollars.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ectPr>
          <w:pgSz w:w="11900" w:h="16838" w:orient="portrait"/>
          <w:cols w:equalWidth="0" w:num="1">
            <w:col w:w="11240"/>
          </w:cols>
          <w:pgMar w:left="320" w:top="584" w:right="339" w:bottom="0" w:gutter="0" w:footer="0" w:header="0"/>
        </w:sectPr>
      </w:pPr>
    </w:p>
    <w:bookmarkStart w:id="6" w:name="page7"/>
    <w:bookmarkEnd w:id="6"/>
    <w:p>
      <w:pPr>
        <w:ind w:left="100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392" w:lineRule="exact"/>
        <w:rPr>
          <w:sz w:val="20"/>
          <w:szCs w:val="20"/>
          <w:color w:val="auto"/>
        </w:rPr>
      </w:pPr>
    </w:p>
    <w:p>
      <w:pPr>
        <w:ind w:left="660" w:right="2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and demand for and the market prices of crude oil, NGL, natural gas and other products or services, and the associated impact of our hedging practices relating thereto;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our ongoing strategic alternatives review process;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pay, when due, the principal of, interest on or other amounts due in respect of our indebtedness, including our 10.000% Senior Notes due February 2024, Credit Agreement due June 2024 and 10.625% Senior Notes due November 2024;</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political instability or armed conflict in crude oil or natural gas producing regions, such as the ongoing war between Russia and Ukraine;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of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drilling and completion risks;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 rates and the impacts of associated monetary policy responses, including increased interest rates and resulting pressures on economic growth;</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goods and services and supply chain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or capital markets and our ability to access such markets on attractive terms or at all, and related risks such as general credit, liquidity, market and interest-rate risks; and</w:t>
      </w:r>
    </w:p>
    <w:p>
      <w:pPr>
        <w:ind w:left="660" w:right="120" w:hanging="328"/>
        <w:spacing w:after="0" w:line="29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Form 10-K filed with the SEC on March 6, 2023 (“Annual Report”) and this Quarterly Report under “Part I, Item 2. Management’s Discussion and Analysis of Financial Condition and Results of Operations” and “Part I, Item 3. Quantitative and Qualitative Disclosures about Market Risk,” and elsewhere in this Quarterly Report.</w:t>
      </w:r>
    </w:p>
    <w:p>
      <w:pPr>
        <w:spacing w:after="0" w:line="16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07"/>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93"/>
        </w:trPr>
        <w:tc>
          <w:tcPr>
            <w:tcW w:w="6900" w:type="dxa"/>
            <w:vAlign w:val="bottom"/>
            <w:tcBorders>
              <w:top w:val="single" w:sz="8" w:color="auto"/>
            </w:tcBorders>
          </w:tcPr>
          <w:p>
            <w:pPr>
              <w:jc w:val="center"/>
              <w:ind w:left="4270"/>
              <w:spacing w:after="0"/>
              <w:rPr>
                <w:sz w:val="20"/>
                <w:szCs w:val="20"/>
                <w:color w:val="auto"/>
              </w:rPr>
            </w:pPr>
            <w:r>
              <w:rPr>
                <w:rFonts w:ascii="Arial" w:cs="Arial" w:eastAsia="Arial" w:hAnsi="Arial"/>
                <w:sz w:val="18"/>
                <w:szCs w:val="18"/>
                <w:b w:val="1"/>
                <w:bCs w:val="1"/>
                <w:color w:val="auto"/>
                <w:w w:val="92"/>
              </w:rPr>
              <w:t>HighPeak Energy, Inc.</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8000" w:type="dxa"/>
            <w:vAlign w:val="bottom"/>
            <w:gridSpan w:val="2"/>
          </w:tcPr>
          <w:p>
            <w:pPr>
              <w:jc w:val="center"/>
              <w:ind w:left="3150"/>
              <w:spacing w:after="0"/>
              <w:rPr>
                <w:sz w:val="20"/>
                <w:szCs w:val="20"/>
                <w:color w:val="auto"/>
              </w:rPr>
            </w:pPr>
            <w:r>
              <w:rPr>
                <w:rFonts w:ascii="Arial" w:cs="Arial" w:eastAsia="Arial" w:hAnsi="Arial"/>
                <w:sz w:val="18"/>
                <w:szCs w:val="18"/>
                <w:b w:val="1"/>
                <w:bCs w:val="1"/>
                <w:color w:val="auto"/>
                <w:w w:val="88"/>
              </w:rPr>
              <w:t>(in thousands, except share data)</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800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30,504</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96,596</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13,275</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4,133</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09"/>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145,279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144,525</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and natural gas properties, using the successful efforts method of accounting:</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Proved properties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2,669,752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2,270,236</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Unproved properties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114,665</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Accumulated depletion, depreciation and amortization</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(341,045)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(259,962)</w:t>
            </w:r>
          </w:p>
        </w:tc>
      </w:tr>
      <w:tr>
        <w:trPr>
          <w:trHeight w:val="209"/>
        </w:trPr>
        <w:tc>
          <w:tcPr>
            <w:tcW w:w="80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crude oil and natural gas properties, net</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2,426,617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2,124,939</w:t>
            </w: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Other property and equipment, net</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3,587</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6,431</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2,582,519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2,279,482</w:t>
            </w:r>
          </w:p>
        </w:tc>
      </w:tr>
      <w:tr>
        <w:trPr>
          <w:trHeight w:val="20"/>
        </w:trPr>
        <w:tc>
          <w:tcPr>
            <w:tcW w:w="6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ind w:left="1980"/>
              <w:spacing w:after="0" w:line="196" w:lineRule="exact"/>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Current portion of long-term debt,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Accounts payable – trade</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133,246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105,565</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capital expenditures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91,842</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Revenues and royalties payable</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15,623</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13,152</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15,600</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16,702</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Advances from joint interest owners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7,302</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Operating leases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10"/>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561,428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266,129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645,469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704,349</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131,164</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7,502</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w w:val="95"/>
              </w:rPr>
              <w:t>Preferred stock, $0.0001 par value, 10,000,000 shares authorized, none issued and outstanding at</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December 31, 2022 and 2021</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500"/>
              <w:spacing w:after="0" w:line="201" w:lineRule="exact"/>
              <w:rPr>
                <w:sz w:val="20"/>
                <w:szCs w:val="20"/>
                <w:color w:val="auto"/>
              </w:rPr>
            </w:pPr>
            <w:r>
              <w:rPr>
                <w:rFonts w:ascii="Arial" w:cs="Arial" w:eastAsia="Arial" w:hAnsi="Arial"/>
                <w:sz w:val="18"/>
                <w:szCs w:val="18"/>
                <w:color w:val="auto"/>
                <w:w w:val="95"/>
              </w:rPr>
              <w:t>Common stock, $0.0001 par value, 600,000,000 shares authorized, 113,177,011 and 113,165,027</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shares issued and outstanding at March 31, 2023 and December 31, 2022, respectively</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1,008,896</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207,880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160,740</w:t>
            </w:r>
          </w:p>
        </w:tc>
      </w:tr>
      <w:tr>
        <w:trPr>
          <w:trHeight w:val="210"/>
        </w:trPr>
        <w:tc>
          <w:tcPr>
            <w:tcW w:w="80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1,220,991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1,169,647</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2,582,519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2,279,482</w:t>
            </w:r>
          </w:p>
        </w:tc>
      </w:tr>
      <w:tr>
        <w:trPr>
          <w:trHeight w:val="20"/>
        </w:trPr>
        <w:tc>
          <w:tcPr>
            <w:tcW w:w="6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Crude oil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215,696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86,938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NGL and natural gas sales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5,291</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223,794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92,229</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Crude oil and natural gas production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32,942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9,446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Exploration and abandonments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17,024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3,976</w:t>
            </w:r>
          </w:p>
        </w:tc>
      </w:tr>
      <w:tr>
        <w:trPr>
          <w:trHeight w:val="21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135,208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37,655</w:t>
            </w: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88,586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54,574</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gain (loss), net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(66,394)</w:t>
            </w: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64,764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(16,822)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14,507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50,257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(16,510)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(loss) per share:</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Basic 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111,055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95,841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95,841</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0.025</w:t>
            </w:r>
          </w:p>
        </w:tc>
      </w:tr>
      <w:tr>
        <w:trPr>
          <w:trHeight w:val="432"/>
        </w:trPr>
        <w:tc>
          <w:tcPr>
            <w:tcW w:w="9580" w:type="dxa"/>
            <w:vAlign w:val="bottom"/>
            <w:gridSpan w:val="3"/>
          </w:tcPr>
          <w:p>
            <w:pPr>
              <w:ind w:left="2080"/>
              <w:spacing w:after="0"/>
              <w:rPr>
                <w:sz w:val="20"/>
                <w:szCs w:val="20"/>
                <w:color w:val="auto"/>
              </w:rPr>
            </w:pPr>
            <w:r>
              <w:rPr>
                <w:rFonts w:ascii="Arial" w:cs="Arial" w:eastAsia="Arial" w:hAnsi="Arial"/>
                <w:sz w:val="18"/>
                <w:szCs w:val="18"/>
                <w:color w:val="auto"/>
                <w:w w:val="94"/>
              </w:rPr>
              <w:t>The accompanying notes are an integral part of these condensed consolidated financial statements.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2023</w:t>
            </w: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1,008,896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160,740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1,169,647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($0.025 per share)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($0.025 per share)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50,257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50,257</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2023</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1,013,100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207,880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1,220,991</w:t>
            </w:r>
          </w:p>
        </w:tc>
        <w:tc>
          <w:tcPr>
            <w:tcW w:w="0" w:type="dxa"/>
            <w:vAlign w:val="bottom"/>
          </w:tcPr>
          <w:p>
            <w:pPr>
              <w:spacing w:after="0"/>
              <w:rPr>
                <w:sz w:val="1"/>
                <w:szCs w:val="1"/>
                <w:color w:val="auto"/>
              </w:rPr>
            </w:pPr>
          </w:p>
        </w:tc>
      </w:tr>
      <w:tr>
        <w:trPr>
          <w:trHeight w:val="628"/>
        </w:trPr>
        <w:tc>
          <w:tcPr>
            <w:tcW w:w="462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12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bottom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Deficit)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96,774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617,489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553,063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($0.025 per share)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($0.025 per share)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issued for acquisition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156,599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156,599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loss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103,811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777,501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693,881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50,257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(16,510)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Exploration and abandonment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Depletion, depreciation and amortization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17,024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Accretion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discounts on 10.000% Senior Notes and 10.625% Senior Notes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Derivative-related activity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41,633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inventory and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23,295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10,242</w:t>
            </w: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190,006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49,947</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Additions to crude oil and natural gas properties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(379,103)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(165,099)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working capital associated with crude oil and natural gas property additions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20,644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Acquisitions of crude oil and natural gas properties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property additions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(150,899)</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Borrowings under Credit Agreement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exercises of warrants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equivalents paid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issuance of 10.000% Senior Notes, net of discount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210,179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under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 offering costs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80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146,548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101,933</w:t>
            </w: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30,504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34,869</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47,536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35,850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 issued for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156,600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HighPeak Energy, Inc. ("HighPeak Energy" or the "Company,") is a Delaware corporation, formed in October 2019. See the Company’s Annual Report on Form 10-K for the year ended December 31, 2022, filed with the U.S. Securities and Exchange Commission (“SEC”) on March 6, 2023, for further information regarding the formation of the Company.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southwest Scurry and northwestern Mitchell Counties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Presentation. </w:t>
      </w:r>
      <w:r>
        <w:rPr>
          <w:rFonts w:ascii="Arial" w:cs="Arial" w:eastAsia="Arial" w:hAnsi="Arial"/>
          <w:sz w:val="17"/>
          <w:szCs w:val="17"/>
          <w:color w:val="auto"/>
        </w:rPr>
        <w:t>In the opinion of management, the unaudited interim condensed consolidated financial statements of the Company as of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2023 and for the three months ended March 31, 2023 and 2022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months ended March 31, 2023 are not indicative of results for a full year.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its wholly owned subsidiaries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acquisition or formation. All material intercompany balances and transactions have been eliminated. Certain reclassifications have been made to prior period amounts to conform to the current period’s presentation.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Use of estimates in the preparation of financial statements. </w:t>
      </w:r>
      <w:r>
        <w:rPr>
          <w:rFonts w:ascii="Arial" w:cs="Arial" w:eastAsia="Arial" w:hAnsi="Arial"/>
          <w:sz w:val="16"/>
          <w:szCs w:val="16"/>
          <w:color w:val="auto"/>
        </w:rPr>
        <w:t>Preparation of the Company's consolidated financial statements in conformity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Company’s cash and cash equivalents include depository accounts held by banks with original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As of March 31, 2023 and December 31, 2022, the Company’s accounts receivables primarily consist of amounts due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crude oil, NGL and natural gas of $72.6 million and $81.6 million, respectively, and are based on estimates of sales volumes and realized prices the Company anticipates it will receive, current U.S. federal income tax receivables of $3.2 million and $3.2 million, respectively, joint interest receivables of $2.0 million and $2.2 million, respectively, $2.0 million and $4.9 million, respectively, related to receivables from electric power infrastructure installed throughout Flat Top by the Company that it will be reimbursed for, and receivables related to settlements of derivative contracts of $1.2 million and $4.7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 The Company routinely reviews outstanding balances and establishes allowances for bad debts equal to the estimable portions of accounts receivable for which failure to collect is considered probable. As of March 31, 2023 and December 31, 2022, the Company had no allowance for doubtful accounts.</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adopted ASU 2016-13 and the subsequent applicable modifications to the rule on January 1, 2023. Accounts receivable are stated at amounts due from joint interest owners or purchasers,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joint interest owners or purchasers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March 31, 2023 and December 31, 2022, the Company had no allowance for credit losses related to accounts receivable.</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The Company is subject to credit risk resulting from the concentration of its crude oil and natural gas receivables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significant purchasers. For the three months ended March 31, 2023 and the year ended December 31, 2022, sales to the Company’s two largest purchasers accounted for approximately 95% and 94%,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Prepaid expenses. </w:t>
      </w:r>
      <w:r>
        <w:rPr>
          <w:rFonts w:ascii="Arial" w:cs="Arial" w:eastAsia="Arial" w:hAnsi="Arial"/>
          <w:sz w:val="17"/>
          <w:szCs w:val="17"/>
          <w:color w:val="auto"/>
        </w:rPr>
        <w:t>Prepaid expenses are comprised primarily of caliche that will be used on future locations and roads in our development areas,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tubulars and proppant that the Company has prepaid the suppliers to guarantee their availability when needed for our current drilling program, prepaid insurance costs that will be amortized over the life of the policies, prepaid agency fees and software maintenance fees that will be amortized over the life of the contracts. Prepaid expenses as of March 31, 2023 and December 31, 2022 are $1.0 million and $4.1 million, respectively.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Inventory is comprised primarily of crude oil and natural gas drilling or repair items such as tubing, casing, pumps, vessels,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supplies and ordinary maintenance materials and parts. The materials and supplies inventory is primarily acquired for use in future drilling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March 31, 2023 and December 31, 2022 is $15.8 million and $13.3 million, respectively, and the Company has not recognized any valuation allowance to date.</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and natural gas properties. </w:t>
      </w:r>
      <w:r>
        <w:rPr>
          <w:rFonts w:ascii="Arial" w:cs="Arial" w:eastAsia="Arial" w:hAnsi="Arial"/>
          <w:sz w:val="18"/>
          <w:szCs w:val="18"/>
          <w:color w:val="auto"/>
        </w:rPr>
        <w:t>The Company utilizes the successful efforts method of accounting for its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Costs of unproved leasehold costs are excluded from depletion until proved reserves are established or, if unsuccessful, impairment is determined.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Other property and equipment, net. </w:t>
      </w:r>
      <w:r>
        <w:rPr>
          <w:rFonts w:ascii="Arial" w:cs="Arial" w:eastAsia="Arial" w:hAnsi="Arial"/>
          <w:sz w:val="16"/>
          <w:szCs w:val="16"/>
          <w:color w:val="auto"/>
        </w:rPr>
        <w:t>Other property and equipment is recorded at cost. The carrying values of other property and equipment, net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of $745,000 and $696,000 as of March 31, 2023 and December 31, 2022, respectively,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Field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3,587</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furniture and fixtures is generally depreciated over five years and information technology is generally depreciated over three years. Leasehold improvements are amortized over the lesser of their estimated useful lives or the underlying terms of the associated leases.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Aid-in-construction assets. </w:t>
      </w:r>
      <w:r>
        <w:rPr>
          <w:rFonts w:ascii="Arial" w:cs="Arial" w:eastAsia="Arial" w:hAnsi="Arial"/>
          <w:sz w:val="17"/>
          <w:szCs w:val="17"/>
          <w:color w:val="auto"/>
        </w:rPr>
        <w:t>As of March 31, 2023 and December 31, 2022, the Company had aid-in-construction assets totaling $6.0 million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$6.1 million, respectively, included in other noncurrent assets. The Company is receiving and will continue to receive payments based on gross system throughput, including any third-party natural gas that is potentially tied into the system in the future. The contract calls for future aid-in-construction fundings if expansions of the system are necessary as determined in the sole discretion of the Company.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15" w:name="page16"/>
    <w:bookmarkEnd w:id="15"/>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enters into leases for drilling rigs, storage tanks, equipment and buildings and recognizes lease expense on a straight-line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Current liabilities. </w:t>
      </w:r>
      <w:r>
        <w:rPr>
          <w:rFonts w:ascii="Arial" w:cs="Arial" w:eastAsia="Arial" w:hAnsi="Arial"/>
          <w:sz w:val="16"/>
          <w:szCs w:val="16"/>
          <w:color w:val="auto"/>
        </w:rPr>
        <w:t>Current portion of long-term debt, accounts payable, accrued liabilities and derivative liabilities included in current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March 31, 2023 and December 31, 2022 totaled approximately $561.4 million and $266.1 million, respectively, including current portion of long-term debt, trade accounts payable, accrued capital expenditures, revenues and royalties payable, derivative liabilities and accruals for operating and general and administrative expenses, interest expense, operating leases, inventory, dividends and dividend equivalents and other miscellaneous items.</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Debt issuance costs and original issue discount. </w:t>
      </w:r>
      <w:r>
        <w:rPr>
          <w:rFonts w:ascii="Arial" w:cs="Arial" w:eastAsia="Arial" w:hAnsi="Arial"/>
          <w:sz w:val="17"/>
          <w:szCs w:val="17"/>
          <w:color w:val="auto"/>
        </w:rPr>
        <w:t>The Company paid a total of $20.2 million in debt issuance costs, $544,000 of which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during the three months ended March 31, 2023, primarily related to amendments to the Credit Agreement. Amortization based on the straight-line method over the terms of the 10.000% Senior Notes, 10.625% Senior Notes and the Credit Agreement which approximates the effective interest method was $2.7 million and $645,000 during the three months ended March 31, 2023 and 2022, respectively. In addition, the Company realized $34.8 million in original issuer discounts on the issuance of its 10.000% Senior Notes and 10.625% Senior Notes that is being amortized over the life of the notes which approximates the effective interest method and was $4.3 million and $893,000 during the three months ended March 31, 2023 and 2022, respectively. As of March 31, 2023 and December 31, 2022, the net debt issuance costs and discount are netted against the outstanding current portion of long-term debt and long-term debt on the accompanying consolidated balance sheets in accordance with GAAP.</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a liability for the fair value of an asset retirement obligation in the period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follows FASB ASC 606, “Revenue from Contracts with Customers,” (“ASC 606”) whereby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revenues from the sales of crude oil and natural gas to its purchasers and presents them disaggregated on the Company’s consolidated statements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enters into contracts with purchasers to sell its crude oil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1" w:lineRule="exact"/>
        <w:rPr>
          <w:sz w:val="20"/>
          <w:szCs w:val="20"/>
          <w:color w:val="auto"/>
        </w:rPr>
      </w:pPr>
    </w:p>
    <w:p>
      <w:pPr>
        <w:jc w:val="both"/>
        <w:ind w:firstLine="8"/>
        <w:spacing w:after="0" w:line="295" w:lineRule="auto"/>
        <w:tabs>
          <w:tab w:leader="none" w:pos="308" w:val="left"/>
        </w:tabs>
        <w:numPr>
          <w:ilvl w:val="0"/>
          <w:numId w:val="7"/>
        </w:numPr>
        <w:rPr>
          <w:rFonts w:ascii="Arial" w:cs="Arial" w:eastAsia="Arial" w:hAnsi="Arial"/>
          <w:sz w:val="16"/>
          <w:szCs w:val="16"/>
          <w:color w:val="auto"/>
        </w:rPr>
      </w:pPr>
      <w:r>
        <w:rPr>
          <w:rFonts w:ascii="Arial" w:cs="Arial" w:eastAsia="Arial" w:hAnsi="Arial"/>
          <w:sz w:val="16"/>
          <w:szCs w:val="16"/>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March 31, 2023 and December 31, 2022, the Company had receivables related to contracts with purchasers of approximately $72.6 million and $81.6 million, respectively.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Crude Oil Contracts. </w:t>
      </w:r>
      <w:r>
        <w:rPr>
          <w:rFonts w:ascii="Arial" w:cs="Arial" w:eastAsia="Arial" w:hAnsi="Arial"/>
          <w:sz w:val="18"/>
          <w:szCs w:val="18"/>
          <w:color w:val="auto"/>
        </w:rPr>
        <w:t>The Company’s crude oil marketing contracts transfer physical custody and title at or near the wellhead, which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Natural Gas Contracts. </w:t>
      </w:r>
      <w:r>
        <w:rPr>
          <w:rFonts w:ascii="Arial" w:cs="Arial" w:eastAsia="Arial" w:hAnsi="Arial"/>
          <w:sz w:val="17"/>
          <w:szCs w:val="17"/>
          <w:color w:val="auto"/>
        </w:rPr>
        <w:t>The majority of the Company’s natural gas is sold at the lease location, which is generally when control of the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All the Company’s derivatives are accounted for as non-hedge derivatives and are recorded at estimated fair value in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69" w:gutter="0" w:footer="0" w:header="0"/>
        </w:sectPr>
      </w:pPr>
    </w:p>
    <w:bookmarkStart w:id="16" w:name="page17"/>
    <w:bookmarkEnd w:id="16"/>
    <w:p>
      <w:pPr>
        <w:jc w:val="both"/>
        <w:ind w:firstLine="648"/>
        <w:spacing w:after="0" w:line="279" w:lineRule="auto"/>
        <w:rPr>
          <w:sz w:val="20"/>
          <w:szCs w:val="20"/>
          <w:color w:val="auto"/>
        </w:rPr>
      </w:pPr>
      <w:r>
        <w:rPr>
          <w:rFonts w:ascii="Arial" w:cs="Arial" w:eastAsia="Arial" w:hAnsi="Arial"/>
          <w:sz w:val="17"/>
          <w:szCs w:val="17"/>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provision for income taxes is determined using the asset and liability approach of accounting for income taxes.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March 31, 2023 and December 31, 2022.</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any tax-related interest charges as interest expense and any tax-related penalties as other expense in the consolidated statements of operations of which there have been none to date.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Predecessor recognizes in its consolidated financial statements the effect of a tax position, if that position is more likely than not to be sustained upon examination, including resolution of any appeals or litigation processes, based upon the technical merits of the position. Tax positions taken related to the Predecessor’s status as a limited partnership, and state filing requirements have been reviewed, and management is of the opinion that they would more likely than not be sustained by examination. Accordingly, the Company has not recorded an income tax liability for uncertain tax benefits for periods prior to August 21, 2020. Under the new centralized partnership audit rules effective for tax years beginning after 2017, the Internal Revenue Service (“IRS”) assesses and collects underpayments of tax from the partnership instead of from each partner. The partnership may be able to pass the adjustments through to its partners by making a push-out election or, if eligible, by electing out of the centralized partnership audit rules. The collection of tax from the partnership is only an administrative convenience for the IRS to collect any underpayment of income taxes including interest and penalties. Income taxes on partnership income, regardless of who pays the tax or when the tax is paid, is attributed to the partners. Any payment made by the Company as a result of an IRS examination will be treated as an expense from the Company in the consolidated financial statements.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consolidated financial statements as we do not anticipate owing any Texas Margin Tax for the periods presented.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expense for stock option awards is measured at the grant date or modification date,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Stock-based compensation for HighPeak Energy common stock issued to outside directors with no restrictions thereon, is measured at the grant date using the fair value of the award and is recognized as stock-based compensation in the accompanying financial statements immediately. Stock-based compensation for restricted stock awarded to outside directors and employee members of the Board and certain other employees is measured at the grant date using the fair value of the award and is recognized on a straight-line basis over the requisite service period of the respective award.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Based on the Company’s organizational structure, the Company has one operating segment, which is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Recently adopted accounting pronouncements. </w:t>
      </w:r>
      <w:r>
        <w:rPr>
          <w:rFonts w:ascii="Arial" w:cs="Arial" w:eastAsia="Arial" w:hAnsi="Arial"/>
          <w:sz w:val="18"/>
          <w:szCs w:val="18"/>
          <w:color w:val="auto"/>
        </w:rPr>
        <w:t>In June 2016, the FASB issued ASU 2016-13, “Financial Instruments – Credit Losses”.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update affects entities holding financial assets and net investment in leases that are not accounted for at fair value through net income. The amendments affect loans, debt securities, trade receivables, net investment in leases, off-balance sheet credit exposures, reinsurance receivables, and any other financial assets not excluded from the scope that have the contractual right to receive cash. The Company adopted this update effective January 1, 2023. The adoption of this update did not have a material impact on the Company’s financial position, results of operations or liquidity since it does not have a history of credit losses.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New accounting pronouncements not yet adopted. </w:t>
      </w:r>
      <w:r>
        <w:rPr>
          <w:rFonts w:ascii="Arial" w:cs="Arial" w:eastAsia="Arial" w:hAnsi="Arial"/>
          <w:sz w:val="16"/>
          <w:szCs w:val="16"/>
          <w:color w:val="auto"/>
        </w:rPr>
        <w:t>The Company considers the applicability and the impact of all ASUs. ASUs were assessed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to be either not applicable, the effects of adoption are not expected to be material or are clarifications of ASUs previously disclosed.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Acquisitions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Alamo Acquisitions. </w:t>
      </w:r>
      <w:r>
        <w:rPr>
          <w:rFonts w:ascii="Arial" w:cs="Arial" w:eastAsia="Arial" w:hAnsi="Arial"/>
          <w:sz w:val="16"/>
          <w:szCs w:val="16"/>
          <w:color w:val="auto"/>
        </w:rPr>
        <w:t>In March 2022, the Company closed the first of two Alamo Acquisitions for total net consideration of $156.1 million,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normal and customary closing adjustments, including 6,960,000 shares of HighPeak Energy common stock valued at $156.6 million, at closing to acquire various crude oil and natural gas properties contiguous to its Flat Top operating area in Borden county, including associated producing properties, water system infrastructure and in-field fluid gathering pipelines. The Alamo Acquisitions were accounted for as asset acquisitions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Alamo Acquisitions were capitalized.</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Other acquisitions. </w:t>
      </w:r>
      <w:r>
        <w:rPr>
          <w:rFonts w:ascii="Arial" w:cs="Arial" w:eastAsia="Arial" w:hAnsi="Arial"/>
          <w:sz w:val="18"/>
          <w:szCs w:val="18"/>
          <w:color w:val="auto"/>
        </w:rPr>
        <w:t>During the three months ended March 31, 2023, the Company incurred a total of $5.5 million in acquisition costs to acquire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bolt-on undeveloped crude oil and natural gas properties contiguous to its Flat Top and Signal Peak operating areas. During the three months ended March 31, 2022, the Company incurred an additional $6.8 million in acquisition costs to acquire various undeveloped crude oil and natural gas properties largely contiguous to its Signal Peak and Flat Top operating areas.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input levels of the fair value hierarchy are as follows:</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36"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Assets and liabilities measured at fair value on a recurring basis as of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2023 and December 31, 2022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0"/>
              </w:rPr>
              <w:t>As of March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2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Quoted Prices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160" w:type="dxa"/>
            <w:vAlign w:val="bottom"/>
          </w:tcPr>
          <w:p>
            <w:pPr>
              <w:spacing w:after="0"/>
              <w:rPr>
                <w:sz w:val="18"/>
                <w:szCs w:val="18"/>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11,265</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12,062</w:t>
            </w: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629"/>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89"/>
              </w:rPr>
              <w:t>As of December 31,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1"/>
        </w:trPr>
        <w:tc>
          <w:tcPr>
            <w:tcW w:w="5980" w:type="dxa"/>
            <w:vAlign w:val="bottom"/>
          </w:tcPr>
          <w:p>
            <w:pPr>
              <w:spacing w:after="0"/>
              <w:rPr>
                <w:sz w:val="16"/>
                <w:szCs w:val="16"/>
                <w:color w:val="auto"/>
              </w:rPr>
            </w:pPr>
          </w:p>
        </w:tc>
        <w:tc>
          <w:tcPr>
            <w:tcW w:w="12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Quoted Prices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160" w:type="dxa"/>
            <w:vAlign w:val="bottom"/>
          </w:tcPr>
          <w:p>
            <w:pPr>
              <w:spacing w:after="0"/>
              <w:rPr>
                <w:sz w:val="18"/>
                <w:szCs w:val="18"/>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16,702</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17,393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17,393</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Commodity price derivatives. </w:t>
      </w:r>
      <w:r>
        <w:rPr>
          <w:rFonts w:ascii="Arial" w:cs="Arial" w:eastAsia="Arial" w:hAnsi="Arial"/>
          <w:sz w:val="18"/>
          <w:szCs w:val="18"/>
          <w:color w:val="auto"/>
        </w:rPr>
        <w:t>The Company’s commodity price derivatives are currently made up of crude oil swap contracts and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put options.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nonrecurring basis. </w:t>
      </w:r>
      <w:r>
        <w:rPr>
          <w:rFonts w:ascii="Arial" w:cs="Arial" w:eastAsia="Arial" w:hAnsi="Arial"/>
          <w:sz w:val="17"/>
          <w:szCs w:val="17"/>
          <w:color w:val="auto"/>
        </w:rPr>
        <w:t>Certain assets and liabilities are measured at fair value on a nonrecurring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0" w:gutter="0" w:footer="0" w:header="0"/>
        </w:sectPr>
      </w:pPr>
    </w:p>
    <w:bookmarkStart w:id="19" w:name="page20"/>
    <w:bookmarkEnd w:id="19"/>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Financial instruments not carried at fair value. </w:t>
      </w:r>
      <w:r>
        <w:rPr>
          <w:rFonts w:ascii="Arial" w:cs="Arial" w:eastAsia="Arial" w:hAnsi="Arial"/>
          <w:sz w:val="18"/>
          <w:szCs w:val="18"/>
          <w:color w:val="auto"/>
        </w:rPr>
        <w:t>Carrying values and fair values of financial instruments that are not carried at fair value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consolidating balance sheets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As of March 31, 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4"/>
              </w:rPr>
              <w:t>As of December 31, 2022</w:t>
            </w: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Fair Value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10.000% Senior Notes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10.625% Senior Notes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bl>
    <w:p>
      <w:pPr>
        <w:spacing w:after="0" w:line="202" w:lineRule="exact"/>
        <w:rPr>
          <w:sz w:val="20"/>
          <w:szCs w:val="20"/>
          <w:color w:val="auto"/>
        </w:rPr>
      </w:pPr>
    </w:p>
    <w:p>
      <w:pPr>
        <w:ind w:left="920" w:hanging="345"/>
        <w:spacing w:after="0" w:line="308"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Fair value is determined using Level 2 inputs. The Company’s senior unsecured notes are quoted, but not actively traded, on major exchanges; therefore, fair value is based on periodic values as quoted on major exchanges. See Note 7 for additional information.</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other financial instruments consisting primarily of cash and cash equivalents, accounts receivable, accounts payable, long-term debt (specifically the Credit Agreement), and other current assets and liabilities that approximate fair value due to the nature of the instrument and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primarily utilizes commodity swap contracts and deferred premium put options to (i) reduce the effect of price volatility on the commodities the Company produces and sells, particularly on the down side, and (ii) support the Company’s capital budgeting and expenditure plans, (iii) protect the Company’s borrowing base under the Credit Agreement and (iv) support the payment of contractual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effect of derivatives on the Company’s consolidated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payments on settled derivatives, net</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(2,194)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(24,761)</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(66,394)</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production derivatives. </w:t>
      </w:r>
      <w:r>
        <w:rPr>
          <w:rFonts w:ascii="Arial" w:cs="Arial" w:eastAsia="Arial" w:hAnsi="Arial"/>
          <w:sz w:val="18"/>
          <w:szCs w:val="18"/>
          <w:color w:val="auto"/>
        </w:rPr>
        <w:t>The Company sells its crude oil production at the lease and the sales contracts governing such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WTI crude oil prices. As such, the Company uses NYMEX WTI derivative contracts to manage future crude oil price volatility.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outstanding crude oil derivative contracts as of March 31, 2023 and the weighted average crude oil prices per barrel for those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Remainder of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Crude Oil Price Swaps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822.0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58.43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53.43</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w w:val="98"/>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1,370.0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(Put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51.50</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 (Net of Premium)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46.50</w:t>
            </w:r>
          </w:p>
        </w:tc>
      </w:tr>
    </w:tbl>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derivative liabilities associated with the Company’s open commodity derivatives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As of March 31,</w:t>
            </w:r>
          </w:p>
        </w:tc>
      </w:tr>
      <w:tr>
        <w:trPr>
          <w:trHeight w:val="234"/>
        </w:trPr>
        <w:tc>
          <w:tcPr>
            <w:tcW w:w="9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 National Association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Bank of America, National Association</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(4,359)</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Citizens Bank, National Association</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r>
      <w:tr>
        <w:trPr>
          <w:trHeight w:val="209"/>
        </w:trPr>
        <w:tc>
          <w:tcPr>
            <w:tcW w:w="9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(12,062)</w:t>
            </w:r>
          </w:p>
        </w:tc>
      </w:tr>
      <w:tr>
        <w:trPr>
          <w:trHeight w:val="20"/>
        </w:trPr>
        <w:tc>
          <w:tcPr>
            <w:tcW w:w="9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Exploratory Well Costs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consolidated balance sheets. If the exploratory/extension well or project is determined to be impaired, the impaired costs are charged to exploration and abandonments expense.</w:t>
      </w:r>
    </w:p>
    <w:p>
      <w:pPr>
        <w:sectPr>
          <w:pgSz w:w="11900" w:h="16838" w:orient="portrait"/>
          <w:cols w:equalWidth="0" w:num="1">
            <w:col w:w="11240"/>
          </w:cols>
          <w:pgMar w:left="320" w:top="584" w:right="339" w:bottom="144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capitalized exploratory/extension well costs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capitalized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7722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Additions to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7722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Reclassification to proved properties</w:t>
      </w:r>
    </w:p>
    <w:p>
      <w:pPr>
        <w:spacing w:after="0" w:line="9" w:lineRule="exact"/>
        <w:rPr>
          <w:sz w:val="20"/>
          <w:szCs w:val="20"/>
          <w:color w:val="auto"/>
        </w:rPr>
      </w:pPr>
    </w:p>
    <w:p>
      <w:pPr>
        <w:ind w:left="340" w:right="1900" w:firstLine="486"/>
        <w:spacing w:after="0" w:line="323" w:lineRule="auto"/>
        <w:rPr>
          <w:sz w:val="20"/>
          <w:szCs w:val="20"/>
          <w:color w:val="auto"/>
        </w:rPr>
      </w:pPr>
      <w:r>
        <w:rPr>
          <w:rFonts w:ascii="Arial" w:cs="Arial" w:eastAsia="Arial" w:hAnsi="Arial"/>
          <w:sz w:val="18"/>
          <w:szCs w:val="18"/>
          <w:color w:val="auto"/>
        </w:rPr>
        <w:t>Exploratory/extension well costs charged to exploration and abandonment expense Ending capitalized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-207645</wp:posOffset>
            </wp:positionV>
            <wp:extent cx="67722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0115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920" w:hanging="916"/>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186,427</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193,183</w:t>
      </w:r>
    </w:p>
    <w:p>
      <w:pPr>
        <w:spacing w:after="0" w:line="21"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(325,724)</w:t>
      </w:r>
    </w:p>
    <w:p>
      <w:pPr>
        <w:spacing w:after="0" w:line="9"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0115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1000" w:hanging="996"/>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53,886</w:t>
      </w:r>
    </w:p>
    <w:p>
      <w:pPr>
        <w:spacing w:after="0" w:line="265" w:lineRule="exact"/>
        <w:rPr>
          <w:sz w:val="20"/>
          <w:szCs w:val="20"/>
          <w:color w:val="auto"/>
        </w:rPr>
      </w:pPr>
    </w:p>
    <w:p>
      <w:pPr>
        <w:sectPr>
          <w:pgSz w:w="11900" w:h="16838" w:orient="portrait"/>
          <w:cols w:equalWidth="0" w:num="2">
            <w:col w:w="8680" w:space="720"/>
            <w:col w:w="1840"/>
          </w:cols>
          <w:pgMar w:left="320" w:top="584"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All capitalized exploratory/extension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long-term debt, including the effects of debt issuance costs,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 due 2024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10.625% Senior Notes, due 2024</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10.000% Senior Notes, due 2024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Discounts, net (a)</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(27,086)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issuance costs, net (b)</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(13,565)</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860,764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704,349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long-term debt, net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Long-term debt,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645,469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704,349</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ind w:left="680" w:right="20" w:hanging="335"/>
        <w:spacing w:after="0" w:line="258"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Discounts as of March 31, 2023 and December 31, 2022 consisted of $34.8 million and $34.8 million, respectively, in discounts less accumulated amortization of $12.0 million and $7.7 million, respectively.</w:t>
      </w:r>
    </w:p>
    <w:p>
      <w:pPr>
        <w:spacing w:after="0" w:line="1" w:lineRule="exact"/>
        <w:rPr>
          <w:rFonts w:ascii="Arial" w:cs="Arial" w:eastAsia="Arial" w:hAnsi="Arial"/>
          <w:sz w:val="18"/>
          <w:szCs w:val="18"/>
          <w:color w:val="auto"/>
        </w:rPr>
      </w:pPr>
    </w:p>
    <w:p>
      <w:pPr>
        <w:ind w:left="680" w:hanging="335"/>
        <w:spacing w:after="0" w:line="26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issuance costs as of March 31, 2023 and December 31, 2022 consisted of $20.2 million and $19.7 million, respectively, in costs less accumulated amortization of $8.8 million and $6.1 million, respectively.</w:t>
      </w:r>
    </w:p>
    <w:p>
      <w:pPr>
        <w:spacing w:after="0" w:line="18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1" w:name="page22"/>
    <w:bookmarkEnd w:id="21"/>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 In December 2020, the Company entered into a Credit Agreement with Fifth Third Bank, National Association (“Fifth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administrative agent and sole lender to establish a revolving credit facility (the “Credit Agreement”) that matures on June 17, 2024. The Credit Agreement had an initial borrowing base of $40.0 million. However, the Company elected to reduce the aggregate elected commitments under the Credit Agreement to $20.0 million. In June 2021, the Company entered into the First Amendment to, among other things, (i) complete the semi-annual borrowing base redetermination process which increased the borrowing base from $40.0 million to $125.0 million and (ii) modify the terms of the Credit Agreement to increase the aggregate elected commitments from $20.0 million to $125.0 million. A syndicate of banks joined the credit facility at differing levels of commitments with Fifth Third remaining the administrative agent. In October 2021, the Company entered into the Second Amendment to, among other things, (i) complete a semi-annual borrowing base redetermination process, which increased the borrowing base from $125.0 million to $195.0 million and (ii) modify the terms of the Credit Agreement to increase the aggregate elected commitments from $125.0 million to $195.0 million.</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2022, the Company entered into the Third Amendment to, among other things, (i) reduce the borrowing base from $195.0 million to $138.8 million, (ii) modify the terms of the Credit Agreement to reduce the aggregate elected commitments from $195.0 million to $138.8 million, (iii) update the maturity date to a springing maturity date, which will cause the Credit Agreement to mature on October 1, 2023 if the 10.000% Senior Notes are not redeemed or refinanced by that date or the terms of the 10.000% Senior Notes have not been amended to extend the scheduled repayment thereof to no earlier than October 1, 2024, (iv) allow the Company to redeem the 10.000% Senior Notes with proceeds of a refinancing, with proceeds of an equity offering or with cash, in each case, subject to certain customary conditions and (v) replace the USD LIBOR rates with Term SOFR rates.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June 2022, the Company entered into the Fourth Amendment to, among other things, (i) increase (a) the aggregate elected commitments to $400.0 million, (b) the borrowing base to $400.0 million and (c) the maximum credit amount to $1.5 billion, (ii) increase the excess cash threshold to $75.0 million, (iii) modify the affirmative hedging requirement so that if total debt to EBITDAX is greater than 1.25 to 1.00 but less than or equal to 1.75 to 1.00, notional volumes covering the first 24 months following the measurement date shall be hedged in an amount equal to not less than 25% of the projected production and if total debt to EBITDAX is greater than 1.75 to 1.00, notional volumes covering the first 24 months following the measurement date shall be hedged in an amount equal to not less than 50% of the projection production and (iv) increase the number of banks included in the syndicate at differing levels of commitments, with Fifth Third remaining the administrative agent.</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October 2022, the Company entered into the Fifth Amendment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in an aggregate amount of up to $250.0 million before June 30, 2023, the Company’s obligation to reduce the borrowing base by an amount equal to 25% of the principal amount of such additional future indebtedness shall be waived. In connection with the Fifth Amendment, the lenders waived two technical events of default existing with the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among other things, (i) change the period to 120 days following the maturity date for which there can be no scheduled principal payments, mandatory redemption or maturity date for the 10.000% Senior Notes and the Specified Senior Notes, (ii) clarify that the Specified Senior Notes are subject to the restriction on the voluntary redemption by the Company of certain specified additional debt, including the 10.000% Senior Notes, (iii)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December 2022, the Company entered into the Seventh Amendment to, among other things, increase the amount of Specified Senior Notes from $225.0 million to $250.0 million.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Credit Agreement Amendment), (d) modify the permitted dividends and distributions conditions such that minimum availability under the credit facility must be 25% of such aggregate elected commitments (as opposed to the borrowing base before giving effect to the Credit Agreement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Credit Agreement) with the proceeds of Loans if pre-approved by all Lenders provided that there is no default and that after giving effect thereto, the Company is in pro forma compliance with its financial covenants and (h) add Texas Capital Bank as a Lender.</w:t>
      </w:r>
    </w:p>
    <w:p>
      <w:pPr>
        <w:spacing w:after="0" w:line="18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firstLine="648"/>
        <w:spacing w:after="0" w:line="285" w:lineRule="auto"/>
        <w:rPr>
          <w:sz w:val="20"/>
          <w:szCs w:val="20"/>
          <w:color w:val="auto"/>
        </w:rPr>
      </w:pPr>
      <w:r>
        <w:rPr>
          <w:rFonts w:ascii="Arial" w:cs="Arial" w:eastAsia="Arial" w:hAnsi="Arial"/>
          <w:sz w:val="16"/>
          <w:szCs w:val="16"/>
          <w:color w:val="auto"/>
        </w:rPr>
        <w:t>The borrowing capacity under the Credit Agreement is currently equal to the lowest of (i) the borrowing base (which stands at $700.0 million as of March 31, 2023), (ii) the aggregate elected commitments (which stands at $575.0 million as of March 31, 2023) and (iii) $1.5 billion. As of March 31, 2023 and December 31, 2022, the Company had $420.0 million and $270.0 million, respectively, outstanding borrowings under the Credit Agreement. Borrowings under the Credit Agreement prior to February 2022 bore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and (iii) the Adjusted LIBO Rate for one-month Interest Period, plus a margin, which was determined by the Borrowing Base Utilization Percentage as defined in the Credit Agreement or (b) the LIBO Rate for a one, three or six month Interest Period multiplied by the Statutory Reserve Rate. As of March 31, 2023, borrowings under the Credit Agreement bear interest at the option of the Company, based on (a) a rate per annum equal to the higher of (i) the prime rate announced from time to time by the administrative agent, (ii) the weighted average of the rates of overnight federal funds transactions with members of the Federal Reserve System during the last preceding business day plus 0.5 percent and (iii) Term SOFR for one-month Interest Period, plus a margin (the “Applicable Margin”), which is determined by the Utilization Percentage as defined in the Credit Agreement or (b) a rate equal to the higher of (i) zero percent per annum and (ii) SOFR relating to quotations for 1 or 3 months, plus the Applicable Margin. Letters of credit outstanding under the Credit Agreement are subject to (i) a participation fee which shall accrue at the same Applicable Margin used to determine the interest rate applicable to Tranche Rate Loans, (ii) a fronting fee, which shall accrue at the rate of 0.125 percent per annum and (iii) standard fees with respect to issuances, amendments, renewals and extensions. The Company also pays commitment fees on undrawn amounts under the Credit Agreement equal to 0.50 percent. Borrowings under the Credit Agreement are secured by a first lien security interest on substantially all assets of the Company and its restricted subsidiaries, including mortgages on the Company’s and its restricted subsidiaries’ crude oil and natural gas properties. The Credit Agreement is scheduled to have the borrowing base redetermined semiannually in April and October. Additionally, the Company and Wells Fargo each have the option for a wild card evaluation between redeterminations.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Failure to redeem or refinance the 10.000% Senior Notes due February 2024 on or before June 30, 2023, allocate a portion of our cash flow that will retire such 10.000% Senior Notes on or before November 30, 2023 or amend the terms of such 10.000% Senior Notes to extend the scheduled repayment thereof to no earlier than February 15, 2025 will result in an event of default under our Credit Agreement and an acceleration of the repayment of all amounts outstanding thereunder. We intend to (i) repay the 10.000% Senior Notes with additional borrowings under our Credit Agreement, cash flow from operations or, depending on market conditions, the proceeds of one or more equity or debt offerings or (ii) amend the terms of the 10.000% Senior Notes to extend the scheduled repayment thereof to no earlier than February 15, 2025. However, any one or more of these options may not be available to us, either on commercially attractive terms or at all. Hence, we cannot assure you that we will be able to achieve any of these results. In which case, we may be required to apply a significant portion of our cash flow from operations and/or proceeds from additional secured or unsecured borrowings for such purpose.</w:t>
      </w:r>
    </w:p>
    <w:p>
      <w:pPr>
        <w:spacing w:after="0" w:line="19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Credit Agreement requires the maintenance of a ratio of total debt to EBITDAX, subject to certain adjustments, not to exceed 3.00 to 1.00 as of the last day of any fiscal quarter and a current ratio, subject to certain adjustments, of at least 1.00 to 1.00 as of the last day of any fiscal quarter. The Company obtained a waiver regarding its current ratio as of March 31, 2023.</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limited equity cure rights for a breach of the above-listed financial covenants. Additionally, the Credit Agreement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Credit Agreement contains customary mandatory prepayments, including a monthly mandatory prepayment if the Consolidated Cash Balance (as defined in the Credit Agreement) is in excess of $75.0 million. In addition, the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10.000% Senior Notes. </w:t>
      </w:r>
      <w:r>
        <w:rPr>
          <w:rFonts w:ascii="Arial" w:cs="Arial" w:eastAsia="Arial" w:hAnsi="Arial"/>
          <w:sz w:val="17"/>
          <w:szCs w:val="17"/>
          <w:color w:val="auto"/>
        </w:rPr>
        <w:t>In February 2022, the Company issued $225.0 million aggregate principal amount of its 10.000% Senior Notes due 2024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(“10.000% Senior Notes”), which will mature on February 15, 2024. The Company received proceeds, net of $22.1 million of issuance costs and discounts, of $202.9 million. The net proceeds were used to pay down the balance of the Credit Agreement to zero at closing and to fund our ongoing capital development program with subsequent draws on the Credit Agreement. Interest on the 10.000% Senior Notes is payable on February 15 and August 15 of each year. The indenture governing the 10.000% Senior Notes contains restrictive covenants that limit the ability of the Company and, its restricted subsidiaries to, among other things, incur indebtedness, incur liens, make investments and loans, enter into mergers and acquisitions, make or declare dividends and other payments, sell assets and engage in transactions with affiliates. In addition, the indenture governing the 10.000% Senior Notes contains customary events of default, including payment events of default and events of default upon certain bankruptcy and insolvency events. If a bankruptcy or insolvency-related event of default occurs, the principal of, and accrued and unpaid interest on all outstanding 10.000% Senior Notes will become immediately due and payable. With respect to certain other events of default, the trustee may, in certain circumstances, pursue any available remedy to collect the payment of principal of, premium, if any, on and interest, if any, on the 10.000% Senior Notes or enforce performance of any provisions of the 10.000% Senior Notes or the indenture governing such notes. The 10.000% Senior Notes are classified in current liabilities in the accompanying balance sheet as of March 31, 2023 as they mature within the next twelve months.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10.625% Senior Notes. </w:t>
      </w:r>
      <w:r>
        <w:rPr>
          <w:rFonts w:ascii="Arial" w:cs="Arial" w:eastAsia="Arial" w:hAnsi="Arial"/>
          <w:sz w:val="16"/>
          <w:szCs w:val="16"/>
          <w:color w:val="auto"/>
        </w:rPr>
        <w:t>In November 2022 and December 2022, the Company issued $225.0 million and $25.0 million, respectively,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separate indentures, of its Senior Notes due 2024 (“10.625% Senior Notes”), which will mature on November 15, 2024. The Company received proceeds, net of $26.3 million of issuance costs and discounts, of approximately $223.7 million. The net proceeds were used to reduce the outstanding balance of the Credit Agreement at closing and for general corporate purposes. Interest on the 10.625% Senior Notes is payable on May 15 and November 15 of each year. The indentures governing the 10.625% Senior Notes contain restrictive covenants that limit the ability of the Company and its restricted subsidiaries to, among other things, incur indebtedness, incur liens, make investments and loans, enter into mergers and acquisitions, make or declare dividends and other payments, sell assets and engage in transactions with affiliates. In addition, the indentures governing the 10.625% Senior Notes contain customary events of default, including payment events of default and events of default upon certain bankruptcy and insolvency events. If a bankruptcy or insolvency-related event of default occurs, the principal of, and accrued and unpaid interest on all outstanding 10.625% Senior Notes will become immediately due and payable. With respect to certain other events of default, the trustee may, in certain circumstances, pursue any available remedy to collect the payment of principal of, premium, if any, on and interest, if any, on the 10.625% Senior Notes or enforce performance of any provisions of the 10.625% Senior Notes or the indentures governing such notes. If not redeemed or refinanced in full prior to such time, in November 2023, the 10.625% Senior Notes will be classified in current liabilities in the balance sheet as of December 31, 2023 as they mature within the next twelve months following November 2023.</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and the indentures governing the 10.000% Senior Notes and 10.625% Senior Notes have hedging requirements to which the Company adheres.</w:t>
      </w:r>
    </w:p>
    <w:p>
      <w:pPr>
        <w:spacing w:after="0" w:line="17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23" w:right="339" w:bottom="1440" w:gutter="0" w:footer="0" w:header="0"/>
        </w:sectPr>
      </w:pPr>
    </w:p>
    <w:p>
      <w:pPr>
        <w:spacing w:after="0" w:line="184" w:lineRule="exact"/>
        <w:rPr>
          <w:sz w:val="20"/>
          <w:szCs w:val="20"/>
          <w:color w:val="auto"/>
        </w:rPr>
      </w:pPr>
    </w:p>
    <w:p>
      <w:pPr>
        <w:jc w:val="right"/>
        <w:ind w:right="3620"/>
        <w:spacing w:after="0"/>
        <w:rPr>
          <w:sz w:val="20"/>
          <w:szCs w:val="20"/>
          <w:color w:val="auto"/>
        </w:rPr>
      </w:pPr>
      <w:r>
        <w:rPr>
          <w:rFonts w:ascii="Arial" w:cs="Arial" w:eastAsia="Arial" w:hAnsi="Arial"/>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Liabilities incurred from new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center"/>
        <w:ind w:right="6420"/>
        <w:spacing w:after="0"/>
        <w:rPr>
          <w:sz w:val="20"/>
          <w:szCs w:val="20"/>
          <w:color w:val="auto"/>
        </w:rPr>
      </w:pPr>
      <w:r>
        <w:rPr>
          <w:rFonts w:ascii="Arial" w:cs="Arial" w:eastAsia="Arial" w:hAnsi="Arial"/>
          <w:sz w:val="18"/>
          <w:szCs w:val="18"/>
          <w:color w:val="auto"/>
        </w:rPr>
        <w:t>Accretion of discount</w:t>
      </w:r>
    </w:p>
    <w:p>
      <w:pPr>
        <w:spacing w:after="0" w:line="49" w:lineRule="exact"/>
        <w:rPr>
          <w:sz w:val="20"/>
          <w:szCs w:val="20"/>
          <w:color w:val="auto"/>
        </w:rPr>
      </w:pPr>
    </w:p>
    <w:p>
      <w:pPr>
        <w:jc w:val="center"/>
        <w:ind w:right="6400"/>
        <w:spacing w:after="0"/>
        <w:rPr>
          <w:sz w:val="20"/>
          <w:szCs w:val="20"/>
          <w:color w:val="auto"/>
        </w:rPr>
      </w:pPr>
      <w:r>
        <w:rPr>
          <w:rFonts w:ascii="Arial" w:cs="Arial" w:eastAsia="Arial" w:hAnsi="Arial"/>
          <w:sz w:val="16"/>
          <w:szCs w:val="16"/>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1040" w:hanging="1033"/>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7,502</w:t>
      </w:r>
    </w:p>
    <w:p>
      <w:pPr>
        <w:spacing w:after="0" w:line="45"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143</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118</w:t>
      </w:r>
    </w:p>
    <w:p>
      <w:pPr>
        <w:spacing w:after="0" w:line="32" w:lineRule="exact"/>
        <w:rPr>
          <w:sz w:val="20"/>
          <w:szCs w:val="20"/>
          <w:color w:val="auto"/>
        </w:rPr>
      </w:pPr>
    </w:p>
    <w:p>
      <w:pPr>
        <w:ind w:left="1040" w:hanging="1033"/>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7,763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86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9861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960" w:space="720"/>
            <w:col w:w="1560"/>
          </w:cols>
          <w:pgMar w:left="320" w:top="823" w:right="339" w:bottom="1440" w:gutter="0" w:footer="0" w:header="0"/>
          <w:type w:val="continuous"/>
        </w:sectPr>
      </w:pPr>
    </w:p>
    <w:p>
      <w:pPr>
        <w:spacing w:after="0" w:line="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2023 and December 31, 2022, all asset retirement obligations are considered noncurrent and classified as such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Incentive Plans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401(k) Plan. </w:t>
      </w:r>
      <w:r>
        <w:rPr>
          <w:rFonts w:ascii="Arial" w:cs="Arial" w:eastAsia="Arial" w:hAnsi="Arial"/>
          <w:sz w:val="18"/>
          <w:szCs w:val="18"/>
          <w:color w:val="auto"/>
        </w:rPr>
        <w:t>The HighPeak Energy Employees, Inc 401(k) Plan (the “401(k) Plan”) is a defined contribution plan established under Section 401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three months ended March 31, 2023 and 2022, the Company contributed $81,000 and $76,000 to the 401(k) Plan, respectively.</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Long-Term Incentive Plan. </w:t>
      </w:r>
      <w:r>
        <w:rPr>
          <w:rFonts w:ascii="Arial" w:cs="Arial" w:eastAsia="Arial" w:hAnsi="Arial"/>
          <w:sz w:val="16"/>
          <w:szCs w:val="16"/>
          <w:color w:val="auto"/>
        </w:rPr>
        <w:t>The Company’s Second Amended &amp; Restated Long Term Incentive Plan (“LTIP”) provides for the grant of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restricted stock, stock awards, dividend equivalents, cash awards and substitute awards to officers, employees, directors and consultants of the Company. The number of shares available for grant pursuant to awards under the LTIP as of March 31, 2023 and December 31,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Approved and authorized shares</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14,341,882</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14,340,324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Shares subject to awards issued under plan</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(13,755,690)</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(13,769,191)</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available for future grant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586,192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571,133</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 awards were granted to employees on August 24, 2020, November 4, 2021, May 4, 2022 and August 15, 2022. Stock-based compensation expense related to the Company’s stock option awards for the three months ended March 31, 2023 and 2022 was $314,000 and $525,000, respectively, and as of March 31, 2023 and December 31, 2022 there was $697,000 and $1.1 million, respectively, of unrecognized stock-based compensation expense related to unvested stock option awards. The unrecognized compensation expense will be recognized on a straight-line basis over the remaining vesting periods of the awards, which is a period of less than two years.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4" w:name="page25"/>
    <w:bookmarkEnd w:id="24"/>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thousands)</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9,983,727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44,395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Awards 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1,564,500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11,517,228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128,429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(11,834)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Forfeitures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Outstanding at December 31, 2022</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11,503,727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12.20</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88,546</w:t>
            </w: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Vested at December 31, 2022</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11,304,747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12.02</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127,591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2022</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11,304,747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127,591</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 at March 31, 2023</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11,291,246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86,644</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Exercisable at March 31, 2023</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11,291,246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12.02</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86,644</w:t>
            </w:r>
          </w:p>
        </w:tc>
      </w:tr>
    </w:tbl>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Restricted stock issued to employee members of the Board. </w:t>
      </w:r>
      <w:r>
        <w:rPr>
          <w:rFonts w:ascii="Arial" w:cs="Arial" w:eastAsia="Arial" w:hAnsi="Arial"/>
          <w:sz w:val="16"/>
          <w:szCs w:val="16"/>
          <w:color w:val="auto"/>
        </w:rPr>
        <w:t>A total of 1,500,500 shares of restricted stock was approved by the Board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to certain employee members of the Board of the Company on November 4, 2021, which vest on the three-year anniversary of such grant assuming the employees remain in his or her position as of the anniversary date. Therefore, stock-based compensation expense of $1.8 million and $1.8 million was recognized during the three months ended March 31, 2023 and 2022, respectively, and the remaining $11.4 million as of March 31, 2023 will be recognized over the remaining restricted period, which was based upon the closing price of the stock on the date of the restricted stock issuance. The Board also cancelled the previously issued equity-based liability bonuses and approved a total of 600,000 shares of restricted stock to be granted to certain employees of the Company on June 1, 2022, which vest on November 4, 2024, assuming the employees remain in his or her position as of that date and cancelled certain contractual equity-based bonuses to such employees. Therefore, stock-based compensation expense of $1.8 million and $1.4 million was recognized during the three months ended March 31, 2023 and 2022, respectively, and the remaining $11.2 million as of March 31, 2023 will be recognized over the remaining restricted period, which was based upon the closing price of the stock on the date of the restricted stock issuance.</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Stock issued to outside directors. </w:t>
      </w:r>
      <w:r>
        <w:rPr>
          <w:rFonts w:ascii="Arial" w:cs="Arial" w:eastAsia="Arial" w:hAnsi="Arial"/>
          <w:sz w:val="16"/>
          <w:szCs w:val="16"/>
          <w:color w:val="auto"/>
        </w:rPr>
        <w:t>A total of 21,184 shares of restricted stock was approved by the Board to be granted to the outside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on June 1, 2022, which will vest at the next annual meeting, assuming the Board members maintain their positions on the Board. Therefore, stock-based compensation expense of $183,000 was recognized during the three months ended March 31, 2023 and the remaining $122,000 will be recognized between April and June 2023, which was based upon the closing price of the stock on the date of the restricted stock issuance. In addition, a total of 67,779 shares of restricted stock was approved by the Board to be granted to the outside directors of the Company on June 1, 2021, which vested in January 2022. Therefore, the remaining stock-based compensation expense of $284,000 was recognized during the three months ended March 31, 2022, which was based upon the closing price of the stock on the date of the restricted stock issuance.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The Company follows ASC Topic 842, “Leases” to account for its operating and finance leases. Therefore, as of March 31, 2023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had right-of-use assets totaling $1.1 million included in other noncurrent assets and operating lease liabilities totaling $1.1 million, $726,000 of which are included in other current liabilities and $400,000 of which are included in other noncurrent liabilities, and as of December 31, 2022 the Company had right-of-use assets totaling $333,000 included in other noncurrent assets and operating lease liabilities totaling $343,000, included in other current liabilities on the accompanying consolidated balance sheets. The Company does not currently have any finance right-of-use leases. Maturities of the operating lease obligations are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3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2024</w:t>
            </w:r>
          </w:p>
        </w:tc>
        <w:tc>
          <w:tcPr>
            <w:tcW w:w="3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r>
      <w:tr>
        <w:trPr>
          <w:trHeight w:val="216"/>
        </w:trPr>
        <w:tc>
          <w:tcPr>
            <w:tcW w:w="6000" w:type="dxa"/>
            <w:vAlign w:val="bottom"/>
          </w:tcPr>
          <w:p>
            <w:pPr>
              <w:ind w:left="340"/>
              <w:spacing w:after="0"/>
              <w:rPr>
                <w:sz w:val="20"/>
                <w:szCs w:val="20"/>
                <w:color w:val="auto"/>
              </w:rPr>
            </w:pPr>
            <w:r>
              <w:rPr>
                <w:rFonts w:ascii="Arial" w:cs="Arial" w:eastAsia="Arial" w:hAnsi="Arial"/>
                <w:sz w:val="18"/>
                <w:szCs w:val="18"/>
                <w:color w:val="auto"/>
              </w:rPr>
              <w:t>Less present value discount</w:t>
            </w:r>
          </w:p>
        </w:tc>
        <w:tc>
          <w:tcPr>
            <w:tcW w:w="3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r>
      <w:tr>
        <w:trPr>
          <w:trHeight w:val="412"/>
        </w:trPr>
        <w:tc>
          <w:tcPr>
            <w:tcW w:w="6000" w:type="dxa"/>
            <w:vAlign w:val="bottom"/>
            <w:tcBorders>
              <w:top w:val="single" w:sz="8" w:color="CCEEFF"/>
            </w:tcBorders>
          </w:tcPr>
          <w:p>
            <w:pPr>
              <w:spacing w:after="0"/>
              <w:rPr>
                <w:sz w:val="24"/>
                <w:szCs w:val="24"/>
                <w:color w:val="auto"/>
              </w:rPr>
            </w:pPr>
          </w:p>
        </w:tc>
        <w:tc>
          <w:tcPr>
            <w:tcW w:w="36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115"/>
        </w:trPr>
        <w:tc>
          <w:tcPr>
            <w:tcW w:w="60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Legal actions. </w:t>
      </w:r>
      <w:r>
        <w:rPr>
          <w:rFonts w:ascii="Arial" w:cs="Arial" w:eastAsia="Arial" w:hAnsi="Arial"/>
          <w:sz w:val="18"/>
          <w:szCs w:val="18"/>
          <w:color w:val="auto"/>
        </w:rPr>
        <w:t>From time to time, the Company may be a party to various proceedings and claims incidental to its business. While many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Indemnifications. </w:t>
      </w:r>
      <w:r>
        <w:rPr>
          <w:rFonts w:ascii="Arial" w:cs="Arial" w:eastAsia="Arial" w:hAnsi="Arial"/>
          <w:sz w:val="18"/>
          <w:szCs w:val="18"/>
          <w:color w:val="auto"/>
        </w:rPr>
        <w:t>The Company has agreed to indemnify its directors, officers and certain employees and agents with respect to claims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damages arising from acts or omissions taken in such capacity, as well as with respect to certain litigation.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Environmental expenditures that relate to an existing condition caused by past operations and have no future economic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Crude oil delivery commitments. </w:t>
      </w:r>
      <w:r>
        <w:rPr>
          <w:rFonts w:ascii="Arial" w:cs="Arial" w:eastAsia="Arial" w:hAnsi="Arial"/>
          <w:sz w:val="18"/>
          <w:szCs w:val="18"/>
          <w:color w:val="auto"/>
        </w:rPr>
        <w:t>In May 2021, the Company entered into a crude oil marketing contract with DK Trading &amp; Supply,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(“Delek”) as the purchaser and DKL Permian Gathering, LLC (“DKL”) as the gatherer and transporter. The contract includes the Company’s current and future crude oil production from the majority of its horizontal wells in Flat Top where DKL is continually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March 31, 2023, the Company has delivered approximately 24,265 Bopd under the contract which is approximately 39 percent of the contracted volume for the life of the contract . The monetary commitment for the remaining 20.5 MMBbl as of March 31, 2023, if the Company never delivers any additional volumes under the agreement, is approximately $16.3 million.</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natural gas purchase contract with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The Company will provide WTG with certain aid-in-construction payments to be reimbursed over time based on throughput through the system. The replacement contract does not contain any minimum volume commitments.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Connection fee commitments. </w:t>
      </w:r>
      <w:r>
        <w:rPr>
          <w:rFonts w:ascii="Arial" w:cs="Arial" w:eastAsia="Arial" w:hAnsi="Arial"/>
          <w:sz w:val="18"/>
          <w:szCs w:val="18"/>
          <w:color w:val="auto"/>
        </w:rPr>
        <w:t>As a result of the Hannathon Acquisition, the Company assumed a connection fee commitment related to a natural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 contract on certain properties whereby a minimum volume must be delivered or the Company is obligated to reimburse WTG any shortfall by May 2025. If the Company fails to deliver any future volumes to the delivery point, the monetary commitment that remains as of March 31, 2023 would be approximately $580,000.</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Power contracts. </w:t>
      </w:r>
      <w:r>
        <w:rPr>
          <w:rFonts w:ascii="Arial" w:cs="Arial" w:eastAsia="Arial" w:hAnsi="Arial"/>
          <w:sz w:val="17"/>
          <w:szCs w:val="17"/>
          <w:color w:val="auto"/>
        </w:rPr>
        <w:t>In June 2022, the Company entered into a contract with TXU Energy Retail Company LLC (“TXU”) to provide a block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electric power at an attractive variable rate, which fluctuates based on the usage by the Company through May 31, 2032. In conjunction with this contract, the Company issued a $1.7 million letter of Credit in lieu of a deposit to TXU that is cancellable at the end of the contract term.</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Sand commitments. </w:t>
      </w:r>
      <w:r>
        <w:rPr>
          <w:rFonts w:ascii="Arial" w:cs="Arial" w:eastAsia="Arial" w:hAnsi="Arial"/>
          <w:sz w:val="16"/>
          <w:szCs w:val="16"/>
          <w:color w:val="auto"/>
        </w:rPr>
        <w:t>The Company is party to an amended agreement whereby it has agreed to purchase at least 1.6 million tons of sand over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two-year period beginning July 1, 2022. There are stipulations in the agreement that reduce this commitment should there be a downturn in crude oil prices. As of March 31, 2023, the Company has purchased approximately 407,000 tons of sand under the contract. However, generally if the Company never takes delivery of any additional sand under the agreement, the monetary commitment that remains as of March 31, 2023 is approximately $28.7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Water Treatment. </w:t>
      </w:r>
      <w:r>
        <w:rPr>
          <w:rFonts w:ascii="Arial" w:cs="Arial" w:eastAsia="Arial" w:hAnsi="Arial"/>
          <w:sz w:val="18"/>
          <w:szCs w:val="18"/>
          <w:color w:val="auto"/>
        </w:rPr>
        <w:t>In September 2021, the Company entered into a contract with Pilot Exploration, Inc., (“Pilot”), whose President and CEO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outside director of the Company, to deploy Pilot’s proprietary water treatment technology in the Company’s Flat Top area to treat up to 25,000 barrels of produced water per day that can be reused in the Company’s completion operations or sold to third parties for their completion operations. This contract was set to expire on March 1, 2022, however it was extended to October 1, 2022 based on the early results of the project. During the year ended December 31, 2022, the Company paid $2.0 million to Pilot for such services.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on October 1, 2022, the Company has agreed to a minimum volume commitment of 29.2 million barrels of produced water while maintaining the ability to bank excess produced water processed each month toward the minimum volume commitment. During the three months ended March 31, 2023 and the year ended December 31, 2022, the Company paid $1.5 million and $1.6 million, respectively, to Pilot for such services. Subsequent to quarter end, the Company terminated the contract with Pilot in exchange for $6.5 million that will be paid during the second quarter of 2023.</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12. Major Customers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Delek accounted for approximately 76% and 88% and Energy Transfer Crude Marketing, LLC (“ETC”) accounted for approximately 19% and 5% of the Company’s revenues during the three months ended March 31, 2023 and 2022,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Enactment of the Inflation Reduction Act of 2022. </w:t>
      </w:r>
      <w:r>
        <w:rPr>
          <w:rFonts w:ascii="Arial" w:cs="Arial" w:eastAsia="Arial" w:hAnsi="Arial"/>
          <w:sz w:val="17"/>
          <w:szCs w:val="17"/>
          <w:color w:val="auto"/>
        </w:rPr>
        <w:t>On August 16, 2022, President Biden signed into law the Inflation Reduction Act of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(“IRA 2022”). The IRA 2022, among other tax provisions, imposes a 15 percent corporate alternative minimum tax on corporations with book financial statement income in excess of $1.0 billion, effective for tax years beginning after December 31, 2022. The IRA 2022 also establishes a one percent excise tax on stock repurchases made by publicly traded U.S. corporations, effective for stock repurchases in excess of an annual limit of $1.0 million after December 31, 2022. The IRA 2022 did not impact the Company’s current year tax provision or the Company’s consolidated financial statements. The Company is evaluating the accounting and disclosure implications of the IRA 2022 on its future filings.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Company’s income tax expense (benefit) attributable to income (loss) before income taxes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9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income tax expense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 (benefit):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Federal</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13,920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(188)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w:t>
            </w: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 expense (benefit)</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14,507</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(312)</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14,507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(312)</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reconciliation between the income tax expense (benefit) computed by multiplying pre-tax income by the U.S. federal statutory rate and the reported amounts of income tax expense is as follows (in thousands, except rate):</w:t>
      </w:r>
    </w:p>
    <w:p>
      <w:pPr>
        <w:sectPr>
          <w:pgSz w:w="11900" w:h="16838" w:orient="portrait"/>
          <w:cols w:equalWidth="0" w:num="1">
            <w:col w:w="11240"/>
          </w:cols>
          <w:pgMar w:left="320" w:top="823"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at 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Limited tax benefit due to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 deferred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195"/>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13,600</w:t>
            </w:r>
          </w:p>
        </w:tc>
        <w:tc>
          <w:tcPr>
            <w:tcW w:w="12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(3,533)</w:t>
            </w:r>
          </w:p>
        </w:tc>
      </w:tr>
      <w:tr>
        <w:trPr>
          <w:trHeight w:val="216"/>
        </w:trPr>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3,681</w:t>
            </w:r>
          </w:p>
        </w:tc>
      </w:tr>
      <w:tr>
        <w:trPr>
          <w:trHeight w:val="216"/>
        </w:trPr>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30"/>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r>
      <w:tr>
        <w:trPr>
          <w:trHeight w:val="210"/>
        </w:trPr>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14,507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87" w:lineRule="exact"/>
        <w:rPr>
          <w:sz w:val="20"/>
          <w:szCs w:val="20"/>
          <w:color w:val="auto"/>
        </w:rPr>
      </w:pPr>
    </w:p>
    <w:p>
      <w:pPr>
        <w:sectPr>
          <w:pgSz w:w="11900" w:h="16838" w:orient="portrait"/>
          <w:cols w:equalWidth="0" w:num="2">
            <w:col w:w="7200" w:space="720"/>
            <w:col w:w="3320"/>
          </w:cols>
          <w:pgMar w:left="320" w:top="823" w:right="339" w:bottom="730"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were as follows as of March 31, 2023 and December 31,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expense limitations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16,281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10,623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4,102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Unrecognized derivative losses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24,009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6"/>
              </w:rPr>
              <w:t>Crude oil and natural gas properties, principally due to differences in basis and depreciation and the</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deduction of intangible drilling costs for tax purposes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(175,423)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(155,169)</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Unrecognized derivative gains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(155,173)</w:t>
            </w:r>
          </w:p>
        </w:tc>
      </w:tr>
      <w:tr>
        <w:trPr>
          <w:trHeight w:val="24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deferred tax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(131,164)</w:t>
            </w:r>
          </w:p>
        </w:tc>
      </w:tr>
      <w:tr>
        <w:trPr>
          <w:trHeight w:val="412"/>
        </w:trPr>
        <w:tc>
          <w:tcPr>
            <w:tcW w:w="80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730" w:gutter="0" w:footer="0" w:header="0"/>
          <w:type w:val="continuous"/>
        </w:sectPr>
      </w:pPr>
    </w:p>
    <w:bookmarkStart w:id="27" w:name="page28"/>
    <w:bookmarkEnd w:id="27"/>
    <w:p>
      <w:pPr>
        <w:jc w:val="both"/>
        <w:ind w:firstLine="648"/>
        <w:spacing w:after="0" w:line="308" w:lineRule="auto"/>
        <w:rPr>
          <w:sz w:val="20"/>
          <w:szCs w:val="20"/>
          <w:color w:val="auto"/>
        </w:rPr>
      </w:pPr>
      <w:r>
        <w:rPr>
          <w:rFonts w:ascii="Arial" w:cs="Arial" w:eastAsia="Arial" w:hAnsi="Arial"/>
          <w:sz w:val="17"/>
          <w:szCs w:val="17"/>
          <w:color w:val="auto"/>
        </w:rPr>
        <w:t>The effective income tax rate differs from the U.S. statutory rate of 21 percent primarily due to reversing a portion of its deferred tax asset related to stock-based compensation, deferred state income taxes and other permanent differences between GAAP income and taxable income.</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March 31, 2023 and December 31, 2022,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$3.4 million reduction in the deferred tax asset and reduced the amount of income tax benefit realized during the three months ended March 31, 2022.</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also subject to Texas Margin Tax. The Company realized no current Texas Margin Tax in the accompanying consolidated financial statements as we do not anticipate owing any Texas Margin Tax for 2023 or 2022. However, the Company has recognized a deferred Texas Margin Tax liability of $4.7 million and $4.1 million as of March 31, 2023 and December 31, 2022, respectively,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the two-class method of calculating earnings per share because certain of the Company’s stock-based awards qualify as participating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reconciles the Company’s earnings from operations and earnings attributable to common stockholders to the basic and diluted earnings used to determine the Company’s earnings per share amounts for the three months ended March 31, 2023 and 2022 under the two-class method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50,257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Participating basic earnings (a)</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(loss) attributable to common stockholders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Reallocation of participating earnings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(loss) attributable to common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45,694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r>
      <w:tr>
        <w:trPr>
          <w:trHeight w:val="196"/>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95,841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Dilutive warrants and unvested stock options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unvested restricted stock</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117,765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95,841</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980" w:hanging="324"/>
        <w:spacing w:after="0" w:line="289"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unvested restricted stock awarded to outside directors represent participating securities because they participate in nonforfeitable dividends with the common equity holders of the Company. 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calculation for weighted average shares reflects shares outstanding over the reporting period based on the actual number of days the shares were outstanding.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51"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15.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Issuance of common stock. </w:t>
      </w:r>
      <w:r>
        <w:rPr>
          <w:rFonts w:ascii="Arial" w:cs="Arial" w:eastAsia="Arial" w:hAnsi="Arial"/>
          <w:sz w:val="16"/>
          <w:szCs w:val="16"/>
          <w:color w:val="auto"/>
        </w:rPr>
        <w:t>During the three months ended March 31, 2023, the Company issued 11,984 shares of HighPeak Energy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as a result of warrants (150 shares) and stock options (11,834 shares) being exercised. On March 25, 2022, the Company issued 6,960,000 shares of HighPeak Energy common stock related to the aforementioned Alamo Acquisition. The remaining 76,754 shares of HighPeak Energy common stock issued during the three months ended March 31, 2022 were the result of warrants (69,254 shares) and stock options (7,500 shares) being exercised.</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Dividends and Dividend Equivalents</w:t>
      </w:r>
      <w:r>
        <w:rPr>
          <w:rFonts w:ascii="Arial" w:cs="Arial" w:eastAsia="Arial" w:hAnsi="Arial"/>
          <w:sz w:val="16"/>
          <w:szCs w:val="16"/>
          <w:color w:val="auto"/>
        </w:rPr>
        <w:t>. In January 2023, the Board declared a quarterly dividend of $0.025 per share of common stock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resulted in a total of $2.8 million in dividends being paid on February 24, 2023. In addition, under the terms of the LTIP, the Company paid a dividend equivalent per share to all vested stock option holders of $283,000 in February 2023 and accrued a dividend equivalent per share to all unvested stock option holders which is payable upon vesting of up to an additional $5,000, assuming no forfeitures. In addition, the Company accrued an additional combined $53,000 in dividends on the restricted stock issued to directors, management directors and certain employees that will be payable upon vesting.</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January 2022, the Board approved a quarterly dividend of $0.025 per share of common stock outstanding which resulted in a total of $2.4 million in dividends being paid on February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2022 and up to an additional $2,000, assuming no forfeitures. In addition, the Company accrued an additional combined $53,000 in dividends on the restricted stock issued to management directors and certain employees that will be payable upon vesting.</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Outstanding securities. </w:t>
      </w:r>
      <w:r>
        <w:rPr>
          <w:rFonts w:ascii="Arial" w:cs="Arial" w:eastAsia="Arial" w:hAnsi="Arial"/>
          <w:sz w:val="18"/>
          <w:szCs w:val="18"/>
          <w:color w:val="auto"/>
        </w:rPr>
        <w:t>At March 31, 2023 and December 31, 2022, the Company had 113,177,011 and 113,165,027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respectively, and 8,285,122 and 8,285,272 warrants outstanding, respectively, with an exercise price of $11.50 per share that expire on August 21,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April 2023, the Board approved a quarterly dividend of $0.025 per share of common stock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will result in a total of approximately $2.8 million in dividends to be paid on May 25, 2023. In addition, under the terms of the LTIP, the Company will pay a dividend equivalent per share to all vested stock option holders of $282,000 in May 2023 and will accrue a dividend equivalent per share to all unvested stock option holders which is payable upon vesting of up to an additional $5,000, assuming no forfeitures. In addition, the Company will accrue an additional combined $53,000 in dividends on the restricted stock issued to directors, management directors and certain employees that will be payable upon vesting.</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Derivatives. </w:t>
      </w:r>
      <w:r>
        <w:rPr>
          <w:rFonts w:ascii="Arial" w:cs="Arial" w:eastAsia="Arial" w:hAnsi="Arial"/>
          <w:sz w:val="17"/>
          <w:szCs w:val="17"/>
          <w:color w:val="auto"/>
        </w:rPr>
        <w:t>In April 2023, the Company entered into an additional deferred premium put option contract for 5,000 Bopd from January 2024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September 2024 at a strike price of $56.15 per Bbl with deferred premiums of $5.00 per Bbl. After the effect of this new contract, the Company’s outstanding crude oil derivative contracts and the weighted average crude oil prices per barrel for those contracts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Remainder of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Crude Oil Price Swaps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822.0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58.43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53.43</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w w:val="98"/>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2,740.0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(Put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53.83</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 (Net of Premium)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48.83</w:t>
            </w:r>
          </w:p>
        </w:tc>
      </w:tr>
    </w:tbl>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522"/>
        <w:spacing w:after="0" w:line="218" w:lineRule="exact"/>
        <w:rPr>
          <w:sz w:val="20"/>
          <w:szCs w:val="20"/>
          <w:color w:val="auto"/>
        </w:rPr>
      </w:pPr>
      <w:r>
        <w:rPr>
          <w:rFonts w:ascii="Arial" w:cs="Arial" w:eastAsia="Arial" w:hAnsi="Arial"/>
          <w:sz w:val="17"/>
          <w:szCs w:val="17"/>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reflecting our current expectations, estimates and assumptions concerning events and financial trends that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due to a number of factors. Factors that could cause or</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Cautionary Statement Concerning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We </w:t>
      </w:r>
      <w:r>
        <w:rPr>
          <w:rFonts w:ascii="Arial" w:cs="Arial" w:eastAsia="Arial" w:hAnsi="Arial"/>
          <w:sz w:val="17"/>
          <w:szCs w:val="17"/>
          <w:i w:val="1"/>
          <w:iCs w:val="1"/>
          <w:u w:val="single" w:color="auto"/>
          <w:color w:val="auto"/>
        </w:rPr>
        <w:t>assume no obligation to update any of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6954520</wp:posOffset>
            </wp:positionH>
            <wp:positionV relativeFrom="paragraph">
              <wp:posOffset>-160655</wp:posOffset>
            </wp:positionV>
            <wp:extent cx="1809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22"/>
        <w:spacing w:after="0" w:line="289" w:lineRule="auto"/>
        <w:rPr>
          <w:sz w:val="20"/>
          <w:szCs w:val="20"/>
          <w:color w:val="auto"/>
        </w:rPr>
      </w:pPr>
      <w:r>
        <w:rPr>
          <w:rFonts w:ascii="Arial" w:cs="Arial" w:eastAsia="Arial" w:hAnsi="Arial"/>
          <w:sz w:val="16"/>
          <w:szCs w:val="16"/>
          <w:color w:val="auto"/>
        </w:rPr>
        <w:t>HighPeak Energy, Inc., a Delaware corporation, was formed in October 2019. The Company’s assets are located primarily in Howard and Borden Counties, Texas, and to a lesser extent Scurry and Mitchell Counties, which lie within the northeastern part of the crude oil-rich Midland Basin. As of March 31, 2023, the assets consisted of two highly contiguous leasehold positions of approximately 127,227 gross (112,745 net) acres, approximately 61% of which were held by production, with an average working interest of 89%. Our acreage is composed of two core areas, Flat Top to the north and Signal Peak to the south. We operate approximately 98% of the net acreage across the Company’s assets and more than 90% of the net operated acreage provides for horizontal wells with lateral lengths of 10,000 feet or greater. For the three months ended March 31, 2023, approximately 94% and 6% of sales volumes from the assets were attributable to liquids (both crude oil and NGL) and natural gas, respectively. As of March 31, 2023, HighPeak Energy was developing its properties using five (5) drilling rigs and four (4) frac fleets and with the recent downturn in commodity prices and the possibility of a recession later this year, now expects to average two (2) drilling rigs and two (2) frac crews from June through the remainder of 2023.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522"/>
        <w:spacing w:after="0" w:line="257" w:lineRule="auto"/>
        <w:rPr>
          <w:sz w:val="20"/>
          <w:szCs w:val="20"/>
          <w:color w:val="auto"/>
        </w:rPr>
      </w:pPr>
      <w:r>
        <w:rPr>
          <w:rFonts w:ascii="Arial" w:cs="Arial" w:eastAsia="Arial" w:hAnsi="Arial"/>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2018 through March 31, 2023, the calendar month average NYMEX WTI crude oil price per Bbl ranged from a low of $16.70 to a high of $114.34, and the last trading day NYMEX natural gas price per MMBtu ranged from a low of $1.50 to a high of $9.35.</w:t>
      </w:r>
    </w:p>
    <w:p>
      <w:pPr>
        <w:spacing w:after="0" w:line="188" w:lineRule="exact"/>
        <w:rPr>
          <w:sz w:val="20"/>
          <w:szCs w:val="20"/>
          <w:color w:val="auto"/>
        </w:rPr>
      </w:pPr>
    </w:p>
    <w:p>
      <w:pPr>
        <w:jc w:val="both"/>
        <w:ind w:firstLine="522"/>
        <w:spacing w:after="0" w:line="287" w:lineRule="auto"/>
        <w:rPr>
          <w:sz w:val="20"/>
          <w:szCs w:val="20"/>
          <w:color w:val="auto"/>
        </w:rPr>
      </w:pPr>
      <w:r>
        <w:rPr>
          <w:rFonts w:ascii="Arial" w:cs="Arial" w:eastAsia="Arial" w:hAnsi="Arial"/>
          <w:sz w:val="16"/>
          <w:szCs w:val="16"/>
          <w:color w:val="auto"/>
        </w:rPr>
        <w:t>The markets for the commodities produced by our industry strengthened in 2021 and remained strong in 2022 and continuing somewhat in 2023, although decreased from 2022 levels,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 in Ukraine, the COVID-19 pandemic, rising interest rates and associated policies of the Federal Reserve, which could adversely affect HighPeak Energy. Additionally, in April 2023, OPEC announced production cuts of around 1.16 million barrels per day. The actions of OPEC with respect to crude oil production levels, including agreement on and compliance with production cuts, may result in further volatility in commodity prices and the crude oil and natural gas industry generally. Additionally, the impact of inflation as well as rising interest rates continue to have a negative impact on our cash flows and results of operations. For additional information on the risks, see “Part I, Item 1A. Risk Factors” in the Company’s Annual Report on Form 10-K for the year ended December 31, 2022, filed with the SEC on March 6, 2023 (the “Annual Report”).</w:t>
      </w:r>
    </w:p>
    <w:p>
      <w:pPr>
        <w:spacing w:after="0" w:line="172" w:lineRule="exact"/>
        <w:rPr>
          <w:sz w:val="20"/>
          <w:szCs w:val="20"/>
          <w:color w:val="auto"/>
        </w:rPr>
      </w:pPr>
    </w:p>
    <w:p>
      <w:pPr>
        <w:jc w:val="both"/>
        <w:ind w:firstLine="522"/>
        <w:spacing w:after="0" w:line="257" w:lineRule="auto"/>
        <w:rPr>
          <w:sz w:val="20"/>
          <w:szCs w:val="20"/>
          <w:color w:val="auto"/>
        </w:rPr>
      </w:pPr>
      <w:r>
        <w:rPr>
          <w:rFonts w:ascii="Arial" w:cs="Arial" w:eastAsia="Arial" w:hAnsi="Arial"/>
          <w:sz w:val="18"/>
          <w:szCs w:val="18"/>
          <w:color w:val="auto"/>
        </w:rPr>
        <w:t>Given the dynamic nature of this situation, the Company is maintaining flexibility in its capital plan as indicated by its recent shift to a two (2) drilling rig plan for the remainder of the year.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pacing w:after="0" w:line="18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Strategic Alternatives.</w:t>
      </w:r>
    </w:p>
    <w:p>
      <w:pPr>
        <w:spacing w:after="0" w:line="229" w:lineRule="exact"/>
        <w:rPr>
          <w:sz w:val="20"/>
          <w:szCs w:val="20"/>
          <w:color w:val="auto"/>
        </w:rPr>
      </w:pPr>
    </w:p>
    <w:p>
      <w:pPr>
        <w:jc w:val="both"/>
        <w:ind w:firstLine="522"/>
        <w:spacing w:after="0" w:line="253" w:lineRule="auto"/>
        <w:rPr>
          <w:sz w:val="20"/>
          <w:szCs w:val="20"/>
          <w:color w:val="auto"/>
        </w:rPr>
      </w:pPr>
      <w:r>
        <w:rPr>
          <w:rFonts w:ascii="Arial" w:cs="Arial" w:eastAsia="Arial" w:hAnsi="Arial"/>
          <w:sz w:val="18"/>
          <w:szCs w:val="18"/>
          <w:color w:val="auto"/>
        </w:rPr>
        <w:t>On January 23, 2023, the Company announced the intention of its Board to initiate a process to evaluate certain strategic alternatives to maximize shareholder value, including a potential sale of the Company. Credit Suisse Securities (USA) LLC and Wells Fargo Securities, LLC have been retained as financial advisors with respect to this strategic alternatives process.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Performance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financial and operating performance for the three months ended March 31, 2023 included the following highlights:</w:t>
      </w:r>
    </w:p>
    <w:p>
      <w:pPr>
        <w:spacing w:after="0" w:line="225"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was $50.3 million ($0.39 per diluted share) for the three months ended March 31, 2023 compared with a net loss of $16.5 million for three months ended March 31, 2022. The primary components of the $66.8 million increase in net income include: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$131.6 million increase in crude oil, NGL and natural gas revenues due to a 209% increase in daily sales volumes resulting from the Company’s successful horizontal drilling program, partially offset by a 21% decrease in average realized commodity prices per Boe, excluding the effects of derivatives;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$69.5 million increase in the Company's net derivative gain as a result of its crude oil and natural gas commodity contracts entered into and the decrease of crude oil and natural gas prices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$64.1 million increase in DD&amp;A expense due to a 209% increase in daily sales volumes as a result of the Company’s successful horizontal drilling program and to a lesser extent, bolt-on acquisitions, in addition to a 54% increase in the DD&amp;A rate from $15.69 to $24.22 per Boe as a result of significant inflationary pressures on capital costs as well as bolt-on acquisitions;</w:t>
      </w:r>
    </w:p>
    <w:p>
      <w:pPr>
        <w:spacing w:after="0" w:line="18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$23.5 million increase in lease operating expenses related primarily to the increased well count and production from the Company’s successful horizontal drilling program, increased power and chemical costs, repair and maintenance costs and other inflationary pressures;</w:t>
      </w:r>
    </w:p>
    <w:p>
      <w:pPr>
        <w:spacing w:after="0" w:line="146"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$21.7 million increase in interest expense due to the issuance of two year 10.000% senior unsecured notes due in 2024 in February 2022 (“10.000% Senior Notes”) and 10.625% senior unsecured notes due in 2024 in November and December 2022 (“10.625% Senior Notes”), increased borrowings under the Credit Agreement and increased amortization of debt issuance costs and discounts;</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$14.8 million increase in the Company’s income tax expense due to the net income realized during the three months ended March 31, 2023 compared with the net loss during the three months ended March 31, 2022;</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$7.3 million increase in production and ad valorem taxes, primarily attributable to the 209% increase in daily sales volumes as a result of the Company’s successful horizontal drilling program partially offset by 23% higher production taxes on a dollar per Boe basis due to lower overall realized prices of 21%, excluding the effects of derivatives;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$2.0 million increase in exploration and abandonments expense primarily due to an increase in leasehold abandonments;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$562,000 increase in the Company’s general and administrative expenses primarily attributable to increased internal and external audit costs and legal expenses as a result of the growth of the Company.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three months ended March 31, 2023, average daily sales volumes totaled 37,222 Boe/d, compared with 12,052 Boe/d during the same period in 2022, an increase of 209%, due to the Company’s successful horizontal drilling program.</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Weighted average realized crude oil prices per Bbl, excluding the effects of derivatives, decreased during the three months ended March 31, 2023 to $76.07, compared with $96.15 for the same period in 2022. Weighted average NGL prices per Bbl decreased during the three months ended March 31, 2023 to $27.04, compared with $41.33 for the same period in 2022. Weighted average natural gas prices per Mcf decreased to $2.21 during the three months ended March 31, 2023, compared with $4.16 during the same period in 2022.</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provided by operating activities totaled $190.0 million for the three months ended March 31, 2023, compared with $49.9 million for the three months ended March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During the three months ended March 31, 2023, the Company incurred a total of $5.5 million in acquisition costs to acquire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bolt-on undeveloped acreage contiguous to its Flat Top and Signal Peak operating areas.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Credit Agreement Amendment and Borrowing Base Increase and Near-Term Notes Maturity. </w:t>
      </w:r>
      <w:r>
        <w:rPr>
          <w:rFonts w:ascii="Arial" w:cs="Arial" w:eastAsia="Arial" w:hAnsi="Arial"/>
          <w:sz w:val="16"/>
          <w:szCs w:val="16"/>
          <w:color w:val="auto"/>
        </w:rPr>
        <w:t>In March 2023, the Company entered into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Eighth Amendment to the Credit Agreement to, among other things, (i) increase the borrowing base to $700.0 million, (ii) add an aggregate elected commitments concept at an initial amount of $575.0 million, (iii) provide that the applicable margin shall be determined in reference to such aggregate elected commitments (as opposed to being determined in reference to the borrowing base before giving effect to the Credit Agreement Amendment), (iv) modify the permitted dividends and distributions conditions such that minimum availability under the credit facility must be 25% of such aggregate elected commitments (as opposed to the borrowing base before giving effect to the Credit Agreement Amendment), (v) permit quarterly dividends and distributions in an amount not to exceed $4.0 million provided that there is no default and that after giving effect thereto and any concurrent borrowing, the Company is in pro forma compliance with its financial covenants, (vi)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(vii) permit the redemption of Specified Additional Debt (defined in the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Credit Agreement) with the proceeds of Loans if pre-approved by all Lenders provided that there is no default and that after giving effect thereto, the Company is in pro forma compliance with its financial covenants and (viii) add Texas Capital Bank as a Lender.</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Failure to redeem or refinance the 10.000% Senior Notes due February 2024 on or before June 30, 2023, allocate a portion of our cash flow that will retire such 10.000% Senior Notes on or before November 30, 2023 or amend the terms of such 10.000% Senior Notes to extend the scheduled repayment thereof to no earlier than February 15, 2025 will result in an event of default under our Credit Agreement and an acceleration of the repayment of all amounts outstanding thereunder. We intend to (i) repay the 10.000% Senior Notes with additional borrowings under our Credit Agreement, cash flow from operations or, depending on market conditions, the proceeds of one or more equity or debt offerings or (ii) amend the terms of the 10.000% Senior Notes to extend the scheduled repayment thereof to no earlier than February 15, 2025. However, any one or more of these options may not be available to us, either on commercially attractive terms or at all. Hence, we cannot assure you that we will be able to achieve any of these results. In which case, we may be required to apply a significant portion of our cash flow from operations and/or proceeds from additional secured or unsecured borrowings for such purpose.</w:t>
      </w:r>
    </w:p>
    <w:p>
      <w:pPr>
        <w:spacing w:after="0" w:line="1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Dividends and dividend equivalents. </w:t>
      </w:r>
      <w:r>
        <w:rPr>
          <w:rFonts w:ascii="Arial" w:cs="Arial" w:eastAsia="Arial" w:hAnsi="Arial"/>
          <w:sz w:val="16"/>
          <w:szCs w:val="16"/>
          <w:color w:val="auto"/>
        </w:rPr>
        <w:t>In January 2023, the Board declared a quarterly dividend of $0.025 per share of common stock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will result in a total of $2.8 million in dividends to be paid on February 24, 2023. In addition, under the terms of the LTIP, the Company will pay a dividend equivalent per share to all vested stock option holders of $283,000 in February 2023 and accrued a dividend equivalent per share to all unvested stock option holders which is payable upon vesting of up to an additional $7,000, assuming no forfeitures. In addition, the Company accrued an additional combined $53,000 in dividends on the restricted stock issued to directors, management directors and certain employees that will be payable upon vesting.</w:t>
      </w:r>
    </w:p>
    <w:p>
      <w:pPr>
        <w:spacing w:after="0" w:line="161" w:lineRule="exact"/>
        <w:rPr>
          <w:sz w:val="20"/>
          <w:szCs w:val="20"/>
          <w:color w:val="auto"/>
        </w:rPr>
      </w:pPr>
    </w:p>
    <w:p>
      <w:pPr>
        <w:jc w:val="both"/>
        <w:ind w:firstLine="522"/>
        <w:spacing w:after="0" w:line="285" w:lineRule="auto"/>
        <w:rPr>
          <w:sz w:val="20"/>
          <w:szCs w:val="20"/>
          <w:color w:val="auto"/>
        </w:rPr>
      </w:pPr>
      <w:r>
        <w:rPr>
          <w:rFonts w:ascii="Arial" w:cs="Arial" w:eastAsia="Arial" w:hAnsi="Arial"/>
          <w:sz w:val="16"/>
          <w:szCs w:val="16"/>
          <w:b w:val="1"/>
          <w:bCs w:val="1"/>
          <w:i w:val="1"/>
          <w:iCs w:val="1"/>
          <w:color w:val="auto"/>
        </w:rPr>
        <w:t xml:space="preserve">Crude Oil and Natural Gas Industry Considerations. </w:t>
      </w:r>
      <w:r>
        <w:rPr>
          <w:rFonts w:ascii="Arial" w:cs="Arial" w:eastAsia="Arial" w:hAnsi="Arial"/>
          <w:sz w:val="16"/>
          <w:szCs w:val="16"/>
          <w:color w:val="auto"/>
        </w:rPr>
        <w:t>The COVID-19 pandemic resulted in a severe worldwide economic downturn, significantly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disrupting the demand for crude oil throughout the world, and created significant volatility, uncertainty and turmoil in the crude oil and natural gas industry. The decrease in demand for crude oil, combined with excess supply of crude oil and related products, resulted in crude oil prices declining significantly beginning in late February 2020. Since mid-2020, crude oil prices have improved, with demand steadily increasing despite the uncertainties surrounding the COVID-19 variants that have continued to inhibit a full global demand recovery. In addition, worldwide crude oil inventories are, from a historical perspective, very low and concerns exist with the ability of OPEC and other crude oil producing nations to meet forecasted crude oil demand growth in 2023, with many OPEC countries not able to produce at their OPEC agreed upon quota levels due to their lack of capital investments over the past few years in developing incremental crude oil supplies. Furthermore,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During October 2022 and April 2023, OPEC announced production cuts of 2 million and 1 million Bopd, respectively, starting in November 2022 and May 2023, respectively, related to these concerns and the uncertainty surrounding the global economy and future crude oil demand. However, as a result of current global supply and demand imbalances, crude oil and natural gas prices remain strong, although down from the prior quarter. In addition, the ongoing pandemic, combined with the Russia/Ukraine conflict, has resulted in global supply chain disruptions, which has led to significant cost inflation. Specifically, the Company’s 2023 capital program has been and continues to be impacted by higher inflation in steel, diesel, chemical prices and services, among other items.</w:t>
      </w:r>
    </w:p>
    <w:p>
      <w:pPr>
        <w:spacing w:after="0" w:line="395" w:lineRule="exact"/>
        <w:rPr>
          <w:sz w:val="20"/>
          <w:szCs w:val="20"/>
          <w:color w:val="auto"/>
        </w:rPr>
      </w:pPr>
    </w:p>
    <w:p>
      <w:pPr>
        <w:jc w:val="both"/>
        <w:ind w:firstLine="522"/>
        <w:spacing w:after="0" w:line="273" w:lineRule="auto"/>
        <w:rPr>
          <w:sz w:val="20"/>
          <w:szCs w:val="20"/>
          <w:color w:val="auto"/>
        </w:rPr>
      </w:pPr>
      <w:r>
        <w:rPr>
          <w:rFonts w:ascii="Arial" w:cs="Arial" w:eastAsia="Arial" w:hAnsi="Arial"/>
          <w:sz w:val="17"/>
          <w:szCs w:val="17"/>
          <w:color w:val="auto"/>
        </w:rPr>
        <w:t>Global crude oil price levels and inflationary pressures will ultimately depend on various factors that are beyond the Company’s control, such as (i) general economic conditions and increasing expectations that the world may be heading into a global recession, (ii) the ability of OPEC and other crude oil producing nations to manage the global crude oil supply, (iii) the impact of sanctions and import bans on production from Russia,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spacing w:after="0" w:line="17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financial instrument exposure. </w:t>
      </w:r>
      <w:r>
        <w:rPr>
          <w:rFonts w:ascii="Arial" w:cs="Arial" w:eastAsia="Arial" w:hAnsi="Arial"/>
          <w:sz w:val="18"/>
          <w:szCs w:val="18"/>
          <w:color w:val="auto"/>
        </w:rPr>
        <w:t>As of March 31, 2023, the Company was a party to the following open derivative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Remainder of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Crude Oil Price Swaps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822.0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58.43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53.43</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w w:val="98"/>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(MBbls)A</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1,370.0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51.50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fair value of the outstanding open derivative financial instruments as of March 31, 2023 was a net liability of $12.1 million which is included in current liabilities and noncurrent liabilities on the Company’s consolidated balance sheet as of March 31, 2023. During the three months ended March 31, 2023, the Company recognized a net derivative gain of $3.1 million, including a $5.3 million mark-to-market gain partially offset by $2.2 million in net monthly settlement payments.</w:t>
      </w:r>
    </w:p>
    <w:p>
      <w:pPr>
        <w:spacing w:after="0" w:line="187"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In April 2023, the Company entered into an additional deferred premium put option contract for 5,000 Bopd from January 2024 through September 2024 at a strike price of $56.15 per Bbl with deferred premiums of $5.00 per Bbl. After the effect of this new contract, the Company’s outstanding crude oil derivative contracts and the weighted average crude oil prices per barrel for those contracts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Remainder of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Crude Oil Price Swaps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822.0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58.43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53.43</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w w:val="98"/>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2,740.0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(Put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53.83</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 (Net of Premium)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48.83</w:t>
            </w:r>
          </w:p>
        </w:tc>
      </w:tr>
    </w:tbl>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Operations and Drilling Highlights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6160" w:type="dxa"/>
            <w:vAlign w:val="bottom"/>
            <w:gridSpan w:val="2"/>
          </w:tcPr>
          <w:p>
            <w:pPr>
              <w:ind w:left="660"/>
              <w:spacing w:after="0"/>
              <w:rPr>
                <w:sz w:val="20"/>
                <w:szCs w:val="20"/>
                <w:color w:val="auto"/>
              </w:rPr>
            </w:pPr>
            <w:r>
              <w:rPr>
                <w:rFonts w:ascii="Arial" w:cs="Arial" w:eastAsia="Arial" w:hAnsi="Arial"/>
                <w:sz w:val="18"/>
                <w:szCs w:val="18"/>
                <w:color w:val="auto"/>
                <w:w w:val="91"/>
              </w:rPr>
              <w:t>Average daily crude oil, NGL and natural gas sales volumes are as follows: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5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5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2023</w:t>
            </w:r>
          </w:p>
        </w:tc>
        <w:tc>
          <w:tcPr>
            <w:tcW w:w="560" w:type="dxa"/>
            <w:vAlign w:val="bottom"/>
          </w:tcPr>
          <w:p>
            <w:pPr>
              <w:spacing w:after="0"/>
              <w:rPr>
                <w:sz w:val="20"/>
                <w:szCs w:val="20"/>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31,507</w:t>
            </w:r>
          </w:p>
        </w:tc>
        <w:tc>
          <w:tcPr>
            <w:tcW w:w="56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NGL (Bbls)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3,280</w:t>
            </w:r>
          </w:p>
        </w:tc>
        <w:tc>
          <w:tcPr>
            <w:tcW w:w="56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14,611</w:t>
            </w:r>
          </w:p>
        </w:tc>
        <w:tc>
          <w:tcPr>
            <w:tcW w:w="560" w:type="dxa"/>
            <w:vAlign w:val="bottom"/>
          </w:tcPr>
          <w:p>
            <w:pPr>
              <w:spacing w:after="0"/>
              <w:rPr>
                <w:sz w:val="18"/>
                <w:szCs w:val="18"/>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Total (Boe)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37,222</w:t>
            </w:r>
          </w:p>
        </w:tc>
        <w:tc>
          <w:tcPr>
            <w:tcW w:w="560" w:type="dxa"/>
            <w:vAlign w:val="bottom"/>
          </w:tcPr>
          <w:p>
            <w:pPr>
              <w:spacing w:after="0"/>
              <w:rPr>
                <w:sz w:val="20"/>
                <w:szCs w:val="20"/>
                <w:color w:val="auto"/>
              </w:rPr>
            </w:pPr>
          </w:p>
        </w:tc>
      </w:tr>
      <w:tr>
        <w:trPr>
          <w:trHeight w:val="418"/>
        </w:trPr>
        <w:tc>
          <w:tcPr>
            <w:tcW w:w="11240" w:type="dxa"/>
            <w:vAlign w:val="bottom"/>
            <w:gridSpan w:val="13"/>
          </w:tcPr>
          <w:p>
            <w:pPr>
              <w:ind w:left="520"/>
              <w:spacing w:after="0"/>
              <w:rPr>
                <w:sz w:val="20"/>
                <w:szCs w:val="20"/>
                <w:color w:val="auto"/>
              </w:rPr>
            </w:pPr>
            <w:r>
              <w:rPr>
                <w:rFonts w:ascii="Arial" w:cs="Arial" w:eastAsia="Arial" w:hAnsi="Arial"/>
                <w:sz w:val="18"/>
                <w:szCs w:val="18"/>
                <w:color w:val="auto"/>
              </w:rPr>
              <w:t>The Company’s liquids production was 94 percent of total production on a Boe basis for the three months ended March 31, 2023.</w:t>
            </w:r>
          </w:p>
        </w:tc>
      </w:tr>
      <w:tr>
        <w:trPr>
          <w:trHeight w:val="432"/>
        </w:trPr>
        <w:tc>
          <w:tcPr>
            <w:tcW w:w="6160" w:type="dxa"/>
            <w:vAlign w:val="bottom"/>
            <w:gridSpan w:val="2"/>
          </w:tcPr>
          <w:p>
            <w:pPr>
              <w:ind w:left="520"/>
              <w:spacing w:after="0"/>
              <w:rPr>
                <w:sz w:val="20"/>
                <w:szCs w:val="20"/>
                <w:color w:val="auto"/>
              </w:rPr>
            </w:pPr>
            <w:r>
              <w:rPr>
                <w:rFonts w:ascii="Arial" w:cs="Arial" w:eastAsia="Arial" w:hAnsi="Arial"/>
                <w:sz w:val="18"/>
                <w:szCs w:val="18"/>
                <w:color w:val="auto"/>
              </w:rPr>
              <w:t>Costs incurred are as follows (in thousands):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5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5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2023</w:t>
            </w:r>
          </w:p>
        </w:tc>
        <w:tc>
          <w:tcPr>
            <w:tcW w:w="560" w:type="dxa"/>
            <w:vAlign w:val="bottom"/>
          </w:tcPr>
          <w:p>
            <w:pPr>
              <w:spacing w:after="0"/>
              <w:rPr>
                <w:sz w:val="20"/>
                <w:szCs w:val="20"/>
                <w:color w:val="auto"/>
              </w:rPr>
            </w:pPr>
          </w:p>
        </w:tc>
      </w:tr>
      <w:tr>
        <w:trPr>
          <w:trHeight w:val="209"/>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Unproved property acquisition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left="97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5,463</w:t>
            </w:r>
          </w:p>
        </w:tc>
        <w:tc>
          <w:tcPr>
            <w:tcW w:w="56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Proved acquisition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0"/>
        </w:trPr>
        <w:tc>
          <w:tcPr>
            <w:tcW w:w="6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5,463</w:t>
            </w:r>
          </w:p>
        </w:tc>
        <w:tc>
          <w:tcPr>
            <w:tcW w:w="56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Development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185,864</w:t>
            </w:r>
          </w:p>
        </w:tc>
        <w:tc>
          <w:tcPr>
            <w:tcW w:w="560" w:type="dxa"/>
            <w:vAlign w:val="bottom"/>
          </w:tcPr>
          <w:p>
            <w:pPr>
              <w:spacing w:after="0"/>
              <w:rPr>
                <w:sz w:val="18"/>
                <w:szCs w:val="18"/>
                <w:color w:val="auto"/>
              </w:rPr>
            </w:pPr>
          </w:p>
        </w:tc>
      </w:tr>
      <w:tr>
        <w:trPr>
          <w:trHeight w:val="216"/>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193,239</w:t>
            </w:r>
          </w:p>
        </w:tc>
        <w:tc>
          <w:tcPr>
            <w:tcW w:w="560" w:type="dxa"/>
            <w:vAlign w:val="bottom"/>
          </w:tcPr>
          <w:p>
            <w:pPr>
              <w:spacing w:after="0"/>
              <w:rPr>
                <w:sz w:val="18"/>
                <w:szCs w:val="18"/>
                <w:color w:val="auto"/>
              </w:rPr>
            </w:pPr>
          </w:p>
        </w:tc>
      </w:tr>
      <w:tr>
        <w:trPr>
          <w:trHeight w:val="210"/>
        </w:trPr>
        <w:tc>
          <w:tcPr>
            <w:tcW w:w="6160" w:type="dxa"/>
            <w:vAlign w:val="bottom"/>
            <w:gridSpan w:val="2"/>
          </w:tcPr>
          <w:p>
            <w:pPr>
              <w:ind w:left="340"/>
              <w:spacing w:after="0"/>
              <w:rPr>
                <w:sz w:val="20"/>
                <w:szCs w:val="20"/>
                <w:color w:val="auto"/>
              </w:rPr>
            </w:pPr>
            <w:r>
              <w:rPr>
                <w:rFonts w:ascii="Arial" w:cs="Arial" w:eastAsia="Arial" w:hAnsi="Arial"/>
                <w:sz w:val="18"/>
                <w:szCs w:val="18"/>
                <w:color w:val="auto"/>
              </w:rPr>
              <w:t>Total finding and development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384,566</w:t>
            </w:r>
          </w:p>
        </w:tc>
        <w:tc>
          <w:tcPr>
            <w:tcW w:w="560" w:type="dxa"/>
            <w:vAlign w:val="bottom"/>
          </w:tcPr>
          <w:p>
            <w:pPr>
              <w:spacing w:after="0"/>
              <w:rPr>
                <w:sz w:val="18"/>
                <w:szCs w:val="18"/>
                <w:color w:val="auto"/>
              </w:rPr>
            </w:pPr>
          </w:p>
        </w:tc>
      </w:tr>
      <w:tr>
        <w:trPr>
          <w:trHeight w:val="216"/>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560" w:type="dxa"/>
            <w:vAlign w:val="bottom"/>
          </w:tcPr>
          <w:p>
            <w:pPr>
              <w:spacing w:after="0"/>
              <w:rPr>
                <w:sz w:val="18"/>
                <w:szCs w:val="18"/>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Total costs incurred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384,709</w:t>
            </w:r>
          </w:p>
        </w:tc>
        <w:tc>
          <w:tcPr>
            <w:tcW w:w="56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8"/>
        </w:trPr>
        <w:tc>
          <w:tcPr>
            <w:tcW w:w="11240" w:type="dxa"/>
            <w:vAlign w:val="bottom"/>
            <w:gridSpan w:val="13"/>
          </w:tcPr>
          <w:p>
            <w:pPr>
              <w:ind w:left="660"/>
              <w:spacing w:after="0"/>
              <w:rPr>
                <w:sz w:val="20"/>
                <w:szCs w:val="20"/>
                <w:color w:val="auto"/>
              </w:rPr>
            </w:pPr>
            <w:r>
              <w:rPr>
                <w:rFonts w:ascii="Arial" w:cs="Arial" w:eastAsia="Arial" w:hAnsi="Arial"/>
                <w:sz w:val="18"/>
                <w:szCs w:val="18"/>
                <w:color w:val="auto"/>
                <w:w w:val="95"/>
              </w:rPr>
              <w:t>The following table sets forth the total number of horizontal producing wells drilled and completed during the three months ended March 31,</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5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gridSpan w:val="3"/>
          </w:tcPr>
          <w:p>
            <w:pPr>
              <w:ind w:left="120"/>
              <w:spacing w:after="0"/>
              <w:rPr>
                <w:sz w:val="20"/>
                <w:szCs w:val="20"/>
                <w:color w:val="auto"/>
              </w:rPr>
            </w:pPr>
            <w:r>
              <w:rPr>
                <w:rFonts w:ascii="Arial" w:cs="Arial" w:eastAsia="Arial" w:hAnsi="Arial"/>
                <w:sz w:val="18"/>
                <w:szCs w:val="18"/>
                <w:b w:val="1"/>
                <w:bCs w:val="1"/>
                <w:color w:val="auto"/>
              </w:rPr>
              <w:t>Drilled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6"/>
          </w:tcPr>
          <w:p>
            <w:pPr>
              <w:jc w:val="right"/>
              <w:ind w:right="1500"/>
              <w:spacing w:after="0"/>
              <w:rPr>
                <w:sz w:val="20"/>
                <w:szCs w:val="20"/>
                <w:color w:val="auto"/>
              </w:rPr>
            </w:pPr>
            <w:r>
              <w:rPr>
                <w:rFonts w:ascii="Arial" w:cs="Arial" w:eastAsia="Arial" w:hAnsi="Arial"/>
                <w:sz w:val="18"/>
                <w:szCs w:val="18"/>
                <w:b w:val="1"/>
                <w:bCs w:val="1"/>
                <w:color w:val="auto"/>
              </w:rPr>
              <w:t>Completed</w:t>
            </w:r>
          </w:p>
        </w:tc>
      </w:tr>
      <w:tr>
        <w:trPr>
          <w:trHeight w:val="210"/>
        </w:trPr>
        <w:tc>
          <w:tcPr>
            <w:tcW w:w="524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99"/>
              </w:rPr>
              <w:t>Gross</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Gross</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560" w:type="dxa"/>
            <w:vAlign w:val="bottom"/>
          </w:tcPr>
          <w:p>
            <w:pPr>
              <w:spacing w:after="0"/>
              <w:rPr>
                <w:sz w:val="18"/>
                <w:szCs w:val="18"/>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Flat Top area</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320" w:type="dxa"/>
            <w:vAlign w:val="bottom"/>
            <w:gridSpan w:val="3"/>
            <w:shd w:val="clear" w:color="auto" w:fill="CCEEFF"/>
          </w:tcPr>
          <w:p>
            <w:pPr>
              <w:jc w:val="center"/>
              <w:ind w:left="970"/>
              <w:spacing w:after="0"/>
              <w:rPr>
                <w:sz w:val="20"/>
                <w:szCs w:val="20"/>
                <w:color w:val="auto"/>
              </w:rPr>
            </w:pPr>
            <w:r>
              <w:rPr>
                <w:rFonts w:ascii="Arial" w:cs="Arial" w:eastAsia="Arial" w:hAnsi="Arial"/>
                <w:sz w:val="18"/>
                <w:szCs w:val="18"/>
                <w:color w:val="auto"/>
                <w:w w:val="89"/>
              </w:rPr>
              <w:t>21</w:t>
            </w:r>
          </w:p>
        </w:tc>
        <w:tc>
          <w:tcPr>
            <w:tcW w:w="1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Signal Peak area</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0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79"/>
              </w:rPr>
              <w:t>11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8"/>
                <w:szCs w:val="18"/>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89"/>
              </w:rPr>
              <w:t>32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560" w:type="dxa"/>
            <w:vAlign w:val="bottom"/>
          </w:tcPr>
          <w:p>
            <w:pPr>
              <w:spacing w:after="0"/>
              <w:rPr>
                <w:sz w:val="21"/>
                <w:szCs w:val="21"/>
                <w:color w:val="auto"/>
              </w:rPr>
            </w:pPr>
          </w:p>
        </w:tc>
      </w:tr>
      <w:tr>
        <w:trPr>
          <w:trHeight w:val="413"/>
        </w:trPr>
        <w:tc>
          <w:tcPr>
            <w:tcW w:w="5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30</w:t>
            </w:r>
          </w:p>
        </w:tc>
      </w:tr>
      <w:tr>
        <w:trPr>
          <w:trHeight w:val="115"/>
        </w:trPr>
        <w:tc>
          <w:tcPr>
            <w:tcW w:w="5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4" w:name="page35"/>
    <w:bookmarkEnd w:id="34"/>
    <w:p>
      <w:pPr>
        <w:jc w:val="both"/>
        <w:ind w:firstLine="522"/>
        <w:spacing w:after="0" w:line="255" w:lineRule="auto"/>
        <w:rPr>
          <w:sz w:val="20"/>
          <w:szCs w:val="20"/>
          <w:color w:val="auto"/>
        </w:rPr>
      </w:pPr>
      <w:r>
        <w:rPr>
          <w:rFonts w:ascii="Arial" w:cs="Arial" w:eastAsia="Arial" w:hAnsi="Arial"/>
          <w:sz w:val="18"/>
          <w:szCs w:val="18"/>
          <w:color w:val="auto"/>
        </w:rPr>
        <w:t>As of March 31, 2023, HighPeak Energy was developing its properties using five (5) drilling rigs and four (4) frac crews and with the recent downturn in commodity prices and threat of an extensive recession, now expects to average two (2) drilling rigs and two (2) frac crews beginning in June 2023 through the remainder of 2023. However, the scope, duration and magnitude of the direct and indirect effects of the COVID-19 pandemic, the war between Russia and Ukraine and the production cuts announced by OPEC are continuing to evolve and in ways that are difficult or impossible to anticipate. Given the dynamic nature of this situation, the Company is maintaining flexibility in its capital plan and will continue to evaluate drilling and completion activity on an economic basis, with future activity levels assessed monthly.</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March 31, 2023, the Company successfully completed and placed on production twenty-one (21) gross (15.0 net) horizontal wells in the Flat Top area and eleven (11) gross (10.8 net) horizontal wells in the Signal Peak area. The Company had forty-nine (49) gross (46.4 net) wells that had been drilled and were in various stages of completion as of March 31, 2023, thirty-nine (39) gross (36.4 net) of which are in the Flat Top area, and ten (10) gross (10.0 net) of which are in the Signal Peak area, including one (1) gross (1.0 net) salt-water disposal well. In addition, as of March 31, 2023, the Company was in the process of drilling ten (10) gross (9.9 net) horizontal wells in the Flat Top area and five (5) gross (5.0 net) horizontal wells in the Signal Peak area.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2023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Crude Oil, NGL and natural gas revenues.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ind w:left="660"/>
              <w:spacing w:after="0"/>
              <w:rPr>
                <w:sz w:val="20"/>
                <w:szCs w:val="20"/>
                <w:color w:val="auto"/>
              </w:rPr>
            </w:pPr>
            <w:r>
              <w:rPr>
                <w:rFonts w:ascii="Arial" w:cs="Arial" w:eastAsia="Arial" w:hAnsi="Arial"/>
                <w:sz w:val="18"/>
                <w:szCs w:val="18"/>
                <w:color w:val="auto"/>
              </w:rPr>
              <w:t>Average daily sales volumes are as follows: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320" w:type="dxa"/>
            <w:vAlign w:val="bottom"/>
          </w:tcPr>
          <w:p>
            <w:pPr>
              <w:spacing w:after="0"/>
              <w:rPr>
                <w:sz w:val="24"/>
                <w:szCs w:val="24"/>
                <w:color w:val="auto"/>
              </w:rPr>
            </w:pPr>
          </w:p>
        </w:tc>
        <w:tc>
          <w:tcPr>
            <w:tcW w:w="258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93"/>
              </w:rPr>
              <w:t>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31,507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10,047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NGL (Bbls)</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14,611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Total (Boe)</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37,222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12,052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The increase in average daily Boe sales volumes for the three months ended March 31, 2023, compared with the same period in 2022 was primarily due to the Company’s successful horizontal drilling program. Increases in production were partially offset due to unexpected downtime associated with a winter weather event, a fire at a production facility and reduced third party gas takeaway during the period.</w:t>
      </w:r>
    </w:p>
    <w:p>
      <w:pPr>
        <w:spacing w:after="0" w:line="184" w:lineRule="exact"/>
        <w:rPr>
          <w:sz w:val="20"/>
          <w:szCs w:val="20"/>
          <w:color w:val="auto"/>
        </w:rPr>
      </w:pPr>
    </w:p>
    <w:p>
      <w:pPr>
        <w:jc w:val="both"/>
        <w:ind w:right="20" w:firstLine="522"/>
        <w:spacing w:after="0" w:line="277" w:lineRule="auto"/>
        <w:rPr>
          <w:sz w:val="20"/>
          <w:szCs w:val="20"/>
          <w:color w:val="auto"/>
        </w:rPr>
      </w:pPr>
      <w:r>
        <w:rPr>
          <w:rFonts w:ascii="Arial" w:cs="Arial" w:eastAsia="Arial" w:hAnsi="Arial"/>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Crude Oil per Bbl</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76.07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NGL per Bbl</w:t>
            </w:r>
          </w:p>
        </w:tc>
        <w:tc>
          <w:tcPr>
            <w:tcW w:w="2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27.04</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Natural Gas per Mcf</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Total per Boe</w:t>
            </w:r>
          </w:p>
        </w:tc>
        <w:tc>
          <w:tcPr>
            <w:tcW w:w="2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66.80</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85.03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and natural gas production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Crude oil and natural gas production costs in total and per Boe are as follows (in thousands, except percentages and per Boe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natural gas production costs</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32,942</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9,446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w w:val="92"/>
              </w:rPr>
              <w:t>Crude oil and natural gas production costs per Boe (excluding expense workovers)</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Workover expense</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22"/>
        <w:spacing w:after="0" w:line="286" w:lineRule="auto"/>
        <w:rPr>
          <w:sz w:val="20"/>
          <w:szCs w:val="20"/>
          <w:color w:val="auto"/>
        </w:rPr>
      </w:pPr>
      <w:r>
        <w:rPr>
          <w:rFonts w:ascii="Arial" w:cs="Arial" w:eastAsia="Arial" w:hAnsi="Arial"/>
          <w:sz w:val="16"/>
          <w:szCs w:val="16"/>
          <w:color w:val="auto"/>
        </w:rPr>
        <w:t>The increase in crude oil and natural gas production costs can primarily be attributed to the Company’s horizontal drilling program drilling and/or completing a significant number of newly completed producing wells, increased treating costs and expense workover costs. The decrease in crude oil and natural gas production costs per Boe were minimal during the three months ended March 31, 2023 compared with the same period in 2022. Our crude oil production in the first quarter of 2023 was negatively impacted by (i) a weather event that disrupted a considerable amount of production for a short time,</w:t>
      </w:r>
    </w:p>
    <w:p>
      <w:pPr>
        <w:spacing w:after="0" w:line="1" w:lineRule="exact"/>
        <w:rPr>
          <w:sz w:val="20"/>
          <w:szCs w:val="20"/>
          <w:color w:val="auto"/>
        </w:rPr>
      </w:pPr>
    </w:p>
    <w:p>
      <w:pPr>
        <w:jc w:val="both"/>
        <w:ind w:firstLine="8"/>
        <w:spacing w:after="0" w:line="285" w:lineRule="auto"/>
        <w:tabs>
          <w:tab w:leader="none" w:pos="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fire that shut-in a considerable amount of production for a short time and (iii) temporarily shutting in a considerable amount of production periodically for offset completion operations. The issues described in (i) and (ii) have been resolved and do not continue to impact our crude oil production. In addition, a significant portion of natural gas production in our Flat Top operating area was negatively impacted due to the inability of a new natural gas plant to take all of our volumes since coming on line in December 2022. This issue is expected to be resolved by late May or early June 2023. These first quarter production issues not only curtailed Boe production during the quarter, but they also all increased the costs to the Company. The increase in workover expenses can be attributed to more well work being performed, most significantly, the replacement of tubing strings on two of the Company’s salt-water disposal wells, pump downsizes, and other well work that is being performed to reestablish production on legacy vertical wells that have gone down for one reason or another. We anticipate the operating costs per Boe and workover expenses per Boe to decrease beginning in the second quarter of 2023. Significant drivers to this decrease are associated with (i) reduced treating costs by connecting wells in the Southeast portion of Flat Top to a new third party facility, (ii) increasing the operational capacity of the natural gas plant taking our Flat Top natural gas production which should increase our natural gas sales going forward, (iii) returning production back on line that was off line during the three months ended March 31, 2023 related to offset frac operations, weather and fire events that shut-in production for a temporary period of time and related costs, and (iv) reduced workover expense.</w:t>
      </w:r>
    </w:p>
    <w:p>
      <w:pPr>
        <w:sectPr>
          <w:pgSz w:w="11900" w:h="16838" w:orient="portrait"/>
          <w:cols w:equalWidth="0" w:num="1">
            <w:col w:w="11240"/>
          </w:cols>
          <w:pgMar w:left="320" w:top="584" w:right="339" w:bottom="0" w:gutter="0" w:footer="0" w:header="0"/>
        </w:sectPr>
      </w:pPr>
    </w:p>
    <w:bookmarkStart w:id="35" w:name="page36"/>
    <w:bookmarkEnd w:id="35"/>
    <w:p>
      <w:pPr>
        <w:ind w:left="99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Production and ad valorem taxes are as follows (in thousands, except percentages):</w:t>
      </w:r>
    </w:p>
    <w:p>
      <w:pPr>
        <w:spacing w:after="0" w:line="221"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2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12,297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ind w:left="660"/>
              <w:spacing w:after="0"/>
              <w:rPr>
                <w:sz w:val="20"/>
                <w:szCs w:val="20"/>
                <w:color w:val="auto"/>
              </w:rPr>
            </w:pPr>
            <w:r>
              <w:rPr>
                <w:rFonts w:ascii="Arial" w:cs="Arial" w:eastAsia="Arial" w:hAnsi="Arial"/>
                <w:sz w:val="18"/>
                <w:szCs w:val="18"/>
                <w:color w:val="auto"/>
              </w:rPr>
              <w:t>Production and ad valorem taxes per Boe are as follows: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production taxes per Boe for the three months ended March 31, 2023, compared with the same period in 2022, was primarily due to the 21% decrease in realized prices.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Exploration and abandonments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Exploration and abandonment expense details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Abandoned leasehold costs</w:t>
            </w:r>
          </w:p>
        </w:tc>
        <w:tc>
          <w:tcPr>
            <w:tcW w:w="960" w:type="dxa"/>
            <w:vAlign w:val="bottom"/>
            <w:gridSpan w:val="2"/>
            <w:shd w:val="clear" w:color="auto" w:fill="CCEEFF"/>
          </w:tcPr>
          <w:p>
            <w:pPr>
              <w:jc w:val="right"/>
              <w:ind w:right="79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Geologic and geophysical personnel costs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Geologic and geophysical data costs</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Exploration and abandonments expense</w:t>
            </w:r>
          </w:p>
        </w:tc>
        <w:tc>
          <w:tcPr>
            <w:tcW w:w="96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11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22"/>
        <w:spacing w:after="0" w:line="301" w:lineRule="auto"/>
        <w:rPr>
          <w:sz w:val="20"/>
          <w:szCs w:val="20"/>
          <w:color w:val="auto"/>
        </w:rPr>
      </w:pPr>
      <w:r>
        <w:rPr>
          <w:rFonts w:ascii="Arial" w:cs="Arial" w:eastAsia="Arial" w:hAnsi="Arial"/>
          <w:sz w:val="16"/>
          <w:szCs w:val="16"/>
          <w:color w:val="auto"/>
        </w:rPr>
        <w:t>Exploration and abandonment costs during the three months ended March 31, 2023 increased primarily due to $1.9 million in abandoned leasehold costs related to undeveloped acreage that was not in an area where the Company had current plans to drill and thus the leases were allowed to expire. The Company remains committed to maintaining as much of its undeveloped acreage leasehold position as possible, but from time to time, certain acreage is not able to be extended at reasonable prices and we are not able to get a drilling rig in the area to drill in time to save the leases for a multitude of reasons.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DD&amp;A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DD&amp;A expense and DD&amp;A expense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81,131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17,024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DD&amp;A expense per Boe</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24.22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DD&amp;A is primarily due to the increased production associated with our successful horizontal drilling program and the increase in rate can be attributed to significant inflationary pressures on capital costs over the past year or so as well as bolt-on acquisitions.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 and general and administrative expense per Boe as well as stock-based compensation expense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2,502</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 expense per Boe</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4,054</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general and administrative expense for the three months ended March 31, 2023 is primarily as a result of adding new employees and increased salaries and benefits related to the growth of the Company in addition to higher audit, tax and internal audit costs related to the growth of the Company. The decrease in the rate per Boe is the result of economies of scale and efficiencies gained as we bring additional wells on production due to our successful horizontal drilling program.</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63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Interest expense.</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Credit Agreement</w:t>
            </w:r>
          </w:p>
        </w:tc>
        <w:tc>
          <w:tcPr>
            <w:tcW w:w="920" w:type="dxa"/>
            <w:vAlign w:val="bottom"/>
            <w:gridSpan w:val="2"/>
            <w:shd w:val="clear" w:color="auto" w:fill="CCEEFF"/>
          </w:tcPr>
          <w:p>
            <w:pPr>
              <w:jc w:val="right"/>
              <w:ind w:right="75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7,748</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Interest expense on 10.625% Senior Notes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6,641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10.000% Senior Notes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920" w:type="dxa"/>
            <w:vAlign w:val="bottom"/>
            <w:gridSpan w:val="2"/>
          </w:tcPr>
          <w:p>
            <w:pPr>
              <w:jc w:val="right"/>
              <w:ind w:right="75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26,972</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5,252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interest expense can be attributed to the fact that we have continued to increase our borrowings under our Credit Agreement, and we issued $225.0 million of 10.000% Senior Notes in February 2022 and $225.0 million and $25.0 million of 10.625% Senior Notes in November and December 2022, respectively, in support of our capital drilling program.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Derivative gain (loss), net.</w:t>
            </w: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2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21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5,314</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Cash payments on settled derivative instruments, net</w:t>
            </w:r>
          </w:p>
        </w:tc>
        <w:tc>
          <w:tcPr>
            <w:tcW w:w="1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(2,194)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21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3,120</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22"/>
        <w:spacing w:after="0" w:line="291" w:lineRule="auto"/>
        <w:rPr>
          <w:sz w:val="20"/>
          <w:szCs w:val="20"/>
          <w:color w:val="auto"/>
        </w:rPr>
      </w:pPr>
      <w:r>
        <w:rPr>
          <w:rFonts w:ascii="Arial" w:cs="Arial" w:eastAsia="Arial" w:hAnsi="Arial"/>
          <w:sz w:val="16"/>
          <w:szCs w:val="16"/>
          <w:color w:val="auto"/>
        </w:rPr>
        <w:t>The Company primarily utilizes commodity swap contracts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Credit Agreement and the indentures governing the Company’s 10.000% Senior Notes and 10.625% Senior Notes require the Company to hedge certain quantities of its projected crude oil production which in the case of the Credit Agreement, if its ratio of debt to EBITDAX is greater than a certain threshold. The Company may also, from time to time, utilize interest rate contracts to reduce the effect of interest rate volatility on the Company’s indebtedness. The above mark-to-market loss and cash settlements relate to crude oil derivative swap contracts. The deferred premium put options entered into by the Company begin settling during the second quarter of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Income tax expense.</w:t>
            </w:r>
          </w:p>
        </w:tc>
        <w:tc>
          <w:tcPr>
            <w:tcW w:w="2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96"/>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9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14,507</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change in income tax expense (benefit) during the three months ended March 31, 2023, compared with the same period in 2022, was due to the Company realizing net income during the three months ended March 31, 2023 compared a net loss in the same period in 2022. The effective income tax rate differs from the statutory rate primarily due to a revision in the deferred tax asset related to certain stock-based compensation and permanent differences between GAAP income and taxable income during the three months ended March 31, 2022. See Note 13 of Notes to Consolidated Financial Statements included in "Item 1. Condensed Consolidated Financial Statements (Unaudited)" for additional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Liquidity</w:t>
      </w:r>
      <w:r>
        <w:rPr>
          <w:rFonts w:ascii="Arial" w:cs="Arial" w:eastAsia="Arial" w:hAnsi="Arial"/>
          <w:sz w:val="16"/>
          <w:szCs w:val="16"/>
          <w:color w:val="auto"/>
        </w:rPr>
        <w:t>. The Company’s primary sources of short-term liquidity are (i) cash and cash equivalents, (ii) net cash provided by operating activities,</w:t>
      </w:r>
    </w:p>
    <w:p>
      <w:pPr>
        <w:spacing w:after="0" w:line="46" w:lineRule="exact"/>
        <w:rPr>
          <w:sz w:val="20"/>
          <w:szCs w:val="20"/>
          <w:color w:val="auto"/>
        </w:rPr>
      </w:pPr>
    </w:p>
    <w:p>
      <w:pPr>
        <w:ind w:firstLine="8"/>
        <w:spacing w:after="0" w:line="260" w:lineRule="auto"/>
        <w:tabs>
          <w:tab w:leader="none" w:pos="3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unused borrowing capacity under the Credit Agreement, (iv) on an opportunistic basis, other issuances of debt or equity securities and (v) sales of nonstrategic assets.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Company’s short-term and long-term liquidity requirements consist primarily of (i) capital expenditures, (ii) near-term debt maturities, including our 10.000% Senior Notes due February 2024, Credit Agreement due June 2024 and 10.625% Senior Notes due November 2024, (iii) payments of other contractual obligations , (iv) acquisitions of crude oil and natural gas properties and (v) working capital obligations. Funding for these cash needs may be provided by any combination of the Company’s sources of liquidity. Although the Company expects its sources of funding will be adequate to fund its 2023 planned capital expenditures and provide adequate liquidity to fund other needs, no assurance can be given that such funding sources will be adequate to meet the Company’s future needs. In particular, we intend to repay the 10.000% Senior Notes with additional borrowings under our Credit Agreement, cash flow from operations and, depending on market conditions, one or more capital markets offerings. We intend to monitor conditions in the equity and debt capital markets and may determine to issue common stock or long-term debt securities, including potentially in the near term, to repay our 10.000% Senior Notes and/or our 10.625% Senior Notes and for general corporate purposes. However, any one or more of these options may not be available to us, either on commercially attractive terms or at all. Although we may seek an increase in commitments under our Credit Agreement from existing and new lenders, we cannot assure you that we will be able to obtain an increase in our aggregate commitments thereunder sufficient to enable us to redeem our outstanding 10.000% Senior Notes or 10.625% Senior Notes solely from borrowings under our Credit Agreement. In which case, we may be required to apply a significant portion of our cash flow from operations and/or proceeds from additional secured or unsecured borrowings for such purpose.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2023 capital budget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March 2023, the Company determined to reduce its previously reported capital budget for 2023 in connection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transition from a six-rig drilling program to a two-rig drilling program. The Company currently expects total capital expenditures for 2023 to be in the range of approximately $900.0 to $975.0 million for drilling, completion, facilities and equipping crude oil wells plus $50 to $60 million for field infrastructure buildout and other costs. The 2023 reduced capital budget excludes acquisitions, asset retirement obligations, geological and geophysical general and administrative expenses and corporate facilities. HighPeak Energy expects to fund its forecasted capital expenditures with cash on its</w:t>
      </w:r>
    </w:p>
    <w:p>
      <w:pPr>
        <w:sectPr>
          <w:pgSz w:w="11900" w:h="16838" w:orient="portrait"/>
          <w:cols w:equalWidth="0" w:num="1">
            <w:col w:w="11240"/>
          </w:cols>
          <w:pgMar w:left="320" w:top="584" w:right="339" w:bottom="0" w:gutter="0" w:footer="0" w:header="0"/>
        </w:sectPr>
      </w:pPr>
    </w:p>
    <w:bookmarkStart w:id="38" w:name="page39"/>
    <w:bookmarkEnd w:id="38"/>
    <w:p>
      <w:pPr>
        <w:spacing w:after="0" w:line="308" w:lineRule="auto"/>
        <w:rPr>
          <w:sz w:val="20"/>
          <w:szCs w:val="20"/>
          <w:color w:val="auto"/>
        </w:rPr>
      </w:pPr>
      <w:r>
        <w:rPr>
          <w:rFonts w:ascii="Arial" w:cs="Arial" w:eastAsia="Arial" w:hAnsi="Arial"/>
          <w:sz w:val="17"/>
          <w:szCs w:val="17"/>
          <w:color w:val="auto"/>
        </w:rPr>
        <w:t>consolidated balance sheet, cash generated by operations, through borrowings under the Credit Agreement and potential future debt or equity offerings. The Company’s capital expenditures for the three months ended March 31, 2023 were $379.1 million, excluding acquisitions.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both"/>
        <w:ind w:firstLine="522"/>
        <w:spacing w:after="0" w:line="269" w:lineRule="auto"/>
        <w:rPr>
          <w:sz w:val="20"/>
          <w:szCs w:val="20"/>
          <w:color w:val="auto"/>
        </w:rPr>
      </w:pPr>
      <w:r>
        <w:rPr>
          <w:rFonts w:ascii="Arial" w:cs="Arial" w:eastAsia="Arial" w:hAnsi="Arial"/>
          <w:sz w:val="17"/>
          <w:szCs w:val="17"/>
          <w:color w:val="auto"/>
        </w:rPr>
        <w:t>However, there are many factors and consequences beyond the Company’s control impacting our capital budget, such as policies of the Biden Administration, economic downturn or potential recession, geo-political risks and additional actions by businesses, OPEC and other cooperating countries, and governments in response to the COVID-19 pandemic, that may have an impact on the Company’s future results and drilling plans. For additional information on the risks, see “Part I, Item 1A. Risk Factors” in the Company’s Annual Report. In addition, as noted above, the Company’s ability to consummate a capital markets financing transaction to fund our capital budget or the repayment of our current debt on commercially attractive terms or at all is subject to volatile market conditions and other factors. In the event such financing is accordingly unable to be completed on commercially attractive terms or at all, the Company may be required to allocate a portion of its cash flow from operations for the repayment of its 10.000% Senior Notes when they mature in February of 2024 and 10.625% Senior Notes when they mature in November of 2024. Further, we intend to monitor conditions in the equity and debt capital markets and may determine to issue common stock or long-term debt securities, including potentially in the near term, to repay our 10.000% Senior Notes and/or our 10.625% Senior Notes and for general corporate purposes. Given the dynamic nature of this situation, the Company is maintaining flexibility in its capital plan and will continue to evaluate drilling and completion activity on an economic basis, with future activity levels assessed monthly.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r>
        <w:rPr>
          <w:rFonts w:ascii="Arial" w:cs="Arial" w:eastAsia="Arial" w:hAnsi="Arial"/>
          <w:sz w:val="18"/>
          <w:szCs w:val="18"/>
          <w:color w:val="auto"/>
        </w:rPr>
        <w:t>. 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190,006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140,059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(319,522)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(150,899)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(168,623)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146,548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increase in net cash flow provided by operating activities for the three months ended March 31, 2023,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2022, was primarily related to higher revenues associated with increased production volumes as a result of our successful horizontal drilling program, partially offset by decreased realized prices.</w:t>
      </w:r>
    </w:p>
    <w:p>
      <w:pPr>
        <w:spacing w:after="0" w:line="184" w:lineRule="exact"/>
        <w:rPr>
          <w:sz w:val="20"/>
          <w:szCs w:val="20"/>
          <w:color w:val="auto"/>
        </w:rPr>
      </w:pPr>
    </w:p>
    <w:p>
      <w:pPr>
        <w:jc w:val="both"/>
        <w:ind w:firstLine="522"/>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increase in net cash used in investing activities for the three months ended March 31, 2023, compared with 2022,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increases in additions to crude oil and natural gas properties compared with the three months ended March 31, 2022, when the Company had four (4) rigs and two (2) frac crews running compared with an average of five (5) rigs and four (4) frac crews running during the three months ended March 31, 2023, partially offset by decreases in cash crude oil and natural gas property acquisition costs.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Company's significant financing activities are as follows: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2023: The Company borrowed $150.0 million on the Credit Agreement and received $150,000 in proceeds from the exercise of stock options and warrants partially offset by the payment of dividends and dividend equivalents of $2.8 million and $282,000, respectively and the payment of $544,000 in debt issuance costs primarily related to amendments to the Credit Agreement.</w:t>
      </w:r>
    </w:p>
    <w:p>
      <w:pPr>
        <w:spacing w:after="0" w:line="183" w:lineRule="exact"/>
        <w:rPr>
          <w:rFonts w:ascii="Arial" w:cs="Arial" w:eastAsia="Arial" w:hAnsi="Arial"/>
          <w:sz w:val="18"/>
          <w:szCs w:val="18"/>
          <w:color w:val="auto"/>
        </w:rPr>
      </w:pPr>
    </w:p>
    <w:p>
      <w:pPr>
        <w:jc w:val="both"/>
        <w:ind w:left="980" w:hanging="324"/>
        <w:spacing w:after="0" w:line="296"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2022: The Company received $210.2 million in net proceeds from the issuance of the 10.000% Senior Notes, borrowed $15.0 million on the Credit Agreement and received $779,000 from the exercise of 67,719 of the Company’s $11.50 warrants and $75,000 from the exercise of 7,500 of stock options by employees of the Company. These cash inflows were partially offset by the Company paying $115.0 million to pay the balance of its Credit Agreement off simultaneously with the issuance of the 10.000% Senior Notes and incurring $6.4 million of debt issuance costs primarily related to the 10.000% Senior Notes and $2.6 million in dividends and dividend equivalent payments.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market risk due to the floating interest rate associated with any outstanding balance on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of March 31, 2023, we had a $420.0 million outstanding balance on the Credit Agreement. Our Credit Agreement allows us to fix the interest rate for all or a portion of the principal balance of the Credit Agreement for a period up to three months. To the extent that the interest rate is fixed, interest rate changes will affect the Credit Agreement’s fair value but will not impact results of operations or cash flows. Conversely, for the portion of the Credit Agreement that has a floating interest rate, interest rate changes will not affect the fair value but will impact future results of operations and cash flows. Changes in interest rates do not impact the amount of interest we pay on our fixed-rate 10.000% Senior Notes and 10.625% Senior Notes but can impact their fair values.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The prices we receive for our crude oil, NGL and natural gas production directly impact our revenue, profitability, access</w:t>
      </w:r>
      <w:r>
        <w:rPr>
          <w:rFonts w:ascii="Arial" w:cs="Arial" w:eastAsia="Arial" w:hAnsi="Arial"/>
          <w:sz w:val="16"/>
          <w:szCs w:val="16"/>
          <w:i w:val="1"/>
          <w:iCs w:val="1"/>
          <w:color w:val="auto"/>
        </w:rPr>
        <w:t xml:space="preserve"> </w:t>
      </w:r>
      <w:r>
        <w:rPr>
          <w:rFonts w:ascii="Arial" w:cs="Arial" w:eastAsia="Arial" w:hAnsi="Arial"/>
          <w:sz w:val="16"/>
          <w:szCs w:val="16"/>
          <w:color w:val="auto"/>
        </w:rPr>
        <w:t>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However, future case surges, outbreaks, COVID-19 virus variants, the potential that current vaccines may be less effective or ineffective against future COVID-19 virus variants, and the risk that large groups of the population may not receive vaccinations against COVID-19, could have further negative impacts on prices. Additionally, commodity prices are subject to heightened levels of uncertainty related to geopolitical issues such as the ongoing armed conflict between Russia and Ukraine and recent production cut announcements from OPEC. The realized prices we receive for our production also depend on numerous factors that are typically beyond our control. Based on our sales volumes during the three months ended March 31, 2023 and excluding the effects on derivatives, a $1.00 per barrel increase (decrease) in the weighted average crude oil price for the three months ended March 31, 2023 would have increased (decreased) the Company’s revenues by approximately $11.8 million on an annualized basis and a $0.10 per Mcf increase (decrease) in the weighted average natural gas price for the three months ended March 31, 2023 would have increased (decreased) the Company’s revenues by approximately $526,000 on an annualized basis.</w:t>
      </w:r>
    </w:p>
    <w:p>
      <w:pPr>
        <w:spacing w:after="0" w:line="174"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March 31, 2023, a $1.00 increase (decrease) in the forward curves associated with our crude oil commodity derivative instruments would have decreased (increased) our net derivative positions for these products by approximately $4.1 million.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Company's contractual obligations include leases (primarily related to contracted drilling rigs, equipment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capital funding obligations, volume commitments, aid-in-construction obligations and other liabilities. Other joint owners in the properties operated by the Company could incur portions of the costs represented by these commitments.</w:t>
      </w:r>
    </w:p>
    <w:p>
      <w:pPr>
        <w:sectPr>
          <w:pgSz w:w="11900" w:h="16838" w:orient="portrait"/>
          <w:cols w:equalWidth="0" w:num="1">
            <w:col w:w="11240"/>
          </w:cols>
          <w:pgMar w:left="320" w:top="584" w:right="339" w:bottom="0" w:gutter="0" w:footer="0" w:header="0"/>
        </w:sectPr>
      </w:pPr>
    </w:p>
    <w:bookmarkStart w:id="40" w:name="page41"/>
    <w:bookmarkEnd w:id="40"/>
    <w:p>
      <w:pPr>
        <w:ind w:left="99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522"/>
        <w:spacing w:after="0" w:line="267" w:lineRule="auto"/>
        <w:rPr>
          <w:sz w:val="20"/>
          <w:szCs w:val="20"/>
          <w:color w:val="auto"/>
        </w:rPr>
      </w:pPr>
      <w:r>
        <w:rPr>
          <w:rFonts w:ascii="Arial" w:cs="Arial" w:eastAsia="Arial" w:hAnsi="Arial"/>
          <w:sz w:val="17"/>
          <w:szCs w:val="17"/>
          <w:color w:val="auto"/>
        </w:rPr>
        <w:t>EBITDAX represents net income (loss) before interest expense, interest and other income, income taxes, depletion, depreciation, and amortization, accretion of discount on asset retirement obligations, exploration and abandonment expense, non-cash stock-based compensation expense, derivative gains and losses net of settlements,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We are also subject to financial covenants under our Credit Agreement based on EBITDAX ratios and debt covenants under the indentures governing the 10.000% Senior Notes and 10.625% Senior Notes based on consolidated leverage indebtedness to forward EBITDAX ratios as further described in Note 7 of Notes to Consolidated Financial Statements included in “Item 1. Condensed Consolidated Financial Statements (Unaudited).”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(loss), income (loss) from operations, net cash provided by operating activities, or other profitability or liquidity measures prepared under GAAP. Because EBITDAX excludes some, but not all items that affect net income (loss) and may vary among companies, the EBITDAX amounts presented may not be comparable to similar metrics of other companies. The Credit Agreement provides a material source of liquidity for us. Under the terms of our Credit Agreement, the 10.000% Senior Notes and the 10.625% Senior Notes, if we fail to comply with the covenants that establish a maximum permitted ratio of total debt, as defined in the Credit Agreement, to EBITDAX, we would be in default, an event that would prevent us from borrowing under the Credit Agreement and would therefore materially limit a significant source of our liquidity. In addition, if we are in default under the Credit Agreement and are unable to obtain a waiver of that default from our lenders, lenders under that facility and under the indentures governing each series of our outstanding 10.000% Senior Notes and 10.625% Senior Notes, would be entitled to exercise all of their remedies for default.</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provides a reconciliation of our net income (GAAP) to EBITDAX (non-GAAP)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50,257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26,972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14,507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17,024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Derivative-related noncash activity</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41,633</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EBITDAX</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173,859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51,076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522"/>
        <w:spacing w:after="0" w:line="255" w:lineRule="auto"/>
        <w:rPr>
          <w:sz w:val="20"/>
          <w:szCs w:val="20"/>
          <w:color w:val="auto"/>
        </w:rPr>
      </w:pPr>
      <w:r>
        <w:rPr>
          <w:rFonts w:ascii="Arial" w:cs="Arial" w:eastAsia="Arial" w:hAnsi="Arial"/>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92" w:lineRule="exact"/>
        <w:rPr>
          <w:sz w:val="20"/>
          <w:szCs w:val="20"/>
          <w:color w:val="auto"/>
        </w:rPr>
      </w:pPr>
    </w:p>
    <w:p>
      <w:pPr>
        <w:jc w:val="both"/>
        <w:ind w:firstLine="522"/>
        <w:spacing w:after="0" w:line="279" w:lineRule="auto"/>
        <w:rPr>
          <w:sz w:val="20"/>
          <w:szCs w:val="20"/>
          <w:color w:val="auto"/>
        </w:rPr>
      </w:pPr>
      <w:r>
        <w:rPr>
          <w:rFonts w:ascii="Arial" w:cs="Arial" w:eastAsia="Arial" w:hAnsi="Arial"/>
          <w:sz w:val="17"/>
          <w:szCs w:val="17"/>
          <w:color w:val="auto"/>
        </w:rPr>
        <w:t>In management’s opinion, the more significant reporting areas impacted by management’s judgments and estimates are the choice of accounting method for crude oil and natural gas activities, crude oil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71"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84"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There have been no material changes in our critical accounting policies and procedures during the three months ended March 31, 2023. See our disclosure of critical accounting policies in “Item 7. Management’s Discussion and Analysis of Financial Condition and Results of Operations” and “Item 8. Financial Statements and Supplementary Data” of our Annual Report.</w:t>
      </w:r>
    </w:p>
    <w:p>
      <w:pPr>
        <w:spacing w:after="0" w:line="184" w:lineRule="exact"/>
        <w:rPr>
          <w:sz w:val="20"/>
          <w:szCs w:val="20"/>
          <w:color w:val="auto"/>
        </w:rPr>
      </w:pPr>
    </w:p>
    <w:p>
      <w:pPr>
        <w:jc w:val="both"/>
        <w:ind w:firstLine="522"/>
        <w:spacing w:after="0" w:line="308" w:lineRule="auto"/>
        <w:rPr>
          <w:sz w:val="20"/>
          <w:szCs w:val="20"/>
          <w:color w:val="auto"/>
        </w:rPr>
      </w:pPr>
      <w:r>
        <w:rPr>
          <w:rFonts w:ascii="Arial" w:cs="Arial" w:eastAsia="Arial" w:hAnsi="Arial"/>
          <w:sz w:val="17"/>
          <w:szCs w:val="17"/>
          <w:b w:val="1"/>
          <w:bCs w:val="1"/>
          <w:i w:val="1"/>
          <w:iCs w:val="1"/>
          <w:color w:val="auto"/>
        </w:rPr>
        <w:t xml:space="preserve">New accounting pronouncements issued but not yet adopted. </w:t>
      </w:r>
      <w:r>
        <w:rPr>
          <w:rFonts w:ascii="Arial" w:cs="Arial" w:eastAsia="Arial" w:hAnsi="Arial"/>
          <w:sz w:val="17"/>
          <w:szCs w:val="17"/>
          <w:color w:val="auto"/>
        </w:rPr>
        <w:t>The effects of new accounting pronouncements are discussed in Note 2 of Notes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Condensed Consolidated Financial Statements included in "Item 1. Condensed Consolidated Financial Statements (Unaudited)."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tab/>
        <w:t>QUANTITATIVE AND QUALITATIVE DISCLOSURES ABOUT MARKET RISK</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period from January 1, 2018 through March 31, 2023, the calendar month average NYMEX WTI crude oil price per Bbl ranged from a low of $16.70 to a high of $114.34, and the last trading day NYMEX natural gas price per MMBtu ranged from a low of $1.50 to a high of $9.35. A $1.00 per barrel increase (decrease) in the weighted average crude oil price for the three months ended March 31, 2021 would have increased (decreased) the Company’s revenues by approximately $11.8 million on an annualized basis, excluding the effects of derivatives, and a $0.10 per Mcf increase (decrease) in the weighted average natural gas price for the three months ended March 31, 2023 would have increased (decreased) the Company’s revenues by approximately $526,000 on an annualized basis, excluding the effects of derivatives.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Due to this volatility, the Company uses commodity derivative instruments, such as collars, puts and swaps, to hedge price risk associated with a portion of anticipated production. These hedging instruments allow the Company to reduce, but not eliminate, the potential effects of the variability in cash flow from operations due to fluctuations in crude oil and natural gas prices, provide increased certainty of cash flows for its drilling program and protect the Credit Agreement borrowing base.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and to protect its Credit Agreement borrowing base. The Company’s Credit Agreement and the indentures governing the Company’s 10.000% Senior Notes and 10.625% Senior Notes require the Company to hedge certain quantities of its projected crude oil production, in the case of the Credit Agreement, if its ratio of debt to EBITDAX is greater than a certain ratio. The Company does not enter into any commodity derivative instruments, including derivatives, for speculative or trading purposes.</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Counterparty and Customer Credit Risk. </w:t>
      </w:r>
      <w:r>
        <w:rPr>
          <w:rFonts w:ascii="Arial" w:cs="Arial" w:eastAsia="Arial" w:hAnsi="Arial"/>
          <w:sz w:val="16"/>
          <w:szCs w:val="16"/>
          <w:color w:val="auto"/>
        </w:rPr>
        <w:t>The Company’s derivative contracts, if any, expose it to credit risk in the event of nonperformance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counterparties. It is anticipated that if the Company enters into any commodity contracts, the collateral for the outstanding borrowings under the Credit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660"/>
              <w:spacing w:after="0"/>
              <w:rPr>
                <w:sz w:val="20"/>
                <w:szCs w:val="20"/>
                <w:color w:val="auto"/>
              </w:rPr>
            </w:pPr>
            <w:r>
              <w:rPr>
                <w:rFonts w:ascii="Arial" w:cs="Arial" w:eastAsia="Arial" w:hAnsi="Arial"/>
                <w:sz w:val="18"/>
                <w:szCs w:val="18"/>
                <w:color w:val="auto"/>
                <w:w w:val="98"/>
              </w:rPr>
              <w:t>The average forward prices based on March 31, 2023 market quotes were as follows: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4"/>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2024</w:t>
            </w: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70.65</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418"/>
        </w:trPr>
        <w:tc>
          <w:tcPr>
            <w:tcW w:w="7380" w:type="dxa"/>
            <w:vAlign w:val="bottom"/>
          </w:tcPr>
          <w:p>
            <w:pPr>
              <w:ind w:left="660"/>
              <w:spacing w:after="0"/>
              <w:rPr>
                <w:sz w:val="20"/>
                <w:szCs w:val="20"/>
                <w:color w:val="auto"/>
              </w:rPr>
            </w:pPr>
            <w:r>
              <w:rPr>
                <w:rFonts w:ascii="Arial" w:cs="Arial" w:eastAsia="Arial" w:hAnsi="Arial"/>
                <w:sz w:val="18"/>
                <w:szCs w:val="18"/>
                <w:color w:val="auto"/>
              </w:rPr>
              <w:t>The average forward prices based on May 5, 2023 market quotes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4"/>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2024</w:t>
            </w: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67.16</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3.48</w:t>
            </w:r>
          </w:p>
        </w:tc>
      </w:tr>
    </w:tbl>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The Company's primary concentration of credit risk is associated with (i) the collection of receivables resulting from the sale of crude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oil and natural gas production and (ii) the risk of a counterparty's failure to meet its obligations under derivative contracts with the Company.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87" w:lineRule="exact"/>
        <w:rPr>
          <w:sz w:val="20"/>
          <w:szCs w:val="20"/>
          <w:color w:val="auto"/>
        </w:rPr>
      </w:pPr>
    </w:p>
    <w:p>
      <w:pPr>
        <w:jc w:val="both"/>
        <w:ind w:firstLine="522"/>
        <w:spacing w:after="0" w:line="301"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As of March 31, 2023, we had $420.0 million outstanding under the Credit Agreement and $152.6 million of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borrowing capacity. The Company is subject to interest rate risk on its variable rate debt from our Credit Agreement. The Company also has fixed rate debt but does not currently utilize derivative instruments to manage the economic effect of changes in interest rates. The impact of a 1% increase in interest rates on our outstanding debt as of March 31, 2023 would have resulted in an annual increase in interest expense of approximately $4.2 million.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51" w:gutter="0" w:footer="0" w:header="0"/>
        </w:sectPr>
      </w:pPr>
    </w:p>
    <w:bookmarkStart w:id="43" w:name="page44"/>
    <w:bookmarkEnd w:id="43"/>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under the Exchange Act) that occurred during the three months ended March 31, 2023 that have materially affected or are reasonably likely to materially affect the Company’s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ind w:firstLine="522"/>
        <w:spacing w:after="0" w:line="257" w:lineRule="auto"/>
        <w:rPr>
          <w:sz w:val="20"/>
          <w:szCs w:val="20"/>
          <w:color w:val="auto"/>
        </w:rPr>
      </w:pPr>
      <w:r>
        <w:rPr>
          <w:rFonts w:ascii="Arial" w:cs="Arial" w:eastAsia="Arial" w:hAnsi="Arial"/>
          <w:sz w:val="18"/>
          <w:szCs w:val="18"/>
          <w:color w:val="auto"/>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 except as described below.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10.000% Senior Notes due February 2024 are classified as current debt on our consolidated balance sheet in accordance with GAAP. We may not be able to generate sufficient cash to pay, when due, the principal of, interest on or other amounts due in respect of our indebtedness, including our 10.000% Senior Notes due February 2024, and may be forced to take other actions to satisfy our obligations under our debt agreements, which may not be successful.</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2023, we had $895.0 million of total indebtedness, including $225.0 million outstanding of our 10.000% Senior Notes due February 2024, $250.0 million outstanding of our 10.625% Senior Notes due November 2024 and $420.0 million of indebtedness outstanding under our Credit Agreement. The available capacity under our Credit Agreement as of such date was $152.6 million. The entirety of our $895.0 million of total indebtedness is maturing in 2024, with our 10.000% Senior Notes classified as current debt given they mature in less than one year.</w:t>
      </w:r>
    </w:p>
    <w:p>
      <w:pPr>
        <w:spacing w:after="0" w:line="171" w:lineRule="exact"/>
        <w:rPr>
          <w:sz w:val="20"/>
          <w:szCs w:val="20"/>
          <w:color w:val="auto"/>
        </w:rPr>
      </w:pPr>
    </w:p>
    <w:p>
      <w:pPr>
        <w:jc w:val="both"/>
        <w:ind w:firstLine="522"/>
        <w:spacing w:after="0" w:line="293" w:lineRule="auto"/>
        <w:rPr>
          <w:sz w:val="20"/>
          <w:szCs w:val="20"/>
          <w:color w:val="auto"/>
        </w:rPr>
      </w:pPr>
      <w:r>
        <w:rPr>
          <w:rFonts w:ascii="Arial" w:cs="Arial" w:eastAsia="Arial" w:hAnsi="Arial"/>
          <w:sz w:val="16"/>
          <w:szCs w:val="16"/>
          <w:color w:val="auto"/>
        </w:rPr>
        <w:t>Pursuant to the Eighth Amendment, we are required, on or before June 30, 2023, to redeem or refinance the 10.000% Senior Notes due February 2024, allocate a portion of our cash flow that will retire such 10.000% Senior Notes on or before November 30, 2023 or amend the terms of such 10.000% Senior Notes to extend the scheduled repayment thereof to no earlier than February 15, 2025. Failure to meet this obligation will result in an event of default under our Credit Agreement and an acceleration of the repayment of all amounts outstanding thereunder. We intend to repay the 10.000% Senior Notes with additional borrowings under our Credit Agreement, cash flow from operations and, depending on market conditions, one or more equity or debt offerings. However, any one or more of these options may not be available to us, either on commercially attractive terms or at all.</w:t>
      </w:r>
    </w:p>
    <w:p>
      <w:pPr>
        <w:spacing w:after="0" w:line="164"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Although we may seek an increase in commitments under our Credit Agreement from existing and new lenders, we cannot assure you that we will be able to obtain an increase in our aggregate commitments sufficient to enable us to redeem our outstanding 10.000% Senior Notes and 10.625% Senior Notes solely from borrowings under our Credit Agreement. In which case, we may be required to apply a sufficient portion of our cash flow from operations and/or proceeds from additional secured or unsecured borrowings.</w:t>
      </w:r>
    </w:p>
    <w:p>
      <w:pPr>
        <w:spacing w:after="0" w:line="187" w:lineRule="exact"/>
        <w:rPr>
          <w:sz w:val="20"/>
          <w:szCs w:val="20"/>
          <w:color w:val="auto"/>
        </w:rPr>
      </w:pPr>
    </w:p>
    <w:p>
      <w:pPr>
        <w:jc w:val="both"/>
        <w:ind w:firstLine="522"/>
        <w:spacing w:after="0" w:line="277" w:lineRule="auto"/>
        <w:rPr>
          <w:sz w:val="20"/>
          <w:szCs w:val="20"/>
          <w:color w:val="auto"/>
        </w:rPr>
      </w:pPr>
      <w:r>
        <w:rPr>
          <w:rFonts w:ascii="Arial" w:cs="Arial" w:eastAsia="Arial" w:hAnsi="Arial"/>
          <w:sz w:val="18"/>
          <w:szCs w:val="18"/>
          <w:color w:val="auto"/>
        </w:rPr>
        <w:t>These risks are not the only risks facing the Company. Additional risks and uncertainties not currently known to the Company or that it currently deems to be immaterial also may have a material adverse effect on the Company's business, financial condition or future results.</w:t>
      </w:r>
    </w:p>
    <w:p>
      <w:pPr>
        <w:spacing w:after="0" w:line="17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40" w:type="dxa"/>
            <w:vAlign w:val="bottom"/>
            <w:gridSpan w:val="24"/>
          </w:tcPr>
          <w:p>
            <w:pPr>
              <w:ind w:left="500"/>
              <w:spacing w:after="0"/>
              <w:rPr>
                <w:sz w:val="20"/>
                <w:szCs w:val="20"/>
                <w:color w:val="auto"/>
              </w:rPr>
            </w:pPr>
            <w:r>
              <w:rPr>
                <w:rFonts w:ascii="Arial" w:cs="Arial" w:eastAsia="Arial" w:hAnsi="Arial"/>
                <w:sz w:val="18"/>
                <w:szCs w:val="18"/>
                <w:b w:val="1"/>
                <w:bCs w:val="1"/>
                <w:color w:val="auto"/>
              </w:rPr>
              <w:t>HIGHPEAK ENERGY, INC.</w:t>
            </w:r>
          </w:p>
        </w:tc>
        <w:tc>
          <w:tcPr>
            <w:tcW w:w="0" w:type="dxa"/>
            <w:vAlign w:val="bottom"/>
          </w:tcPr>
          <w:p>
            <w:pPr>
              <w:spacing w:after="0"/>
              <w:rPr>
                <w:sz w:val="1"/>
                <w:szCs w:val="1"/>
                <w:color w:val="auto"/>
              </w:rPr>
            </w:pPr>
          </w:p>
        </w:tc>
      </w:tr>
      <w:tr>
        <w:trPr>
          <w:trHeight w:val="391"/>
        </w:trPr>
        <w:tc>
          <w:tcPr>
            <w:tcW w:w="320" w:type="dxa"/>
            <w:vAlign w:val="bottom"/>
          </w:tcPr>
          <w:p>
            <w:pPr>
              <w:spacing w:after="0"/>
              <w:rPr>
                <w:sz w:val="24"/>
                <w:szCs w:val="24"/>
                <w:color w:val="auto"/>
              </w:rPr>
            </w:pPr>
          </w:p>
        </w:tc>
        <w:tc>
          <w:tcPr>
            <w:tcW w:w="10920" w:type="dxa"/>
            <w:vAlign w:val="bottom"/>
            <w:gridSpan w:val="30"/>
          </w:tcPr>
          <w:p>
            <w:pPr>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23"/>
            <w:vMerge w:val="restart"/>
          </w:tcPr>
          <w:p>
            <w:pPr>
              <w:ind w:left="7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1"/>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320" w:type="dxa"/>
            <w:vAlign w:val="bottom"/>
            <w:tcBorders>
              <w:bottom w:val="single" w:sz="8" w:color="auto"/>
            </w:tcBorders>
            <w:gridSpan w:val="2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9860" w:type="dxa"/>
            <w:vAlign w:val="bottom"/>
            <w:tcBorders>
              <w:bottom w:val="single" w:sz="8" w:color="0000EE"/>
            </w:tcBorders>
            <w:gridSpan w:val="17"/>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Amended and Restated Certificate of Incorporation of HighPeak Energy, Inc. (incorporated by reference to Exhibit 3.1 to the Company’s</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29"/>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360" w:type="dxa"/>
            <w:vAlign w:val="bottom"/>
            <w:gridSpan w:val="29"/>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Amended and Restated Bylaws of HighPeak Energy, Inc. (incorporated by reference to Exhibit 3.1 to the Company’s Current Report on Form</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8-K (File No. 001-39464) filed with the SEC on November 9, 2020).</w:t>
              </w:r>
            </w:hyperlink>
          </w:p>
        </w:tc>
        <w:tc>
          <w:tcPr>
            <w:tcW w:w="5200" w:type="dxa"/>
            <w:vAlign w:val="bottom"/>
            <w:tcBorders>
              <w:top w:val="single" w:sz="8" w:color="0000EE"/>
            </w:tcBorders>
            <w:gridSpan w:val="16"/>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Registration Rights Agreement, dated as of August 21, 2020, by and among HighPeak Energy, Inc., HighPeak Pure Acquisition, LLC,</w:t>
              </w:r>
            </w:hyperlink>
          </w:p>
        </w:tc>
        <w:tc>
          <w:tcPr>
            <w:tcW w:w="6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29"/>
          </w:tcPr>
          <w:p>
            <w:pPr>
              <w:spacing w:after="0" w:line="196"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HighPeak Energy, LP, HighPeak Energy II, LP, HighPeak Energy III, LP and certain other security holders named therein (incorporated by</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80" w:type="dxa"/>
            <w:vAlign w:val="bottom"/>
            <w:tcBorders>
              <w:top w:val="single" w:sz="8" w:color="0000EE"/>
            </w:tcBorders>
            <w:gridSpan w:val="18"/>
          </w:tcPr>
          <w:p>
            <w:pPr>
              <w:spacing w:after="0" w:line="196"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reference to Exhibit 4.4 to the Company’s Current Report on Form 8-K (File No. 001-39464) filed with the SEC on August 27, 2020).</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60" w:type="dxa"/>
            <w:vAlign w:val="bottom"/>
            <w:gridSpan w:val="29"/>
          </w:tcPr>
          <w:p>
            <w:pPr>
              <w:spacing w:after="0"/>
              <w:rPr>
                <w:rFonts w:ascii="Arial" w:cs="Arial" w:eastAsia="Arial" w:hAnsi="Arial"/>
                <w:sz w:val="18"/>
                <w:szCs w:val="18"/>
                <w:color w:val="0000EE"/>
                <w:w w:val="94"/>
              </w:rPr>
            </w:pPr>
            <w:hyperlink r:id="rId66">
              <w:r>
                <w:rPr>
                  <w:rFonts w:ascii="Arial" w:cs="Arial" w:eastAsia="Arial" w:hAnsi="Arial"/>
                  <w:sz w:val="18"/>
                  <w:szCs w:val="18"/>
                  <w:color w:val="0000EE"/>
                  <w:w w:val="94"/>
                </w:rPr>
                <w:t>Stockholders’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Energy, LP, HighPeak Energy II, LP, HighPeak Energy III, LP, Jack Hightower and certain directors of Pure Acquisition Corp. (incorporated by</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reference to Exhibit 4.3 to the Company’s Current Report on Form 8-K (File No. 001-39464) filed with the SEC on August 27, 2020).</w:t>
              </w:r>
            </w:hyperlink>
          </w:p>
        </w:tc>
        <w:tc>
          <w:tcPr>
            <w:tcW w:w="6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360" w:type="dxa"/>
            <w:vAlign w:val="bottom"/>
            <w:gridSpan w:val="29"/>
          </w:tcPr>
          <w:p>
            <w:pPr>
              <w:spacing w:after="0"/>
              <w:rPr>
                <w:rFonts w:ascii="Arial" w:cs="Arial" w:eastAsia="Arial" w:hAnsi="Arial"/>
                <w:sz w:val="18"/>
                <w:szCs w:val="18"/>
                <w:color w:val="0000EE"/>
                <w:w w:val="93"/>
              </w:rPr>
            </w:pPr>
            <w:hyperlink r:id="rId67">
              <w:r>
                <w:rPr>
                  <w:rFonts w:ascii="Arial" w:cs="Arial" w:eastAsia="Arial" w:hAnsi="Arial"/>
                  <w:sz w:val="18"/>
                  <w:szCs w:val="18"/>
                  <w:color w:val="0000EE"/>
                  <w:w w:val="93"/>
                </w:rPr>
                <w:t>Amendment and Assignment to Warrant Agreement, dated as of August 21, 2020, by and among Pure Acquisition Corp., Continental Stock</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29"/>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Transfer &amp; Trust Company and HighPeak Energy, Inc. (incorporated by reference to Exhibit 4.2 to the Company’s Registration Statement on</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Form S-4 and Form S-1 (File No. 333-235313) filed with the SEC on August 5, 2020).</w:t>
              </w:r>
            </w:hyperlink>
          </w:p>
        </w:tc>
        <w:tc>
          <w:tcPr>
            <w:tcW w:w="3880" w:type="dxa"/>
            <w:vAlign w:val="bottom"/>
            <w:tcBorders>
              <w:top w:val="single" w:sz="8" w:color="0000EE"/>
            </w:tcBorders>
            <w:gridSpan w:val="13"/>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9720" w:type="dxa"/>
            <w:vAlign w:val="bottom"/>
            <w:tcBorders>
              <w:bottom w:val="single" w:sz="8" w:color="0000EE"/>
            </w:tcBorders>
            <w:gridSpan w:val="14"/>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Indenture, dated as of February 16, 2022, by and among HighPeak Energy, Inc., as issuer, the guarantors party thereto and UMB Bank,</w:t>
              </w:r>
            </w:hyperlink>
          </w:p>
        </w:tc>
        <w:tc>
          <w:tcPr>
            <w:tcW w:w="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29"/>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National Association, as trustee (incorporated by reference to Exhibit 4.1 to the Company’s Current Report on Form 8-K (File No. 001-39464)</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filed with the SEC on February 22, 2022).</w:t>
              </w:r>
            </w:hyperlink>
          </w:p>
        </w:tc>
        <w:tc>
          <w:tcPr>
            <w:tcW w:w="7240" w:type="dxa"/>
            <w:vAlign w:val="bottom"/>
            <w:tcBorders>
              <w:top w:val="single" w:sz="8" w:color="0000EE"/>
            </w:tcBorders>
            <w:gridSpan w:val="21"/>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360" w:type="dxa"/>
            <w:vAlign w:val="bottom"/>
            <w:tcBorders>
              <w:bottom w:val="single" w:sz="8" w:color="0000EE"/>
            </w:tcBorders>
            <w:gridSpan w:val="29"/>
          </w:tcPr>
          <w:p>
            <w:pP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Supplement No. 1 to Indenture, dated as of November 9, 2022, by and among HighPeak Energy, Inc., as issuer, the guarantors party thereto and</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UMB Bank, National Association, as trustee (incorporated by reference to Exhibit 4.1 to the Company’s Current Report on Form 8-K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001-39464) filed with the SEC on November 10, 2022).</w:t>
              </w:r>
            </w:hyperlink>
          </w:p>
        </w:tc>
        <w:tc>
          <w:tcPr>
            <w:tcW w:w="63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9740" w:type="dxa"/>
            <w:vAlign w:val="bottom"/>
            <w:tcBorders>
              <w:bottom w:val="single" w:sz="8" w:color="0000EE"/>
            </w:tcBorders>
            <w:gridSpan w:val="15"/>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Indenture, dated as of November 8, 2022, by and among HighPeak Energy, Inc., as issuer, the guarantors party thereto and UMB Bank,</w:t>
              </w:r>
            </w:hyperlink>
          </w:p>
        </w:tc>
        <w:tc>
          <w:tcPr>
            <w:tcW w:w="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29"/>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National Association, as trustee (incorporated by reference to Exhibit 4.2 to the Company’s Current Report on Form 8-K (File No. 001-39464)</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filed with the SEC on November 10, 2022).</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4560" w:type="dxa"/>
            <w:vAlign w:val="bottom"/>
            <w:tcBorders>
              <w:left w:val="single" w:sz="8" w:color="0000EE"/>
            </w:tcBorders>
            <w:gridSpan w:val="5"/>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360" w:type="dxa"/>
            <w:vAlign w:val="bottom"/>
            <w:gridSpan w:val="29"/>
          </w:tcPr>
          <w:p>
            <w:pPr>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Indenture, dated as of December 12, 2022, by and among HighPeak Energy, Inc., as issuer, the guarantors party thereto and UMB Bank,</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4560" w:type="dxa"/>
            <w:vAlign w:val="bottom"/>
            <w:tcBorders>
              <w:left w:val="single" w:sz="8" w:color="0000EE"/>
            </w:tcBorders>
            <w:gridSpan w:val="5"/>
            <w:shd w:val="clear" w:color="auto" w:fill="0000EE"/>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29"/>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National Association, as trustee (incorporated by reference to Exhibit 4.1 to the Company’s Current Report on Form 8-K (File No. 001-39464)</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filed with the SEC on December 12, 2022).</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auto"/>
              </w:rPr>
              <w:t>10.1</w:t>
            </w:r>
          </w:p>
        </w:tc>
        <w:tc>
          <w:tcPr>
            <w:tcW w:w="10320" w:type="dxa"/>
            <w:vAlign w:val="bottom"/>
            <w:tcBorders>
              <w:bottom w:val="single" w:sz="8" w:color="0000EE"/>
            </w:tcBorders>
            <w:gridSpan w:val="27"/>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Eighth Amendment to Credit Agreement, dated as of March 14, 2023, among HighPeak Energy, Inc., as Borrower, Wells Fargo Bank, National</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Association, as the administrative agent, the guarantors party thereto and the lenders party thereto (incorporated by reference to Exhibit 10.1 to</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29"/>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the Company’s Current Report on Form 8-K (File No. 001-39464) filed with the SEC on March 15, 2023).</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7680" w:type="dxa"/>
            <w:vAlign w:val="bottom"/>
            <w:gridSpan w:val="10"/>
            <w:shd w:val="clear" w:color="auto" w:fill="0000EE"/>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10360" w:type="dxa"/>
            <w:vAlign w:val="bottom"/>
            <w:gridSpan w:val="29"/>
          </w:tcPr>
          <w:p>
            <w:pPr>
              <w:spacing w:after="0"/>
              <w:rPr>
                <w:sz w:val="20"/>
                <w:szCs w:val="20"/>
                <w:color w:val="auto"/>
              </w:rPr>
            </w:pPr>
            <w:r>
              <w:rPr>
                <w:rFonts w:ascii="Arial" w:cs="Arial" w:eastAsia="Arial" w:hAnsi="Arial"/>
                <w:sz w:val="18"/>
                <w:szCs w:val="18"/>
                <w:color w:val="0000EE"/>
                <w:w w:val="92"/>
              </w:rPr>
              <w:t>Certification of the Company’s Chief Executive Officer Pursuant to Section 302 of the Sarbanes Oxley Act of 2002 (18 U.S.C. Section 7241).</w:t>
            </w:r>
          </w:p>
        </w:tc>
        <w:tc>
          <w:tcPr>
            <w:tcW w:w="0" w:type="dxa"/>
            <w:vAlign w:val="bottom"/>
          </w:tcPr>
          <w:p>
            <w:pPr>
              <w:spacing w:after="0"/>
              <w:rPr>
                <w:sz w:val="1"/>
                <w:szCs w:val="1"/>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10180" w:type="dxa"/>
            <w:vAlign w:val="bottom"/>
            <w:tcBorders>
              <w:top w:val="single" w:sz="8" w:color="0000EE"/>
              <w:bottom w:val="single" w:sz="8" w:color="0000EE"/>
            </w:tcBorders>
            <w:gridSpan w:val="22"/>
          </w:tcPr>
          <w:p>
            <w:pPr>
              <w:spacing w:after="0"/>
              <w:rPr>
                <w:sz w:val="20"/>
                <w:szCs w:val="20"/>
                <w:color w:val="auto"/>
              </w:rPr>
            </w:pPr>
            <w:r>
              <w:rPr>
                <w:rFonts w:ascii="Arial" w:cs="Arial" w:eastAsia="Arial" w:hAnsi="Arial"/>
                <w:sz w:val="18"/>
                <w:szCs w:val="18"/>
                <w:color w:val="0000EE"/>
                <w:w w:val="91"/>
              </w:rPr>
              <w:t>Certification of the Company’s Chief Financial Officer Pursuant to Section 302 of the Sarbanes Oxley Act of 2002 (18 U.S.C. Section 7241).</w:t>
            </w:r>
          </w:p>
        </w:tc>
        <w:tc>
          <w:tcPr>
            <w:tcW w:w="40" w:type="dxa"/>
            <w:vAlign w:val="bottom"/>
            <w:tcBorders>
              <w:top w:val="single" w:sz="8" w:color="0000EE"/>
            </w:tcBorders>
            <w:gridSpan w:val="2"/>
          </w:tcPr>
          <w:p>
            <w:pPr>
              <w:spacing w:after="0"/>
              <w:rPr>
                <w:sz w:val="24"/>
                <w:szCs w:val="24"/>
                <w:color w:val="auto"/>
              </w:rPr>
            </w:pPr>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10360" w:type="dxa"/>
            <w:vAlign w:val="bottom"/>
            <w:gridSpan w:val="29"/>
          </w:tcPr>
          <w:p>
            <w:pPr>
              <w:spacing w:after="0"/>
              <w:rPr>
                <w:sz w:val="20"/>
                <w:szCs w:val="20"/>
                <w:color w:val="auto"/>
              </w:rPr>
            </w:pPr>
            <w:r>
              <w:rPr>
                <w:rFonts w:ascii="Arial" w:cs="Arial" w:eastAsia="Arial" w:hAnsi="Arial"/>
                <w:sz w:val="18"/>
                <w:szCs w:val="18"/>
                <w:color w:val="0000EE"/>
                <w:w w:val="92"/>
              </w:rPr>
              <w:t>Certification of the Company’s Chief Executive Officer Pursuant to Section 906 of the Sarbanes Oxley Act of 2002 (18 U.S.C. Section 1350).</w:t>
            </w:r>
          </w:p>
        </w:tc>
        <w:tc>
          <w:tcPr>
            <w:tcW w:w="0" w:type="dxa"/>
            <w:vAlign w:val="bottom"/>
          </w:tcPr>
          <w:p>
            <w:pPr>
              <w:spacing w:after="0"/>
              <w:rPr>
                <w:sz w:val="1"/>
                <w:szCs w:val="1"/>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auto"/>
              </w:rPr>
              <w:t>32.2**</w:t>
            </w:r>
          </w:p>
        </w:tc>
        <w:tc>
          <w:tcPr>
            <w:tcW w:w="10180" w:type="dxa"/>
            <w:vAlign w:val="bottom"/>
            <w:tcBorders>
              <w:top w:val="single" w:sz="8" w:color="0000EE"/>
              <w:bottom w:val="single" w:sz="8" w:color="0000EE"/>
            </w:tcBorders>
            <w:gridSpan w:val="22"/>
          </w:tcPr>
          <w:p>
            <w:pPr>
              <w:spacing w:after="0"/>
              <w:rPr>
                <w:sz w:val="20"/>
                <w:szCs w:val="20"/>
                <w:color w:val="auto"/>
              </w:rPr>
            </w:pPr>
            <w:r>
              <w:rPr>
                <w:rFonts w:ascii="Arial" w:cs="Arial" w:eastAsia="Arial" w:hAnsi="Arial"/>
                <w:sz w:val="18"/>
                <w:szCs w:val="18"/>
                <w:color w:val="0000EE"/>
                <w:w w:val="91"/>
              </w:rPr>
              <w:t>Certification of the Company’s Chief Financial Officer Pursuant to Section 906 of the Sarbanes Oxley Act of 2002 (18 U.S.C. Section 1350).</w:t>
            </w:r>
          </w:p>
        </w:tc>
        <w:tc>
          <w:tcPr>
            <w:tcW w:w="40" w:type="dxa"/>
            <w:vAlign w:val="bottom"/>
            <w:tcBorders>
              <w:top w:val="single" w:sz="8" w:color="0000EE"/>
            </w:tcBorders>
            <w:gridSpan w:val="2"/>
          </w:tcPr>
          <w:p>
            <w:pPr>
              <w:spacing w:after="0"/>
              <w:rPr>
                <w:sz w:val="24"/>
                <w:szCs w:val="24"/>
                <w:color w:val="auto"/>
              </w:rPr>
            </w:pPr>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101.CAL**Inline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101.LAB**Inline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3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7112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40" w:hanging="332"/>
        <w:spacing w:after="0" w:line="26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0" w:right="26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Arial" w:cs="Arial" w:eastAsia="Arial" w:hAnsi="Arial"/>
                <w:sz w:val="18"/>
                <w:szCs w:val="18"/>
                <w:color w:val="auto"/>
              </w:rPr>
              <w:t>HIGHPEAK ENERGY, INC.</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May 10, 2023</w:t>
            </w:r>
          </w:p>
        </w:tc>
        <w:tc>
          <w:tcPr>
            <w:tcW w:w="2640" w:type="dxa"/>
            <w:vAlign w:val="bottom"/>
          </w:tcPr>
          <w:p>
            <w:pPr>
              <w:ind w:left="23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Tholen</w:t>
            </w:r>
          </w:p>
        </w:tc>
      </w:tr>
      <w:tr>
        <w:trPr>
          <w:trHeight w:val="195"/>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Steven Tholen</w:t>
            </w:r>
          </w:p>
        </w:tc>
      </w:tr>
      <w:tr>
        <w:trPr>
          <w:trHeight w:val="230"/>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May 10, 2023</w:t>
            </w:r>
          </w:p>
        </w:tc>
        <w:tc>
          <w:tcPr>
            <w:tcW w:w="2640" w:type="dxa"/>
            <w:vAlign w:val="bottom"/>
          </w:tcPr>
          <w:p>
            <w:pPr>
              <w:ind w:left="23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Keith Forbes</w:t>
            </w:r>
          </w:p>
        </w:tc>
      </w:tr>
      <w:tr>
        <w:trPr>
          <w:trHeight w:val="195"/>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Keith Forbes</w:t>
            </w:r>
          </w:p>
        </w:tc>
      </w:tr>
      <w:tr>
        <w:trPr>
          <w:trHeight w:val="230"/>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Vice President and Chief Accounting Officer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8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May 10, 2023</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May 10, 2023</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CHIEF EXECUTIVE OFFICER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I, Jack D.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2023:</w:t>
      </w:r>
    </w:p>
    <w:p>
      <w:pPr>
        <w:spacing w:after="0" w:line="1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May 10, 2023</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CHIEF FINANCIAL OFFICER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2023:</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May 10,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2)"/>
      <w:numFmt w:val="lowerRoman"/>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Roman"/>
      <w:start w:val="4"/>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
      <w:numFmt w:val="bullet"/>
      <w:start w:val="1"/>
    </w:lvl>
    <w:lvl w:ilvl="1">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Roman"/>
      <w:start w:val="2"/>
    </w:lvl>
  </w:abstractNum>
  <w:abstractNum w:abstractNumId="19">
    <w:nsid w:val="6763845E"/>
    <w:multiLevelType w:val="hybridMultilevel"/>
    <w:lvl w:ilvl="0">
      <w:lvlJc w:val="left"/>
      <w:lvlText w:val="(%1)"/>
      <w:numFmt w:val="lowerRoman"/>
      <w:start w:val="3"/>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63" Type="http://schemas.openxmlformats.org/officeDocument/2006/relationships/hyperlink" Target="http://www.sec.gov/Archives/edgar/data/1792849/000143774920018850/ex_201556.htm" TargetMode="External"/><Relationship Id="rId64" Type="http://schemas.openxmlformats.org/officeDocument/2006/relationships/hyperlink" Target="http://www.sec.gov/Archives/edgar/data/1792849/000143774920018850/ex_201557.htm" TargetMode="External"/><Relationship Id="rId65" Type="http://schemas.openxmlformats.org/officeDocument/2006/relationships/hyperlink" Target="http://www.sec.gov/Archives/edgar/data/1792849/000143774920018850/ex_201560.htm" TargetMode="External"/><Relationship Id="rId66" Type="http://schemas.openxmlformats.org/officeDocument/2006/relationships/hyperlink" Target="http://www.sec.gov/Archives/edgar/data/1792849/000143774920018850/ex_201559.htm" TargetMode="External"/><Relationship Id="rId67" Type="http://schemas.openxmlformats.org/officeDocument/2006/relationships/hyperlink" Target="http://www.sec.gov/Archives/edgar/data/1792849/000143774920018850/ex_201558.htm" TargetMode="External"/><Relationship Id="rId68" Type="http://schemas.openxmlformats.org/officeDocument/2006/relationships/hyperlink" Target="http://www.sec.gov/Archives/edgar/data/1792849/000143774922004067/ex_338990.htm" TargetMode="External"/><Relationship Id="rId69" Type="http://schemas.openxmlformats.org/officeDocument/2006/relationships/hyperlink" Target="http://www.sec.gov/Archives/edgar/data/1792849/000143774922026977/ex_445481.htm" TargetMode="External"/><Relationship Id="rId70" Type="http://schemas.openxmlformats.org/officeDocument/2006/relationships/hyperlink" Target="http://www.sec.gov/Archives/edgar/data/1792849/000143774922026977/ex_445480.htm" TargetMode="External"/><Relationship Id="rId71" Type="http://schemas.openxmlformats.org/officeDocument/2006/relationships/hyperlink" Target="http://www.sec.gov/Archives/edgar/data/1792849/000143774922028930/ex_455400.htm" TargetMode="External"/><Relationship Id="rId72" Type="http://schemas.openxmlformats.org/officeDocument/2006/relationships/hyperlink" Target="http://www.sec.gov/Archives/edgar/data/1792849/000143774923006690/ex_48908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2023-05-10T15:27:12Z</dcterms:created>
  <dcterms:modified xsi:type="dcterms:W3CDTF">2023-05-10T15:27:12Z</dcterms:modified>
</cp:coreProperties>
</file>