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335915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333-235313</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84-3533602</w:t>
      </w:r>
    </w:p>
    <w:p>
      <w:pPr>
        <w:spacing w:after="0" w:line="3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240" w:space="720"/>
            <w:col w:w="2640"/>
          </w:cols>
          <w:pgMar w:left="320" w:top="60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421 W. 3rd St.,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321945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w:t>
            </w:r>
          </w:p>
        </w:tc>
        <w:tc>
          <w:tcPr>
            <w:tcW w:w="2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11, 2026, the Company issued a press release announcing its financial and operating results for 2025 and the third quarter ended December 31, 2025. A copy of the press release is attached as Exhibit 99.1 to this Current Report on Form 8-K and is incorporated by reference into this Item 2.02 by reference.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is being furnished pursuant to Item 2.02 of Form 8-K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liabilities of that section, and is not incorporated by reference into any filing under the Securities Act of 1933, as amended, or the Exchange Act unless specifically identified therein as being incorporated therein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2.02 is incorporated by reference as if fully set forth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40"/>
        <w:spacing w:after="0"/>
        <w:tabs>
          <w:tab w:leader="none" w:pos="620" w:val="left"/>
        </w:tabs>
        <w:rPr>
          <w:sz w:val="20"/>
          <w:szCs w:val="20"/>
          <w:color w:val="auto"/>
        </w:rPr>
      </w:pPr>
      <w:r>
        <w:rPr>
          <w:rFonts w:ascii="Times New Roman" w:cs="Times New Roman" w:eastAsia="Times New Roman" w:hAnsi="Times New Roman"/>
          <w:sz w:val="18"/>
          <w:szCs w:val="18"/>
          <w:color w:val="auto"/>
        </w:rPr>
        <w:t>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11, 2026.</w:t>
      </w:r>
    </w:p>
    <w:p>
      <w:pPr>
        <w:spacing w:after="0" w:line="27" w:lineRule="exact"/>
        <w:rPr>
          <w:sz w:val="20"/>
          <w:szCs w:val="20"/>
          <w:color w:val="auto"/>
        </w:rPr>
      </w:pPr>
    </w:p>
    <w:p>
      <w:pPr>
        <w:ind w:left="140"/>
        <w:spacing w:after="0"/>
        <w:tabs>
          <w:tab w:leader="none" w:pos="62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7" w:lineRule="exact"/>
        <w:rPr>
          <w:sz w:val="20"/>
          <w:szCs w:val="20"/>
          <w:color w:val="auto"/>
        </w:rPr>
      </w:pPr>
    </w:p>
    <w:p>
      <w:pPr>
        <w:ind w:left="5440"/>
        <w:spacing w:after="0"/>
        <w:tabs>
          <w:tab w:leader="none" w:pos="5900" w:val="left"/>
        </w:tabs>
        <w:rPr>
          <w:sz w:val="20"/>
          <w:szCs w:val="20"/>
          <w:color w:val="auto"/>
        </w:rPr>
      </w:pPr>
      <w:r>
        <w:rPr>
          <w:rFonts w:ascii="Times New Roman" w:cs="Times New Roman" w:eastAsia="Times New Roman" w:hAnsi="Times New Roman"/>
          <w:sz w:val="18"/>
          <w:szCs w:val="18"/>
          <w:color w:val="auto"/>
        </w:rPr>
        <w:t>By:</w:t>
        <w:tab/>
        <w:t>/s/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5715</wp:posOffset>
            </wp:positionV>
            <wp:extent cx="2537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5440"/>
        <w:spacing w:after="0"/>
        <w:rPr>
          <w:sz w:val="20"/>
          <w:szCs w:val="20"/>
          <w:color w:val="auto"/>
        </w:rPr>
      </w:pPr>
      <w:r>
        <w:rPr>
          <w:rFonts w:ascii="Times New Roman" w:cs="Times New Roman" w:eastAsia="Times New Roman" w:hAnsi="Times New Roman"/>
          <w:sz w:val="18"/>
          <w:szCs w:val="18"/>
          <w:color w:val="auto"/>
        </w:rPr>
        <w:t>Name:Steven W. Tholen</w:t>
      </w:r>
    </w:p>
    <w:p>
      <w:pPr>
        <w:spacing w:after="0" w:line="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600"/>
          </w:cols>
          <w:pgMar w:left="320" w:top="57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294005</wp:posOffset>
            </wp:positionV>
            <wp:extent cx="3651885" cy="87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5188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 Announces Fourth Quarter and Year-End 2025 Financial and Operating Results and Provides 2026 Guidance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Fort Worth, Texas, March 11, 2026 </w:t>
      </w:r>
      <w:r>
        <w:rPr>
          <w:rFonts w:ascii="Times New Roman" w:cs="Times New Roman" w:eastAsia="Times New Roman" w:hAnsi="Times New Roman"/>
          <w:sz w:val="18"/>
          <w:szCs w:val="18"/>
          <w:color w:val="auto"/>
        </w:rPr>
        <w:t>(GLOBE NEWSWIRE)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HighPeak Energy, Inc. (“HighPeak” or the “Company”) (NASDAQ: HPK)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and operating results for the quarter and year ended December 31, 2025. In addition, HighPeak provided its 2026 guidance and capital budget, as approved by its Board of Directors.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statement from our President and CEO, Michael Hollis,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light of the current geopolitical uncertainty and commodity price volatility, we are taking a disciplined and measured approach to 2026. Our priority is clear: protect profitability and maximize free cash flow, not chase production volumes.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top financial objective is strengthening the balance sheet. Any incremental free cash flow generated in a stronger commodity price environment will be directed toward accelerating debt reduction. To strengthen our financial resilience and position the Company for long-term success, we are taking decisive, proactive measures across the organization. These include reducing our annual capital budget to align expenditures with cash flow generation, expanding our hedging program to capture attractive pricing and mitigate commodity price volatility, and suspending our dividend to increase annual liquidity by an estimated $20-$25 million.</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conservative 2026 development plan is based on one drilling rig and one completion crew, which we expect will allow us to drill approximately 30 wells and bring 36–38 wells online. This plan is intentionally structured to:</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within cash flow, inclusive of our financial obligations, with crude prices averaging down to the mid-to-upper $50s per barrel;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free cash flow generation and accelerate debt paydown in a higher price environment;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strict cost optimization across our operations.</w:t>
      </w:r>
    </w:p>
    <w:p>
      <w:pPr>
        <w:spacing w:after="0" w:line="20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HighPeak’s 2026 program balances capital investment in new development with optimization of our existing base production. This plan is already delivering results as quarter-to-date production is exceeding 46 MBoe/day, including the effects of winter storm Fern. Our reduced capital expenditure budget, down nearly 50% year-over-year, is partially offset by a modest increase in lease operating expenses per Boe as we endeavor to maximize our return on investment.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Inventory depth and remaining Tier 1 locations are important themes across the U.S. unconventional sector, and we do not take our position for granted. While we maintain a deep, delineated inventory of high-quality drilling locations, we are cautious not to accelerate development into an extremely volatile market. Although recent events in the world have caused a surge in near-term oil prices, we are committed to developing our assets at the appropriate cadence — one that reflects sustained market conditions, capital discipline and long-term value creation.</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At our current development pace, we have multiple decades of high-return inventory supported by a life-of-field infrastructure system designed to efficiently extract our resources to maximize returns for our shareholders. We are building a business that is durable through the cycle, beginning with strengthening our financial foundation.”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average one (1) drilling rig and approximately one (1) frac crew during 2026 under its current plan of development.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Development Plan and Capex</w:t>
            </w:r>
          </w:p>
        </w:tc>
        <w:tc>
          <w:tcPr>
            <w:tcW w:w="32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8"/>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Operated Wells Drilled</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28 - 30</w:t>
            </w:r>
          </w:p>
        </w:tc>
      </w:tr>
      <w:tr>
        <w:trPr>
          <w:trHeight w:val="216"/>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Operated Wells TIL’d</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36 - 38</w:t>
            </w:r>
          </w:p>
        </w:tc>
      </w:tr>
      <w:tr>
        <w:trPr>
          <w:trHeight w:val="216"/>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Average lateral length</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Average cost/foot</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Operated D,C,E&amp;F Capex</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$230 - $240 ($MM)</w:t>
            </w:r>
          </w:p>
        </w:tc>
      </w:tr>
      <w:tr>
        <w:trPr>
          <w:trHeight w:val="398"/>
        </w:trPr>
        <w:tc>
          <w:tcPr>
            <w:tcW w:w="5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2026 Total Capital Expenditures</w:t>
            </w:r>
            <w:r>
              <w:rPr>
                <w:rFonts w:ascii="Times New Roman" w:cs="Times New Roman" w:eastAsia="Times New Roman" w:hAnsi="Times New Roman"/>
                <w:sz w:val="29"/>
                <w:szCs w:val="29"/>
                <w:color w:val="auto"/>
                <w:vertAlign w:val="superscript"/>
              </w:rPr>
              <w:t>(1)</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$255 - $285 ($MM)</w:t>
            </w:r>
          </w:p>
        </w:tc>
      </w:tr>
      <w:tr>
        <w:trPr>
          <w:trHeight w:val="228"/>
        </w:trPr>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Production (Boe/d)</w:t>
            </w:r>
          </w:p>
        </w:tc>
        <w:tc>
          <w:tcPr>
            <w:tcW w:w="3960" w:type="dxa"/>
            <w:vAlign w:val="bottom"/>
            <w:gridSpan w:val="3"/>
          </w:tcPr>
          <w:p>
            <w:pPr>
              <w:spacing w:after="0"/>
              <w:rPr>
                <w:sz w:val="19"/>
                <w:szCs w:val="19"/>
                <w:color w:val="auto"/>
              </w:rPr>
            </w:pPr>
          </w:p>
        </w:tc>
        <w:tc>
          <w:tcPr>
            <w:tcW w:w="2840" w:type="dxa"/>
            <w:vAlign w:val="bottom"/>
          </w:tcPr>
          <w:p>
            <w:pPr>
              <w:spacing w:after="0"/>
              <w:rPr>
                <w:sz w:val="19"/>
                <w:szCs w:val="19"/>
                <w:color w:val="auto"/>
              </w:rPr>
            </w:pPr>
          </w:p>
        </w:tc>
      </w:tr>
      <w:tr>
        <w:trPr>
          <w:trHeight w:val="218"/>
        </w:trPr>
        <w:tc>
          <w:tcPr>
            <w:tcW w:w="5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Average daily production rate</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41,000 – 44,000</w:t>
            </w:r>
          </w:p>
        </w:tc>
      </w:tr>
      <w:tr>
        <w:trPr>
          <w:trHeight w:val="234"/>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Oil %</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67% - 68%</w:t>
            </w:r>
          </w:p>
        </w:tc>
      </w:tr>
      <w:tr>
        <w:trPr>
          <w:trHeight w:val="392"/>
        </w:trPr>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 xml:space="preserve">Unit Measures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/Boe)</w:t>
            </w:r>
          </w:p>
        </w:tc>
        <w:tc>
          <w:tcPr>
            <w:tcW w:w="3700" w:type="dxa"/>
            <w:vAlign w:val="bottom"/>
            <w:gridSpan w:val="2"/>
          </w:tcPr>
          <w:p>
            <w:pPr>
              <w:spacing w:after="0"/>
              <w:rPr>
                <w:sz w:val="24"/>
                <w:szCs w:val="24"/>
                <w:color w:val="auto"/>
              </w:rPr>
            </w:pPr>
          </w:p>
        </w:tc>
        <w:tc>
          <w:tcPr>
            <w:tcW w:w="2840" w:type="dxa"/>
            <w:vAlign w:val="bottom"/>
          </w:tcPr>
          <w:p>
            <w:pPr>
              <w:spacing w:after="0"/>
              <w:rPr>
                <w:sz w:val="24"/>
                <w:szCs w:val="24"/>
                <w:color w:val="auto"/>
              </w:rPr>
            </w:pPr>
          </w:p>
        </w:tc>
      </w:tr>
      <w:tr>
        <w:trPr>
          <w:trHeight w:val="218"/>
        </w:trPr>
        <w:tc>
          <w:tcPr>
            <w:tcW w:w="5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Lease Operating Expenses, including workovers</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$8.50 - $8.90</w:t>
            </w:r>
          </w:p>
        </w:tc>
      </w:tr>
      <w:tr>
        <w:trPr>
          <w:trHeight w:val="216"/>
        </w:trPr>
        <w:tc>
          <w:tcPr>
            <w:tcW w:w="5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Gathering, Processing &amp; Transportation Expenses</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$4.25 - $4.50</w:t>
            </w:r>
          </w:p>
        </w:tc>
      </w:tr>
      <w:tr>
        <w:trPr>
          <w:trHeight w:val="234"/>
        </w:trPr>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8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$1.50 - $1.75</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Total capital expenditures includes operated and non-operated D,C,E&amp;F, infrastructure, midstream, ESG &amp; capital workovers.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Year-End 2025 Proved Reserves</w:t>
      </w:r>
    </w:p>
    <w:p>
      <w:pPr>
        <w:spacing w:after="0" w:line="229" w:lineRule="exact"/>
        <w:rPr>
          <w:sz w:val="20"/>
          <w:szCs w:val="20"/>
          <w:color w:val="auto"/>
        </w:rPr>
      </w:pPr>
    </w:p>
    <w:p>
      <w:pPr>
        <w:ind w:left="340" w:right="20" w:hanging="211"/>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HighPeak Energy’s estimated proved reserves, prepared by Cawley, Gillespie &amp; Associates, Inc., were 174 MMBoe consisting of approximately 66% crude oil, 17% NGL and 17% natural gas.</w:t>
      </w:r>
    </w:p>
    <w:p>
      <w:pPr>
        <w:ind w:left="340" w:hanging="21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developed reserves were 96 MMBoe and comprised 55% of the Company’s total proved reserves.</w:t>
      </w:r>
    </w:p>
    <w:p>
      <w:pPr>
        <w:spacing w:after="0" w:line="9" w:lineRule="exact"/>
        <w:rPr>
          <w:rFonts w:ascii="Times New Roman" w:cs="Times New Roman" w:eastAsia="Times New Roman" w:hAnsi="Times New Roman"/>
          <w:sz w:val="18"/>
          <w:szCs w:val="18"/>
          <w:color w:val="auto"/>
        </w:rPr>
      </w:pPr>
    </w:p>
    <w:p>
      <w:pPr>
        <w:jc w:val="both"/>
        <w:ind w:left="340" w:hanging="211"/>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PV-10 (a non-GAAP financial measure defined and reconciled below) was approximately $2.1 billion at year end 2025 based on pricing guidelines established by the Securities and Exchange Commission (“SEC”). 2024 SEC pricing was $65.34 per Bbl of crude oil and $3.387 per MMBtu of natural gas, before adjustments for price differentials.</w:t>
      </w:r>
    </w:p>
    <w:p>
      <w:pPr>
        <w:spacing w:after="0" w:line="1" w:lineRule="exact"/>
        <w:rPr>
          <w:rFonts w:ascii="Times New Roman" w:cs="Times New Roman" w:eastAsia="Times New Roman" w:hAnsi="Times New Roman"/>
          <w:sz w:val="18"/>
          <w:szCs w:val="18"/>
          <w:color w:val="auto"/>
        </w:rPr>
      </w:pPr>
    </w:p>
    <w:p>
      <w:pPr>
        <w:ind w:left="340" w:hanging="211"/>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average adjusted prices realized over the remaining lives of the Company’s assets were $65.32 per Bbl of crude oil net of price differentials and $3.20 per Bbl of NGL and $0.795 per Mcf of natural gas, net of gathering, processing and transportation expenses.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NGL</w:t>
            </w:r>
          </w:p>
        </w:tc>
        <w:tc>
          <w:tcPr>
            <w:tcW w:w="12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PV-10</w:t>
            </w: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(MMcf)</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49,538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19,840</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114,217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88,414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Proved developed nonproducing</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proved developed reserves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55,092</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20,941</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120,566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Proved undeveloped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59,106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9,503</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54,928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77,764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114,198</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30,444</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175,494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173,891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r>
      <w:tr>
        <w:trPr>
          <w:trHeight w:val="413"/>
        </w:trPr>
        <w:tc>
          <w:tcPr>
            <w:tcW w:w="46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&amp; Full-Year 2025 Operational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HighPeak’s sales volumes averaged 48.3 thousand barrels of crude oil equivalent (“MBoe/d”) during full-year 2025 consisting of approximately 68% crude oil and 85% liquids. HighPeak’s sales volumes during the fourth quarter of 2025 averaged 43.7 MBoe/d consisting of approximately 64% crude oil and 83% liquids.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averaged 1-2 drilling rigs and one frac crew throughout full-year 2025, drilled 50 gross (49.8 net) horizontal wells and turned-in-line 49 gross (48.7 net) producing wells. The Company averaged two drilling rigs and one frac crew during the fourth quarter, drilled 15 gross (15.0 net) horizontal wells and turned-in-line 13 gross (13.0 net) producing wells. On December 31, 2025, the Company had 23 gross (23.0 net) horizontal wells in various stages of drilling and completion.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released a drilling rig in late January bringing us to one drilling rig and one frac crew that we plan to run for the majority of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&amp; Full-Year 2025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HighPeak reported net income of $19.0 million for full-year 2025, or $0.14 per diluted share, and EBITDAX (a non-GAAP financial measure defined and reconciled below) of $607.1 million, or $4.40 per diluted share. HighPeak reported a net loss of $25.2 million for the fourth quarter of 2025, or ($0.21) per diluted share, and EBITDAX of $113.9 million, or $0.82 per diluted share.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Full-year 2025 average realized prices were $65.43 per Bbl of crude oil, $19.69 per Bbl of NGL and $1.25 per Mcf of natural gas, resulting in an overall realized price of $48.98 per Boe, or 75% of the weighted average of NYMEX crude oil prices, excluding the effects of derivatives. Including the effects of derivatives, full-year 2025 average realized prices were $65.82 per Bbl of crude oil, $19.69 per Bbl of NGL and $1.82 per Mcf of natural gas, resulting in an overall realized price of $49.77 per Boe. HighPeak’s cash costs for full-year 2025 were $15.33 per Boe, including lease operating costs of $6.78 per Boe, expense workovers of $1.13 per Boe, gathering, processing and transportation expenses of $3.88 per Boe, production and ad valorem taxes of $2.11 per Boe and G&amp;A expenses of $1.43 per Boe. As a result, the Company’s unhedged EBITDAX per Boe was $33.65 per Boe. Fourth quarter average realized prices were $58.95 per Bbl of crude oil, $17.26 per Bbl of NGL and $0.17 per Mcf of natural gas, resulting in an overall realized price of $41.27 per Boe, or 70% of the weighted average of NYMEX crude oil prices, excluding the effects of derivatives. Including the effects of derivatives, fourth quarter average realized prices were $60.36 per Bbl of crude oil, $17.26 per Bbl of NGL and $0.76 per Mcf of natural gas, resulting in an overall realized price of $42.79 per Boe. HighPeak’s cash costs for the fourth quarter were $14.45 per Boe, including lease operating costs of $7.46 per Boe, expense workovers of $1.72 per Boe, gathering, processing and transportation expenses of $4.38 per Boe, production and ad valorem taxes of a negative $0.08 per Boe due to a $10 million natural gas severance tax refund recognized and G&amp;A expenses of $0.98 per Boe. As a result, the Company’s unhedged EBITDAX per Boe was $26.81 per Boe.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HighPeak’s total capital expenditures, excluding acquisitions, for the full-year 2025 were $511.8 million. HighPeak’s total capital expenditures, excluding acquisitions, for the fourth quarter of 2025 were $119.9 million with the addition of a second rig in October which was released in mid-January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w:t>
      </w:r>
      <w:r>
        <w:rPr>
          <w:rFonts w:ascii="Times New Roman" w:cs="Times New Roman" w:eastAsia="Times New Roman" w:hAnsi="Times New Roman"/>
          <w:sz w:val="18"/>
          <w:szCs w:val="18"/>
          <w:color w:val="auto"/>
        </w:rPr>
        <w:t>As of December 31, 2025 and factoring in derivative instruments entered into subsequent to yearend, HighPeak had the following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derivative instruments and the weighted average crude oil prices per barrel (“Bbl”):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Costless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Costless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Collar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Collar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Floor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Ceiling</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Swap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Day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Bbl</w:t>
            </w:r>
          </w:p>
        </w:tc>
      </w:tr>
      <w:tr>
        <w:trPr>
          <w:trHeight w:val="209"/>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Crude Oil:</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14,350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69.62</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5,139</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0.92</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66.82</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65.31</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Roll 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NYMEX WTI Roll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36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62.85</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3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3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360" w:type="dxa"/>
            <w:vAlign w:val="bottom"/>
            <w:tcBorders>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crude oil derivative contracts detailed above are based on reported settlement prices on the New York Mercantile Exchange for West Texas Intermediate (“WTI Cushing”) pricing or the basis differential between that and Argus WTI Midland pricing which represents the premium to WTI Cushing.</w:t>
      </w:r>
    </w:p>
    <w:p>
      <w:pPr>
        <w:spacing w:after="0" w:line="38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w:t>
      </w:r>
      <w:r>
        <w:rPr>
          <w:rFonts w:ascii="Times New Roman" w:cs="Times New Roman" w:eastAsia="Times New Roman" w:hAnsi="Times New Roman"/>
          <w:sz w:val="18"/>
          <w:szCs w:val="18"/>
          <w:color w:val="auto"/>
        </w:rPr>
        <w:t>As of December 31, 2025 and factoring in derivative instruments entered into subsequent to yearend, the Company had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natural gas derivative instruments and the weighted average natural gas prices payable per MMBtu.</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MMBtu</w:t>
            </w:r>
          </w:p>
        </w:tc>
      </w:tr>
      <w:tr>
        <w:trPr>
          <w:trHeight w:val="210"/>
        </w:trPr>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6"/>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31,556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34"/>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19,667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natural gas derivative contracts detailed above are based on reported settlement prices on the New York Mercantile Exchange for Henry Hub (“HH”) pricing.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2025, HighPeak’s Board of Directors approved a quarterly dividend of $0.04 per share, or $5.0 million in dividends paid to stockholders during the quarter. The Company’s Board of Directors suspended the dividend in the first quarter of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HighPeak will host a conference call and webcast on Thursday, March 12, 2026, at 11:00 a.m. Central Time for investors and analysts to discuss its results for the third quarter of 2025. Conference call participants may register for the call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Access to the live audio-only webcast and replay of the earnings release conference call may be found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A live broadcast of the earnings conference call will also be available on the HighPeak Energy website at </w:t>
      </w:r>
      <w:r>
        <w:rPr>
          <w:rFonts w:ascii="Times New Roman" w:cs="Times New Roman" w:eastAsia="Times New Roman" w:hAnsi="Times New Roman"/>
          <w:sz w:val="18"/>
          <w:szCs w:val="18"/>
          <w:u w:val="single" w:color="auto"/>
          <w:color w:val="auto"/>
        </w:rPr>
        <w:t>www.highpeakenergy.com</w:t>
      </w:r>
      <w:r>
        <w:rPr>
          <w:rFonts w:ascii="Times New Roman" w:cs="Times New Roman" w:eastAsia="Times New Roman" w:hAnsi="Times New Roman"/>
          <w:sz w:val="18"/>
          <w:szCs w:val="18"/>
          <w:color w:val="auto"/>
        </w:rPr>
        <w:t xml:space="preserve"> under the “Investors” section of the website. A replay will also be available on the website following the call.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When available, a copy of the Company’s earnings release, investor presentation and Quarterly Report on Form 10-Q may be found on its website at </w:t>
      </w:r>
      <w:r>
        <w:rPr>
          <w:rFonts w:ascii="Times New Roman" w:cs="Times New Roman" w:eastAsia="Times New Roman" w:hAnsi="Times New Roman"/>
          <w:sz w:val="18"/>
          <w:szCs w:val="18"/>
          <w:u w:val="single" w:color="auto"/>
          <w:color w:val="auto"/>
        </w:rPr>
        <w:t>www.highpeakenergy.com</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Participation</w:t>
      </w:r>
    </w:p>
    <w:p>
      <w:pPr>
        <w:spacing w:after="0" w:line="229"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HighPeak Energy will participate in-person at the upcoming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Roth Conference to be held from March 23-25, 2026, located in Dana Point, California.</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HighPeak Energy,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HighPeak Energy, Inc. is a publicly traded independent crude oil and natural gas company, headquartered in Fort Worth, Texas, focused on the acquisition, development, exploration and exploitation of unconventional crude oil and natural gas reserves in the Midland Basin in West Texas. For more information, please visit our website at </w:t>
      </w:r>
      <w:r>
        <w:rPr>
          <w:rFonts w:ascii="Times New Roman" w:cs="Times New Roman" w:eastAsia="Times New Roman" w:hAnsi="Times New Roman"/>
          <w:sz w:val="18"/>
          <w:szCs w:val="18"/>
          <w:u w:val="single" w:color="auto"/>
          <w:color w:val="auto"/>
        </w:rPr>
        <w:t>www.highpeakenergy.com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in this press release contains forward-looking statements that involve risks and uncertainties. When used in this document, the words “believes,” “plans,” “expects,” “anticipates,” “forecasts,” “intends,” “continue,” “may,” “will,” “could,” “should,” “future,” “potential,” “estimate” or the negative of such terms and similar expressions as they relate to HighPeak Energy, Inc. (“HighPeak Energy” or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For example, the Company’s review of strategic alternatives may not result in a sale of the Company, a recommendation that a transaction occur or result in a completed transaction, and any transaction that occurs may not increase shareholder value, in each case as a result of such risks and uncertainties.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risks and uncertainties include, among other things, the results of the strategic review being undertaken by the Company’s Board and the interest of prospective counterparties, the Company’s ability to realize the results contemplated by its 2026 guidance, volatility of commodity prices, political instability or armed conflicts in crude or natural gas producing regions such as the ongoing war between Russia and Ukraine and conflicts in the Middle East, product supply and demand, the impact of a widespread outbreak of an illness, such as the coronavirus disease pandemic, on global and U.S. economic activity, competition, OPEC+ policy decisions, potential new trade policies, such as tariffs, could adversely affect the Company’s operations, business and profitability, inflationary pressures on costs of oilfield goods, services and personnel, the ability to obtain environmental and other permits and the timing thereof, other government regulation or action, the ability to obtain approvals from third parties and negotiate agreements with third parties on mutually acceptable terms, litigation, the costs and results of drilling and operations, availability of equipment, services, resources and personnel required to perform the Company's drilling and operating activities, access to and availability of transportation, processing, fractionation, refining and storage facilities, HighPeak Energy's ability to replace reserves, implement its business plans or complete its development activities as scheduled, access to and cost of capital, the financial strength of counterparties to any credit facility and derivative contracts entered into by HighPeak Energy, if any, and purchasers of HighPeak Energy's oil, natural gas liquids and natural gas production, uncertainties about estimates of reserves, identification of drilling locations and the ability to add proved reserves in the future, the assumptions underlying forecasts, including forecasts of production, expenses, cash flow from sales of oil and gas and tax rates, quality of technical data, environmental and weather risks, including the possible impacts of climate change, cybersecurity risks and acts of war or terrorism. These and other risks are described in the Company's Annual Report on Form 10-K, Quarterly Reports on Form 10-Q, and Current Reports on Form 8-K and other filings with the SEC. The Company undertakes no duty to publicly update these statements except as required by law.</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Reserve engineering is a process of estimating underground accumulations of hydrocarbons that cannot be measured in an exact way. The accuracy of any reserve estimate depends on the quality of available data, the interpretation of such data and price and cost assumptions made by reserve engineers. Reserves estimates included herein may not be indicative of the level of reserves or PV-10 value of oil and natural gas production in the future. In addition, the results of drilling, testing and production activities may justify revisions of estimates that were made previously. If significant, such revisions could impact HighPeak’s strategy and change the schedule of any further production and development drilling. Accordingly, reserve estimates may differ significantly from the quantities of oil and natural gas that are ultimately recovered.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Projections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operational, industry and market projections, estimates and targets in this press release and in the Company’s guidance (including production, operating expenses and capital expenditures in future periods) are based on assumptions that are inherently subject to significant uncertainties and contingencies, many of which are beyond the Company’s control. The assumptions and estimates underlying the projected, expected or target results are inherently uncertain and are subject to a wide variety of significant business, economic, regulatory and competitive risks and uncertainties that could cause actual results to differ materially from those contained in the financial, operational, industry and market projections, estimates and targets, including assumptions, risks and uncertainties described in “Cautionary Note Regarding Forward-Looking Statements” above. These projections are speculative by their nature and, accordingly, are subject to significant risk of not being actually realized by the Company. Projected results of the Company for 2026 are particularly speculative and subject to change. Actual results may vary materially from the current projections, including for reasons beyond the Company’s control. The projections are based on current expectations and available information as of the date of this release. The Company undertakes no duty to publicly update these projections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Drilling Locations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estimated its drilling locations based on well spacing assumptions and upon the evaluation of its drilling results and those of other operators in its area, combined with its interpretation of available geologic and engineering data. The drilling locations actually drilled on the Company’s properties will depend on the availability of capital, regulatory approvals, commodity prices, costs, actual drilling results and other factors. Any drilling activities conducted on these identified locations may not be successful and may not result in additional proved reserves. Further, to the extent the drilling locations are associated with acreage that expires, the Company would lose its right to develop the related locations.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162,075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85,242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259,897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195,012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Proved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4,477,368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3,959,545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properties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70,868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(1,606,217)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(1,184,684)</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2,930,436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2,845,729</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19,346</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3,213,714</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74,011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35,170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230,256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284,630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1,132,807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928,384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232,398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1,162,007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1,166,609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432,549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435,834</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1,594,569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3,213,714</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3,063,288</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18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152,057</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232,881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785,977</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1,060,476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1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13,782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56,699</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165,839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248,949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863,359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1,117,175</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36,892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132,244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47,761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59,677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110,589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182,163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174,872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710,542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775,969</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337,411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26,168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130,920</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earnings per share:</w:t>
            </w: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(loss) income</w:t>
            </w:r>
          </w:p>
        </w:tc>
        <w:tc>
          <w:tcPr>
            <w:tcW w:w="18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(loss) income</w:t>
            </w:r>
          </w:p>
        </w:tc>
        <w:tc>
          <w:tcPr>
            <w:tcW w:w="18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125,265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125,265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129,205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18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received (paid) on settlement of 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9,347</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511,597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690,391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crude oil and natural gas property additions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(620,843)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Term Loan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Senior Credit Facility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under Senior Credit Facility Agreement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 on extinguishment of debt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offering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(177,414)</w:t>
            </w: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162,075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86,649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2" w:name="page13"/>
    <w:bookmarkEnd w:id="12"/>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Summary Operating Highlights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14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6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46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Daily Sales Volumes: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37,914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NGLs (Bbls)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6,2414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34,828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49,960</w:t>
            </w:r>
          </w:p>
        </w:tc>
      </w:tr>
      <w:tr>
        <w:trPr>
          <w:trHeight w:val="216"/>
        </w:trPr>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Realized Prices (excluding effects of derivatives):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1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58.95</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per Bbl</w:t>
            </w:r>
          </w:p>
        </w:tc>
        <w:tc>
          <w:tcPr>
            <w:tcW w:w="16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1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16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61.10</w:t>
            </w:r>
          </w:p>
        </w:tc>
      </w:tr>
      <w:tr>
        <w:trPr>
          <w:trHeight w:val="216"/>
        </w:trPr>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 Data ($ per Boe, excluding effects of derivatives):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1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41.27</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costs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Expense workovers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Gathering, processing &amp; transportation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46.88</w:t>
            </w:r>
          </w:p>
        </w:tc>
      </w:tr>
      <w:tr>
        <w:trPr>
          <w:trHeight w:val="20"/>
        </w:trPr>
        <w:tc>
          <w:tcPr>
            <w:tcW w:w="4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06"/>
        </w:trPr>
        <w:tc>
          <w:tcPr>
            <w:tcW w:w="4600" w:type="dxa"/>
            <w:vAlign w:val="bottom"/>
          </w:tcPr>
          <w:p>
            <w:pPr>
              <w:spacing w:after="0"/>
              <w:rPr>
                <w:sz w:val="24"/>
                <w:szCs w:val="24"/>
                <w:color w:val="auto"/>
              </w:rPr>
            </w:pPr>
          </w:p>
        </w:tc>
        <w:tc>
          <w:tcPr>
            <w:tcW w:w="27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HighPeak Energy, Inc.</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7360" w:type="dxa"/>
            <w:vAlign w:val="bottom"/>
            <w:gridSpan w:val="5"/>
          </w:tcPr>
          <w:p>
            <w:pPr>
              <w:ind w:left="4100"/>
              <w:spacing w:after="0"/>
              <w:rPr>
                <w:sz w:val="20"/>
                <w:szCs w:val="20"/>
                <w:color w:val="auto"/>
              </w:rPr>
            </w:pPr>
            <w:r>
              <w:rPr>
                <w:rFonts w:ascii="Times New Roman" w:cs="Times New Roman" w:eastAsia="Times New Roman" w:hAnsi="Times New Roman"/>
                <w:sz w:val="18"/>
                <w:szCs w:val="18"/>
                <w:b w:val="1"/>
                <w:bCs w:val="1"/>
                <w:color w:val="auto"/>
              </w:rPr>
              <w:t>Unaudited Earnings Per Share Details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14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60" w:type="dxa"/>
            <w:vAlign w:val="bottom"/>
          </w:tcPr>
          <w:p>
            <w:pPr>
              <w:spacing w:after="0"/>
              <w:rPr>
                <w:sz w:val="24"/>
                <w:szCs w:val="24"/>
                <w:color w:val="auto"/>
              </w:rPr>
            </w:pPr>
          </w:p>
        </w:tc>
      </w:tr>
      <w:tr>
        <w:trPr>
          <w:trHeight w:val="238"/>
        </w:trPr>
        <w:tc>
          <w:tcPr>
            <w:tcW w:w="4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46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as reported</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r>
      <w:tr>
        <w:trPr>
          <w:trHeight w:val="216"/>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Participating basic earnings</w:t>
            </w: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(losses) earnings attributable to common shareholders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85,914</w:t>
            </w:r>
          </w:p>
        </w:tc>
      </w:tr>
      <w:tr>
        <w:trPr>
          <w:trHeight w:val="22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income attributable to common shareholders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86,022</w:t>
            </w:r>
          </w:p>
        </w:tc>
      </w:tr>
      <w:tr>
        <w:trPr>
          <w:trHeight w:val="20"/>
        </w:trPr>
        <w:tc>
          <w:tcPr>
            <w:tcW w:w="4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4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125,265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r>
      <w:tr>
        <w:trPr>
          <w:trHeight w:val="25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3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125,265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128,073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125,330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129,205</w:t>
            </w:r>
          </w:p>
        </w:tc>
      </w:tr>
      <w:tr>
        <w:trPr>
          <w:trHeight w:val="197"/>
        </w:trPr>
        <w:tc>
          <w:tcPr>
            <w:tcW w:w="4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shareholders: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r>
      <w:tr>
        <w:trPr>
          <w:trHeight w:val="414"/>
        </w:trPr>
        <w:tc>
          <w:tcPr>
            <w:tcW w:w="460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Net Income to EBITDAX, Discretionary Cash Flow and Net Cash Provided by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9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110,589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421,776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32,218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EBITDAX</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113,862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607,056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842,855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(150,569)</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3,513</w:t>
            </w: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Discretionary cash flow</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78,831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695,799</w:t>
            </w:r>
          </w:p>
        </w:tc>
      </w:tr>
      <w:tr>
        <w:trPr>
          <w:trHeight w:val="22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40,309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93,093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139,518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511,597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690,391</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includes interest and other income net of current tax expense, other expense and operating portion of exploration and abandonment expenses.</w:t>
      </w: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Reconciliation of Net Cash Provided by Operations and Free Cash Flow</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6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3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93,093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139,518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511,597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690,391</w:t>
            </w: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 back net change in operating assets and liabilities</w:t>
            </w:r>
          </w:p>
        </w:tc>
        <w:tc>
          <w:tcPr>
            <w:tcW w:w="1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(40,309)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 before working capital changes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78,831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695,799</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(515,379)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(604,828)</w:t>
            </w:r>
          </w:p>
        </w:tc>
      </w:tr>
      <w:tr>
        <w:trPr>
          <w:trHeight w:val="198"/>
        </w:trPr>
        <w:tc>
          <w:tcPr>
            <w:tcW w:w="6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working capital associated with crude oil and natural gas property</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34,723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68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(37,841)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89,677</w:t>
            </w:r>
          </w:p>
        </w:tc>
      </w:tr>
      <w:tr>
        <w:trPr>
          <w:trHeight w:val="20"/>
        </w:trPr>
        <w:tc>
          <w:tcPr>
            <w:tcW w:w="4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06"/>
        </w:trPr>
        <w:tc>
          <w:tcPr>
            <w:tcW w:w="4300" w:type="dxa"/>
            <w:vAlign w:val="bottom"/>
          </w:tcPr>
          <w:p>
            <w:pPr>
              <w:spacing w:after="0"/>
              <w:rPr>
                <w:sz w:val="24"/>
                <w:szCs w:val="24"/>
                <w:color w:val="auto"/>
              </w:rPr>
            </w:pPr>
          </w:p>
        </w:tc>
        <w:tc>
          <w:tcPr>
            <w:tcW w:w="306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700" w:type="dxa"/>
            <w:vAlign w:val="bottom"/>
            <w:gridSpan w:val="8"/>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Unaudited Reconciliation of Standardized Measure to PV-10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20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5"/>
              </w:rPr>
              <w:t>Total Proved</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1,912,755</w:t>
            </w: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Present value of future income taxes and certain abandonment costs discounted at 10%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144,242</w:t>
            </w:r>
          </w:p>
        </w:tc>
      </w:tr>
      <w:tr>
        <w:trPr>
          <w:trHeight w:val="250"/>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estimated future cash flows (PV-10)</w:t>
            </w:r>
          </w:p>
        </w:tc>
        <w:tc>
          <w:tcPr>
            <w:tcW w:w="1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2,056,997</w:t>
            </w:r>
          </w:p>
        </w:tc>
      </w:tr>
    </w:tbl>
    <w:p>
      <w:pPr>
        <w:spacing w:after="0" w:line="200"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line="210"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ind w:left="1780"/>
        <w:spacing w:after="0"/>
        <w:rPr>
          <w:sz w:val="20"/>
          <w:szCs w:val="20"/>
          <w:color w:val="auto"/>
        </w:rPr>
      </w:pPr>
      <w:r>
        <w:rPr>
          <w:rFonts w:ascii="Times New Roman" w:cs="Times New Roman" w:eastAsia="Times New Roman" w:hAnsi="Times New Roman"/>
          <w:sz w:val="17"/>
          <w:szCs w:val="17"/>
          <w:b w:val="1"/>
          <w:bCs w:val="1"/>
          <w:color w:val="auto"/>
        </w:rPr>
        <w:t>Unaudited Change in Reserves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Reserves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discoveries and revisions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reserves-in-place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Proved Reserves on December 31, 2025</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MBoe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198,998</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(7,457)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(17,628)</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173,891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31750</wp:posOffset>
            </wp:positionV>
            <wp:extent cx="986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2">
            <w:col w:w="9460" w:space="720"/>
            <w:col w:w="1060"/>
          </w:cols>
          <w:pgMar w:left="320" w:top="57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Hightower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817.850.9204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rhightower@highpeakenergy.com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HighPeak Energy, Inc.</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9979"/>
      </w:cols>
      <w:pgMar w:left="48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2026-03-11T15:33:44Z</dcterms:created>
  <dcterms:modified xsi:type="dcterms:W3CDTF">2026-03-11T15:33:44Z</dcterms:modified>
</cp:coreProperties>
</file>