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8"/>
        </w:trPr>
        <w:tc>
          <w:tcPr>
            <w:tcW w:w="1240" w:type="dxa"/>
            <w:vAlign w:val="bottom"/>
            <w:gridSpan w:val="4"/>
          </w:tcPr>
          <w:p>
            <w:pPr>
              <w:spacing w:after="0"/>
              <w:rPr>
                <w:sz w:val="20"/>
                <w:szCs w:val="20"/>
                <w:color w:val="auto"/>
              </w:rPr>
            </w:pPr>
            <w:r>
              <w:rPr>
                <w:rFonts w:ascii="Arial" w:cs="Arial" w:eastAsia="Arial" w:hAnsi="Arial"/>
                <w:sz w:val="20"/>
                <w:szCs w:val="20"/>
                <w:color w:val="auto"/>
              </w:rPr>
              <w:t>SEC Form 4</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3"/>
          </w:tcPr>
          <w:p>
            <w:pPr>
              <w:ind w:left="620"/>
              <w:spacing w:after="0" w:line="259" w:lineRule="exact"/>
              <w:rPr>
                <w:sz w:val="20"/>
                <w:szCs w:val="20"/>
                <w:color w:val="auto"/>
              </w:rPr>
            </w:pPr>
            <w:r>
              <w:rPr>
                <w:rFonts w:ascii="Arial" w:cs="Arial" w:eastAsia="Arial" w:hAnsi="Arial"/>
                <w:sz w:val="23"/>
                <w:szCs w:val="23"/>
                <w:b w:val="1"/>
                <w:bCs w:val="1"/>
                <w:color w:val="auto"/>
              </w:rPr>
              <w:t>FORM 4</w:t>
            </w:r>
          </w:p>
        </w:tc>
        <w:tc>
          <w:tcPr>
            <w:tcW w:w="6420" w:type="dxa"/>
            <w:vAlign w:val="bottom"/>
            <w:gridSpan w:val="10"/>
          </w:tcPr>
          <w:p>
            <w:pPr>
              <w:jc w:val="center"/>
              <w:ind w:right="34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39" w:lineRule="exact"/>
              <w:rPr>
                <w:sz w:val="20"/>
                <w:szCs w:val="20"/>
                <w:color w:val="auto"/>
              </w:rPr>
            </w:pPr>
            <w:r>
              <w:rPr>
                <w:rFonts w:ascii="Arial" w:cs="Arial" w:eastAsia="Arial" w:hAnsi="Arial"/>
                <w:sz w:val="13"/>
                <w:szCs w:val="13"/>
                <w:color w:val="auto"/>
                <w:w w:val="95"/>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Borders>
              <w:top w:val="single" w:sz="8" w:color="808080"/>
            </w:tcBorders>
          </w:tcPr>
          <w:p>
            <w:pPr>
              <w:spacing w:after="0"/>
              <w:rPr>
                <w:sz w:val="2"/>
                <w:szCs w:val="2"/>
                <w:color w:val="auto"/>
              </w:rPr>
            </w:pPr>
          </w:p>
        </w:tc>
        <w:tc>
          <w:tcPr>
            <w:tcW w:w="60" w:type="dxa"/>
            <w:vAlign w:val="bottom"/>
            <w:tcBorders>
              <w:top w:val="single" w:sz="8" w:color="808080"/>
              <w:bottom w:val="single" w:sz="8" w:color="2C2C2C"/>
            </w:tcBorders>
          </w:tcPr>
          <w:p>
            <w:pPr>
              <w:spacing w:after="0"/>
              <w:rPr>
                <w:sz w:val="2"/>
                <w:szCs w:val="2"/>
                <w:color w:val="auto"/>
              </w:rPr>
            </w:pPr>
          </w:p>
        </w:tc>
        <w:tc>
          <w:tcPr>
            <w:tcW w:w="800" w:type="dxa"/>
            <w:vAlign w:val="bottom"/>
            <w:tcBorders>
              <w:top w:val="single" w:sz="8" w:color="808080"/>
              <w:bottom w:val="single" w:sz="8" w:color="2C2C2C"/>
            </w:tcBorders>
          </w:tcPr>
          <w:p>
            <w:pPr>
              <w:spacing w:after="0"/>
              <w:rPr>
                <w:sz w:val="2"/>
                <w:szCs w:val="2"/>
                <w:color w:val="auto"/>
              </w:rPr>
            </w:pPr>
          </w:p>
        </w:tc>
        <w:tc>
          <w:tcPr>
            <w:tcW w:w="880" w:type="dxa"/>
            <w:vAlign w:val="bottom"/>
            <w:tcBorders>
              <w:top w:val="single" w:sz="8" w:color="808080"/>
              <w:bottom w:val="single" w:sz="8" w:color="2C2C2C"/>
            </w:tcBorders>
          </w:tcPr>
          <w:p>
            <w:pPr>
              <w:spacing w:after="0"/>
              <w:rPr>
                <w:sz w:val="2"/>
                <w:szCs w:val="2"/>
                <w:color w:val="auto"/>
              </w:rPr>
            </w:pPr>
          </w:p>
        </w:tc>
        <w:tc>
          <w:tcPr>
            <w:tcW w:w="260" w:type="dxa"/>
            <w:vAlign w:val="bottom"/>
            <w:tcBorders>
              <w:top w:val="single" w:sz="8" w:color="808080"/>
              <w:bottom w:val="single" w:sz="8" w:color="2C2C2C"/>
            </w:tcBorders>
          </w:tcPr>
          <w:p>
            <w:pPr>
              <w:spacing w:after="0"/>
              <w:rPr>
                <w:sz w:val="2"/>
                <w:szCs w:val="2"/>
                <w:color w:val="auto"/>
              </w:rPr>
            </w:pPr>
          </w:p>
        </w:tc>
        <w:tc>
          <w:tcPr>
            <w:tcW w:w="20" w:type="dxa"/>
            <w:vAlign w:val="bottom"/>
            <w:tcBorders>
              <w:top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80" w:type="dxa"/>
            <w:vAlign w:val="bottom"/>
            <w:gridSpan w:val="2"/>
            <w:vMerge w:val="restart"/>
          </w:tcPr>
          <w:p>
            <w:pPr>
              <w:ind w:left="300"/>
              <w:spacing w:after="0"/>
              <w:rPr>
                <w:sz w:val="20"/>
                <w:szCs w:val="20"/>
                <w:color w:val="auto"/>
              </w:rPr>
            </w:pPr>
            <w:r>
              <w:rPr>
                <w:rFonts w:ascii="Arial" w:cs="Arial" w:eastAsia="Arial" w:hAnsi="Arial"/>
                <w:sz w:val="16"/>
                <w:szCs w:val="16"/>
                <w:color w:val="auto"/>
              </w:rPr>
              <w:t>OMB APPROVAL</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gridSpan w:val="2"/>
            <w:vMerge w:val="continue"/>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420" w:type="dxa"/>
            <w:vAlign w:val="bottom"/>
            <w:gridSpan w:val="10"/>
            <w:vMerge w:val="restart"/>
          </w:tcPr>
          <w:p>
            <w:pPr>
              <w:jc w:val="center"/>
              <w:ind w:right="340"/>
              <w:spacing w:after="0"/>
              <w:rPr>
                <w:sz w:val="20"/>
                <w:szCs w:val="20"/>
                <w:color w:val="auto"/>
              </w:rPr>
            </w:pPr>
            <w:r>
              <w:rPr>
                <w:rFonts w:ascii="Arial" w:cs="Arial" w:eastAsia="Arial" w:hAnsi="Arial"/>
                <w:sz w:val="20"/>
                <w:szCs w:val="20"/>
                <w:b w:val="1"/>
                <w:bCs w:val="1"/>
                <w:color w:val="auto"/>
              </w:rPr>
              <w:t>STATEMENT OF CHANGES IN BENEFICIAL OWNERSHIP</w:t>
            </w:r>
          </w:p>
        </w:tc>
        <w:tc>
          <w:tcPr>
            <w:tcW w:w="800" w:type="dxa"/>
            <w:vAlign w:val="bottom"/>
          </w:tcPr>
          <w:p>
            <w:pPr>
              <w:spacing w:after="0"/>
              <w:rPr>
                <w:sz w:val="20"/>
                <w:szCs w:val="20"/>
                <w:color w:val="auto"/>
              </w:rPr>
            </w:pPr>
            <w:r>
              <w:rPr>
                <w:rFonts w:ascii="Arial" w:cs="Arial" w:eastAsia="Arial" w:hAnsi="Arial"/>
                <w:sz w:val="11"/>
                <w:szCs w:val="11"/>
                <w:color w:val="auto"/>
              </w:rPr>
              <w:t>OMB Number:</w:t>
            </w:r>
          </w:p>
        </w:tc>
        <w:tc>
          <w:tcPr>
            <w:tcW w:w="1140" w:type="dxa"/>
            <w:vAlign w:val="bottom"/>
            <w:gridSpan w:val="2"/>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6420" w:type="dxa"/>
            <w:vAlign w:val="bottom"/>
            <w:gridSpan w:val="10"/>
            <w:vMerge w:val="continue"/>
          </w:tcPr>
          <w:p>
            <w:pPr>
              <w:spacing w:after="0"/>
              <w:rPr>
                <w:sz w:val="6"/>
                <w:szCs w:val="6"/>
                <w:color w:val="auto"/>
              </w:rPr>
            </w:pPr>
          </w:p>
        </w:tc>
        <w:tc>
          <w:tcPr>
            <w:tcW w:w="1680" w:type="dxa"/>
            <w:vAlign w:val="bottom"/>
            <w:gridSpan w:val="2"/>
            <w:vMerge w:val="restart"/>
          </w:tcPr>
          <w:p>
            <w:pPr>
              <w:spacing w:after="0"/>
              <w:rPr>
                <w:sz w:val="20"/>
                <w:szCs w:val="20"/>
                <w:color w:val="auto"/>
              </w:rPr>
            </w:pPr>
            <w:r>
              <w:rPr>
                <w:rFonts w:ascii="Arial" w:cs="Arial" w:eastAsia="Arial" w:hAnsi="Arial"/>
                <w:sz w:val="11"/>
                <w:szCs w:val="11"/>
                <w:color w:val="auto"/>
              </w:rPr>
              <w:t>Estimated average burden</w:t>
            </w: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tcPr>
          <w:p>
            <w:pPr>
              <w:ind w:left="240"/>
              <w:spacing w:after="0" w:line="123" w:lineRule="exact"/>
              <w:rPr>
                <w:sz w:val="20"/>
                <w:szCs w:val="20"/>
                <w:color w:val="auto"/>
              </w:rPr>
            </w:pPr>
            <w:r>
              <w:rPr>
                <w:rFonts w:ascii="Arial" w:cs="Arial" w:eastAsia="Arial" w:hAnsi="Arial"/>
                <w:sz w:val="11"/>
                <w:szCs w:val="11"/>
                <w:color w:val="auto"/>
              </w:rPr>
              <w:t>Section 16. Form 4 or Form 5</w:t>
            </w: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3"/>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780" w:type="dxa"/>
            <w:vAlign w:val="bottom"/>
          </w:tcPr>
          <w:p>
            <w:pPr>
              <w:spacing w:after="0"/>
              <w:rPr>
                <w:sz w:val="11"/>
                <w:szCs w:val="11"/>
                <w:color w:val="auto"/>
              </w:rPr>
            </w:pPr>
          </w:p>
        </w:tc>
        <w:tc>
          <w:tcPr>
            <w:tcW w:w="4360" w:type="dxa"/>
            <w:vAlign w:val="bottom"/>
            <w:gridSpan w:val="5"/>
            <w:vMerge w:val="restart"/>
          </w:tcPr>
          <w:p>
            <w:pPr>
              <w:jc w:val="center"/>
              <w:ind w:left="92"/>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2"/>
          </w:tcPr>
          <w:p>
            <w:pPr>
              <w:spacing w:after="0"/>
              <w:rPr>
                <w:sz w:val="20"/>
                <w:szCs w:val="20"/>
                <w:color w:val="auto"/>
              </w:rPr>
            </w:pPr>
            <w:r>
              <w:rPr>
                <w:rFonts w:ascii="Arial" w:cs="Arial" w:eastAsia="Arial" w:hAnsi="Arial"/>
                <w:sz w:val="11"/>
                <w:szCs w:val="11"/>
                <w:color w:val="auto"/>
              </w:rPr>
              <w:t>hours per response:</w:t>
            </w:r>
          </w:p>
        </w:tc>
        <w:tc>
          <w:tcPr>
            <w:tcW w:w="2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20" w:type="dxa"/>
            <w:vAlign w:val="bottom"/>
            <w:vMerge w:val="restart"/>
          </w:tcPr>
          <w:p>
            <w:pPr>
              <w:ind w:left="240"/>
              <w:spacing w:after="0" w:line="91" w:lineRule="exact"/>
              <w:rPr>
                <w:sz w:val="20"/>
                <w:szCs w:val="20"/>
                <w:color w:val="auto"/>
              </w:rPr>
            </w:pPr>
            <w:r>
              <w:rPr>
                <w:rFonts w:ascii="Arial" w:cs="Arial" w:eastAsia="Arial" w:hAnsi="Arial"/>
                <w:sz w:val="10"/>
                <w:szCs w:val="10"/>
                <w:color w:val="auto"/>
              </w:rPr>
              <w:t>Instruction 1(b).</w:t>
            </w: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36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6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7"/>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6"/>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5"/>
          </w:tcPr>
          <w:p>
            <w:pPr>
              <w:ind w:left="60"/>
              <w:spacing w:after="0" w:line="202"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3"/>
            <w:vMerge w:val="restart"/>
          </w:tcPr>
          <w:p>
            <w:pPr>
              <w:spacing w:after="0"/>
              <w:rPr>
                <w:rFonts w:ascii="Arial" w:cs="Arial" w:eastAsia="Arial" w:hAnsi="Arial"/>
                <w:sz w:val="20"/>
                <w:szCs w:val="20"/>
                <w:color w:val="0000EE"/>
              </w:rPr>
            </w:pPr>
            <w:hyperlink r:id="rId8">
              <w:r>
                <w:rPr>
                  <w:rFonts w:ascii="Arial" w:cs="Arial" w:eastAsia="Arial" w:hAnsi="Arial"/>
                  <w:sz w:val="20"/>
                  <w:szCs w:val="20"/>
                  <w:color w:val="0000EE"/>
                </w:rPr>
                <w:t>HIGHTOWER JACK</w:t>
              </w:r>
            </w:hyperlink>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tcPr>
          <w:p>
            <w:pPr>
              <w:spacing w:after="0" w:line="169" w:lineRule="exact"/>
              <w:rPr>
                <w:rFonts w:ascii="Arial" w:cs="Arial" w:eastAsia="Arial" w:hAnsi="Arial"/>
                <w:sz w:val="19"/>
                <w:szCs w:val="19"/>
                <w:color w:val="0000EE"/>
              </w:rPr>
            </w:pPr>
            <w:hyperlink r:id="rId9">
              <w:r>
                <w:rPr>
                  <w:rFonts w:ascii="Arial" w:cs="Arial" w:eastAsia="Arial" w:hAnsi="Arial"/>
                  <w:sz w:val="19"/>
                  <w:szCs w:val="19"/>
                  <w:color w:val="0000EE"/>
                </w:rPr>
                <w:t xml:space="preserve">HighPeak Energy,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HPK</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1280" w:type="dxa"/>
            <w:vAlign w:val="bottom"/>
            <w:gridSpan w:val="4"/>
          </w:tcPr>
          <w:p>
            <w:pPr>
              <w:ind w:left="60"/>
              <w:spacing w:after="0"/>
              <w:rPr>
                <w:sz w:val="20"/>
                <w:szCs w:val="20"/>
                <w:color w:val="auto"/>
              </w:rPr>
            </w:pPr>
            <w:r>
              <w:rPr>
                <w:rFonts w:ascii="Arial" w:cs="Arial" w:eastAsia="Arial" w:hAnsi="Arial"/>
                <w:sz w:val="13"/>
                <w:szCs w:val="13"/>
                <w:color w:val="auto"/>
                <w:w w:val="96"/>
              </w:rPr>
              <w:t>(Check all applicable)</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940" w:type="dxa"/>
            <w:vAlign w:val="bottom"/>
          </w:tcPr>
          <w:p>
            <w:pPr>
              <w:spacing w:after="0"/>
              <w:rPr>
                <w:sz w:val="5"/>
                <w:szCs w:val="5"/>
                <w:color w:val="auto"/>
              </w:rPr>
            </w:pPr>
          </w:p>
        </w:tc>
        <w:tc>
          <w:tcPr>
            <w:tcW w:w="1280" w:type="dxa"/>
            <w:vAlign w:val="bottom"/>
            <w:gridSpan w:val="4"/>
            <w:vMerge w:val="restart"/>
          </w:tcPr>
          <w:p>
            <w:pPr>
              <w:ind w:left="260"/>
              <w:spacing w:after="0" w:line="179"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800" w:type="dxa"/>
            <w:vAlign w:val="bottom"/>
            <w:vMerge w:val="restart"/>
          </w:tcPr>
          <w:p>
            <w:pPr>
              <w:ind w:left="540"/>
              <w:spacing w:after="0" w:line="179" w:lineRule="exact"/>
              <w:rPr>
                <w:sz w:val="20"/>
                <w:szCs w:val="20"/>
                <w:color w:val="auto"/>
              </w:rPr>
            </w:pPr>
            <w:r>
              <w:rPr>
                <w:rFonts w:ascii="Arial" w:cs="Arial" w:eastAsia="Arial" w:hAnsi="Arial"/>
                <w:sz w:val="16"/>
                <w:szCs w:val="16"/>
                <w:color w:val="0000FF"/>
              </w:rPr>
              <w:t>X</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940" w:type="dxa"/>
            <w:vAlign w:val="bottom"/>
            <w:tcBorders>
              <w:bottom w:val="single" w:sz="8" w:color="2C2C2C"/>
            </w:tcBorders>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600" w:type="dxa"/>
            <w:vAlign w:val="bottom"/>
            <w:gridSpan w:val="4"/>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w w:val="98"/>
              </w:rPr>
              <w:t>Other (specify</w:t>
            </w: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120" w:type="dxa"/>
            <w:vAlign w:val="bottom"/>
            <w:tcBorders>
              <w:top w:val="single" w:sz="8" w:color="EEEEEE"/>
            </w:tcBorders>
          </w:tcPr>
          <w:p>
            <w:pPr>
              <w:spacing w:after="0"/>
              <w:rPr>
                <w:sz w:val="7"/>
                <w:szCs w:val="7"/>
                <w:color w:val="auto"/>
              </w:rPr>
            </w:pPr>
          </w:p>
        </w:tc>
        <w:tc>
          <w:tcPr>
            <w:tcW w:w="660" w:type="dxa"/>
            <w:vAlign w:val="bottom"/>
            <w:tcBorders>
              <w:top w:val="single" w:sz="8" w:color="EEEEEE"/>
            </w:tcBorders>
          </w:tcPr>
          <w:p>
            <w:pPr>
              <w:spacing w:after="0"/>
              <w:rPr>
                <w:sz w:val="7"/>
                <w:szCs w:val="7"/>
                <w:color w:val="auto"/>
              </w:rPr>
            </w:pPr>
          </w:p>
        </w:tc>
        <w:tc>
          <w:tcPr>
            <w:tcW w:w="640" w:type="dxa"/>
            <w:vAlign w:val="bottom"/>
            <w:tcBorders>
              <w:top w:val="single" w:sz="8" w:color="EEEEEE"/>
            </w:tcBorders>
          </w:tcPr>
          <w:p>
            <w:pPr>
              <w:spacing w:after="0"/>
              <w:rPr>
                <w:sz w:val="7"/>
                <w:szCs w:val="7"/>
                <w:color w:val="auto"/>
              </w:rPr>
            </w:pPr>
          </w:p>
        </w:tc>
        <w:tc>
          <w:tcPr>
            <w:tcW w:w="780" w:type="dxa"/>
            <w:vAlign w:val="bottom"/>
            <w:tcBorders>
              <w:top w:val="single" w:sz="8" w:color="EEEEEE"/>
            </w:tcBorders>
          </w:tcPr>
          <w:p>
            <w:pPr>
              <w:spacing w:after="0"/>
              <w:rPr>
                <w:sz w:val="7"/>
                <w:szCs w:val="7"/>
                <w:color w:val="auto"/>
              </w:rPr>
            </w:pPr>
          </w:p>
        </w:tc>
        <w:tc>
          <w:tcPr>
            <w:tcW w:w="44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7"/>
                <w:szCs w:val="7"/>
                <w:color w:val="auto"/>
              </w:rPr>
            </w:pPr>
          </w:p>
        </w:tc>
        <w:tc>
          <w:tcPr>
            <w:tcW w:w="1600" w:type="dxa"/>
            <w:vAlign w:val="bottom"/>
            <w:gridSpan w:val="4"/>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100"/>
              <w:spacing w:after="0"/>
              <w:rPr>
                <w:sz w:val="20"/>
                <w:szCs w:val="20"/>
                <w:color w:val="auto"/>
              </w:rPr>
            </w:pPr>
            <w:r>
              <w:rPr>
                <w:rFonts w:ascii="Arial" w:cs="Arial" w:eastAsia="Arial" w:hAnsi="Arial"/>
                <w:sz w:val="13"/>
                <w:szCs w:val="13"/>
                <w:color w:val="auto"/>
              </w:rPr>
              <w:t>(First)</w:t>
            </w: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3"/>
                <w:szCs w:val="13"/>
                <w:color w:val="auto"/>
              </w:rPr>
              <w:t>below)</w:t>
            </w:r>
          </w:p>
        </w:tc>
        <w:tc>
          <w:tcPr>
            <w:tcW w:w="80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420" w:type="dxa"/>
            <w:vAlign w:val="bottom"/>
            <w:gridSpan w:val="4"/>
          </w:tcPr>
          <w:p>
            <w:pPr>
              <w:ind w:left="600"/>
              <w:spacing w:after="0" w:line="128" w:lineRule="exact"/>
              <w:rPr>
                <w:sz w:val="20"/>
                <w:szCs w:val="20"/>
                <w:color w:val="auto"/>
              </w:rPr>
            </w:pPr>
            <w:r>
              <w:rPr>
                <w:rFonts w:ascii="Arial" w:cs="Arial" w:eastAsia="Arial" w:hAnsi="Arial"/>
                <w:sz w:val="14"/>
                <w:szCs w:val="14"/>
                <w:color w:val="0000FF"/>
              </w:rPr>
              <w:t>07/19/2023</w:t>
            </w:r>
          </w:p>
        </w:tc>
        <w:tc>
          <w:tcPr>
            <w:tcW w:w="1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-1363345</wp:posOffset>
            </wp:positionV>
            <wp:extent cx="6996430" cy="6330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6430" cy="633031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8"/>
        </w:trPr>
        <w:tc>
          <w:tcPr>
            <w:tcW w:w="5380" w:type="dxa"/>
            <w:vAlign w:val="bottom"/>
            <w:vMerge w:val="restart"/>
          </w:tcPr>
          <w:p>
            <w:pPr>
              <w:spacing w:after="0"/>
              <w:rPr>
                <w:sz w:val="20"/>
                <w:szCs w:val="20"/>
                <w:color w:val="auto"/>
              </w:rPr>
            </w:pPr>
            <w:r>
              <w:rPr>
                <w:rFonts w:ascii="Arial" w:cs="Arial" w:eastAsia="Arial" w:hAnsi="Arial"/>
                <w:sz w:val="16"/>
                <w:szCs w:val="16"/>
                <w:color w:val="0000FF"/>
              </w:rPr>
              <w:t>421 W. 3RD STREET, SUITE 1000</w:t>
            </w:r>
          </w:p>
        </w:tc>
        <w:tc>
          <w:tcPr>
            <w:tcW w:w="4620" w:type="dxa"/>
            <w:vAlign w:val="bottom"/>
          </w:tcPr>
          <w:p>
            <w:pPr>
              <w:ind w:left="3040"/>
              <w:spacing w:after="0"/>
              <w:rPr>
                <w:sz w:val="20"/>
                <w:szCs w:val="20"/>
                <w:color w:val="auto"/>
              </w:rPr>
            </w:pPr>
            <w:r>
              <w:rPr>
                <w:rFonts w:ascii="Arial" w:cs="Arial" w:eastAsia="Arial" w:hAnsi="Arial"/>
                <w:sz w:val="16"/>
                <w:szCs w:val="16"/>
                <w:color w:val="0000FF"/>
                <w:w w:val="95"/>
              </w:rPr>
              <w:t>Chief Executive Officer</w:t>
            </w:r>
          </w:p>
        </w:tc>
        <w:tc>
          <w:tcPr>
            <w:tcW w:w="0" w:type="dxa"/>
            <w:vAlign w:val="bottom"/>
          </w:tcPr>
          <w:p>
            <w:pPr>
              <w:spacing w:after="0"/>
              <w:rPr>
                <w:sz w:val="1"/>
                <w:szCs w:val="1"/>
                <w:color w:val="auto"/>
              </w:rPr>
            </w:pPr>
          </w:p>
        </w:tc>
      </w:tr>
      <w:tr>
        <w:trPr>
          <w:trHeight w:val="49"/>
        </w:trPr>
        <w:tc>
          <w:tcPr>
            <w:tcW w:w="5380" w:type="dxa"/>
            <w:vAlign w:val="bottom"/>
            <w:vMerge w:val="continue"/>
          </w:tcPr>
          <w:p>
            <w:pPr>
              <w:spacing w:after="0"/>
              <w:rPr>
                <w:sz w:val="4"/>
                <w:szCs w:val="4"/>
                <w:color w:val="auto"/>
              </w:rPr>
            </w:pPr>
          </w:p>
        </w:tc>
        <w:tc>
          <w:tcPr>
            <w:tcW w:w="4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ectPr>
          <w:pgSz w:w="11900" w:h="16838" w:orient="portrait"/>
          <w:cols w:equalWidth="0" w:num="1">
            <w:col w:w="11080"/>
          </w:cols>
          <w:pgMar w:left="460" w:top="219" w:right="359" w:bottom="1440" w:gutter="0" w:footer="0" w:header="0"/>
        </w:sectPr>
      </w:pPr>
    </w:p>
    <w:p>
      <w:pPr>
        <w:spacing w:after="0" w:line="218" w:lineRule="exact"/>
        <w:rPr>
          <w:sz w:val="20"/>
          <w:szCs w:val="20"/>
          <w:color w:val="auto"/>
        </w:rPr>
      </w:pPr>
    </w:p>
    <w:tbl>
      <w:tblPr>
        <w:tblLayout w:type="fixed"/>
        <w:tblInd w:w="80" w:type="dxa"/>
        <w:tblCellMar>
          <w:top w:w="0" w:type="dxa"/>
          <w:left w:w="0" w:type="dxa"/>
          <w:bottom w:w="0" w:type="dxa"/>
          <w:right w:w="0" w:type="dxa"/>
        </w:tblCellMar>
      </w:tblPr>
      <w:tr>
        <w:trPr>
          <w:trHeight w:val="160"/>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6"/>
                <w:szCs w:val="16"/>
                <w:color w:val="0000FF"/>
              </w:rPr>
              <w:t>FORT WORTH</w:t>
            </w:r>
          </w:p>
        </w:tc>
        <w:tc>
          <w:tcPr>
            <w:tcW w:w="900" w:type="dxa"/>
            <w:vAlign w:val="bottom"/>
          </w:tcPr>
          <w:p>
            <w:pPr>
              <w:ind w:left="100"/>
              <w:spacing w:after="0"/>
              <w:rPr>
                <w:sz w:val="20"/>
                <w:szCs w:val="20"/>
                <w:color w:val="auto"/>
              </w:rPr>
            </w:pPr>
            <w:r>
              <w:rPr>
                <w:rFonts w:ascii="Arial" w:cs="Arial" w:eastAsia="Arial" w:hAnsi="Arial"/>
                <w:sz w:val="16"/>
                <w:szCs w:val="16"/>
                <w:color w:val="0000FF"/>
              </w:rPr>
              <w:t>TX</w:t>
            </w:r>
          </w:p>
        </w:tc>
        <w:tc>
          <w:tcPr>
            <w:tcW w:w="1620" w:type="dxa"/>
            <w:vAlign w:val="bottom"/>
          </w:tcPr>
          <w:p>
            <w:pPr>
              <w:ind w:left="420"/>
              <w:spacing w:after="0"/>
              <w:rPr>
                <w:sz w:val="20"/>
                <w:szCs w:val="20"/>
                <w:color w:val="auto"/>
              </w:rPr>
            </w:pPr>
            <w:r>
              <w:rPr>
                <w:rFonts w:ascii="Arial" w:cs="Arial" w:eastAsia="Arial" w:hAnsi="Arial"/>
                <w:sz w:val="16"/>
                <w:szCs w:val="16"/>
                <w:color w:val="0000FF"/>
              </w:rPr>
              <w:t>76102</w:t>
            </w: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4" w:lineRule="auto"/>
        <w:tabs>
          <w:tab w:leader="none" w:pos="43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Rule 10b5-1(c) Transaction Indication</w:t>
      </w:r>
    </w:p>
    <w:p>
      <w:pPr>
        <w:spacing w:after="0" w:line="200"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spacing w:after="0" w:line="10" w:lineRule="exact"/>
        <w:rPr>
          <w:sz w:val="20"/>
          <w:szCs w:val="20"/>
          <w:color w:val="auto"/>
        </w:rPr>
      </w:pPr>
    </w:p>
    <w:p>
      <w:pPr>
        <w:ind w:left="4160" w:right="440"/>
        <w:spacing w:after="0" w:line="27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26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10"/>
                <w:szCs w:val="10"/>
                <w:color w:val="auto"/>
              </w:rPr>
            </w:pPr>
          </w:p>
        </w:tc>
        <w:tc>
          <w:tcPr>
            <w:tcW w:w="10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0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260" w:type="dxa"/>
            <w:vAlign w:val="bottom"/>
          </w:tcPr>
          <w:p>
            <w:pPr>
              <w:spacing w:after="0"/>
              <w:rPr>
                <w:sz w:val="10"/>
                <w:szCs w:val="10"/>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Owned Following</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10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040" w:type="dxa"/>
            <w:vAlign w:val="bottom"/>
            <w:gridSpan w:val="3"/>
          </w:tcPr>
          <w:p>
            <w:pPr>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8"/>
                <w:szCs w:val="8"/>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w w:val="93"/>
              </w:rPr>
              <w:t>Common Stock, par value $0.0001 per share</w:t>
            </w:r>
          </w:p>
        </w:tc>
        <w:tc>
          <w:tcPr>
            <w:tcW w:w="1120" w:type="dxa"/>
            <w:vAlign w:val="bottom"/>
            <w:tcBorders>
              <w:bottom w:val="single" w:sz="8" w:color="2C2C2C"/>
            </w:tcBorders>
            <w:gridSpan w:val="2"/>
          </w:tcPr>
          <w:p>
            <w:pPr>
              <w:jc w:val="right"/>
              <w:ind w:right="142"/>
              <w:spacing w:after="0"/>
              <w:rPr>
                <w:sz w:val="20"/>
                <w:szCs w:val="20"/>
                <w:color w:val="auto"/>
              </w:rPr>
            </w:pPr>
            <w:r>
              <w:rPr>
                <w:rFonts w:ascii="Arial" w:cs="Arial" w:eastAsia="Arial" w:hAnsi="Arial"/>
                <w:sz w:val="16"/>
                <w:szCs w:val="16"/>
                <w:color w:val="0000FF"/>
              </w:rPr>
              <w:t>07/19/2023</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P</w:t>
            </w:r>
          </w:p>
        </w:tc>
        <w:tc>
          <w:tcPr>
            <w:tcW w:w="800" w:type="dxa"/>
            <w:vAlign w:val="bottom"/>
            <w:tcBorders>
              <w:bottom w:val="single" w:sz="8" w:color="2C2C2C"/>
            </w:tcBorders>
            <w:gridSpan w:val="2"/>
          </w:tcPr>
          <w:p>
            <w:pPr>
              <w:ind w:left="140"/>
              <w:spacing w:after="0"/>
              <w:rPr>
                <w:sz w:val="20"/>
                <w:szCs w:val="20"/>
                <w:color w:val="auto"/>
              </w:rPr>
            </w:pPr>
            <w:r>
              <w:rPr>
                <w:rFonts w:ascii="Arial" w:cs="Arial" w:eastAsia="Arial" w:hAnsi="Arial"/>
                <w:sz w:val="16"/>
                <w:szCs w:val="16"/>
                <w:color w:val="0000FF"/>
                <w:w w:val="85"/>
              </w:rPr>
              <w:t>952,380</w:t>
            </w:r>
            <w:r>
              <w:rPr>
                <w:rFonts w:ascii="Arial" w:cs="Arial" w:eastAsia="Arial" w:hAnsi="Arial"/>
                <w:sz w:val="21"/>
                <w:szCs w:val="21"/>
                <w:color w:val="008000"/>
                <w:w w:val="85"/>
                <w:vertAlign w:val="superscript"/>
              </w:rPr>
              <w:t>(1)</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0000FF"/>
              </w:rPr>
              <w:t>A</w:t>
            </w: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10.5</w:t>
            </w:r>
          </w:p>
        </w:tc>
        <w:tc>
          <w:tcPr>
            <w:tcW w:w="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92"/>
              </w:rPr>
              <w:t>3,858,391</w:t>
            </w:r>
          </w:p>
        </w:tc>
        <w:tc>
          <w:tcPr>
            <w:tcW w:w="600" w:type="dxa"/>
            <w:vAlign w:val="bottom"/>
            <w:tcBorders>
              <w:bottom w:val="single" w:sz="8" w:color="2C2C2C"/>
            </w:tcBorders>
          </w:tcPr>
          <w:p>
            <w:pPr>
              <w:ind w:left="420"/>
              <w:spacing w:after="0"/>
              <w:rPr>
                <w:sz w:val="20"/>
                <w:szCs w:val="20"/>
                <w:color w:val="auto"/>
              </w:rPr>
            </w:pPr>
            <w:r>
              <w:rPr>
                <w:rFonts w:ascii="Arial" w:cs="Arial" w:eastAsia="Arial" w:hAnsi="Arial"/>
                <w:sz w:val="16"/>
                <w:szCs w:val="16"/>
                <w:color w:val="0000FF"/>
              </w:rPr>
              <w:t>D</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Arial" w:cs="Arial" w:eastAsia="Arial" w:hAnsi="Arial"/>
                <w:sz w:val="16"/>
                <w:szCs w:val="16"/>
                <w:color w:val="0000FF"/>
                <w:w w:val="98"/>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ind w:left="60"/>
              <w:spacing w:after="0"/>
              <w:rPr>
                <w:sz w:val="20"/>
                <w:szCs w:val="20"/>
                <w:color w:val="auto"/>
              </w:rPr>
            </w:pPr>
            <w:r>
              <w:rPr>
                <w:rFonts w:ascii="Arial" w:cs="Arial" w:eastAsia="Arial" w:hAnsi="Arial"/>
                <w:sz w:val="16"/>
                <w:szCs w:val="16"/>
                <w:color w:val="0000FF"/>
                <w:w w:val="93"/>
              </w:rPr>
              <w:t>Common Stock, par value $0.0001 per share</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0000FF"/>
                <w:w w:val="92"/>
              </w:rPr>
              <w:t>81,239,054</w:t>
            </w:r>
          </w:p>
        </w:tc>
        <w:tc>
          <w:tcPr>
            <w:tcW w:w="600" w:type="dxa"/>
            <w:vAlign w:val="bottom"/>
          </w:tcPr>
          <w:p>
            <w:pPr>
              <w:ind w:left="460"/>
              <w:spacing w:after="0"/>
              <w:rPr>
                <w:sz w:val="20"/>
                <w:szCs w:val="20"/>
                <w:color w:val="auto"/>
              </w:rPr>
            </w:pPr>
            <w:r>
              <w:rPr>
                <w:rFonts w:ascii="Arial" w:cs="Arial" w:eastAsia="Arial" w:hAnsi="Arial"/>
                <w:sz w:val="16"/>
                <w:szCs w:val="16"/>
                <w:color w:val="0000FF"/>
              </w:rPr>
              <w:t>I</w:t>
            </w:r>
          </w:p>
        </w:tc>
        <w:tc>
          <w:tcPr>
            <w:tcW w:w="40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6"/>
                <w:szCs w:val="16"/>
                <w:color w:val="0000FF"/>
              </w:rPr>
              <w:t>Footnotes(2)</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spacing w:after="0" w:line="261" w:lineRule="exact"/>
              <w:rPr>
                <w:sz w:val="20"/>
                <w:szCs w:val="20"/>
                <w:color w:val="auto"/>
              </w:rPr>
            </w:pPr>
            <w:r>
              <w:rPr>
                <w:rFonts w:ascii="Arial" w:cs="Arial" w:eastAsia="Arial" w:hAnsi="Arial"/>
                <w:sz w:val="30"/>
                <w:szCs w:val="30"/>
                <w:color w:val="0000FF"/>
                <w:vertAlign w:val="subscript"/>
              </w:rPr>
              <w:t>(3)</w:t>
            </w:r>
            <w:r>
              <w:rPr>
                <w:rFonts w:ascii="Arial" w:cs="Arial" w:eastAsia="Arial" w:hAnsi="Arial"/>
                <w:sz w:val="10"/>
                <w:szCs w:val="10"/>
                <w:color w:val="008000"/>
              </w:rPr>
              <w:t>(2)(3)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6"/>
                <w:szCs w:val="16"/>
                <w:color w:val="0000FF"/>
                <w:w w:val="93"/>
              </w:rPr>
              <w:t>Common Stock, par value $0.0001 per share</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gridSpan w:val="2"/>
          </w:tcPr>
          <w:p>
            <w:pPr>
              <w:jc w:val="center"/>
              <w:ind w:left="156"/>
              <w:spacing w:after="0"/>
              <w:rPr>
                <w:sz w:val="20"/>
                <w:szCs w:val="20"/>
                <w:color w:val="auto"/>
              </w:rPr>
            </w:pPr>
            <w:r>
              <w:rPr>
                <w:rFonts w:ascii="Arial" w:cs="Arial" w:eastAsia="Arial" w:hAnsi="Arial"/>
                <w:sz w:val="16"/>
                <w:szCs w:val="16"/>
                <w:color w:val="0000FF"/>
                <w:w w:val="89"/>
              </w:rPr>
              <w:t>2,336</w:t>
            </w:r>
          </w:p>
        </w:tc>
        <w:tc>
          <w:tcPr>
            <w:tcW w:w="260" w:type="dxa"/>
            <w:vAlign w:val="bottom"/>
          </w:tcPr>
          <w:p>
            <w:pPr>
              <w:spacing w:after="0"/>
              <w:rPr>
                <w:sz w:val="21"/>
                <w:szCs w:val="21"/>
                <w:color w:val="auto"/>
              </w:rPr>
            </w:pPr>
          </w:p>
        </w:tc>
        <w:tc>
          <w:tcPr>
            <w:tcW w:w="600" w:type="dxa"/>
            <w:vAlign w:val="bottom"/>
          </w:tcPr>
          <w:p>
            <w:pPr>
              <w:ind w:left="460"/>
              <w:spacing w:after="0"/>
              <w:rPr>
                <w:sz w:val="20"/>
                <w:szCs w:val="20"/>
                <w:color w:val="auto"/>
              </w:rPr>
            </w:pPr>
            <w:r>
              <w:rPr>
                <w:rFonts w:ascii="Arial" w:cs="Arial" w:eastAsia="Arial" w:hAnsi="Arial"/>
                <w:sz w:val="16"/>
                <w:szCs w:val="16"/>
                <w:color w:val="0000FF"/>
              </w:rPr>
              <w:t>I</w:t>
            </w:r>
          </w:p>
        </w:tc>
        <w:tc>
          <w:tcPr>
            <w:tcW w:w="400" w:type="dxa"/>
            <w:vAlign w:val="bottom"/>
          </w:tcPr>
          <w:p>
            <w:pPr>
              <w:spacing w:after="0"/>
              <w:rPr>
                <w:sz w:val="21"/>
                <w:szCs w:val="21"/>
                <w:color w:val="auto"/>
              </w:rPr>
            </w:pPr>
          </w:p>
        </w:tc>
        <w:tc>
          <w:tcPr>
            <w:tcW w:w="1020" w:type="dxa"/>
            <w:vAlign w:val="bottom"/>
            <w:gridSpan w:val="4"/>
          </w:tcPr>
          <w:p>
            <w:pPr>
              <w:spacing w:after="0"/>
              <w:rPr>
                <w:sz w:val="20"/>
                <w:szCs w:val="20"/>
                <w:color w:val="auto"/>
              </w:rPr>
            </w:pPr>
            <w:r>
              <w:rPr>
                <w:rFonts w:ascii="Arial" w:cs="Arial" w:eastAsia="Arial" w:hAnsi="Arial"/>
                <w:sz w:val="16"/>
                <w:szCs w:val="16"/>
                <w:color w:val="0000FF"/>
              </w:rPr>
              <w:t>By Wife</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460" w:type="dxa"/>
            <w:vAlign w:val="bottom"/>
            <w:tcBorders>
              <w:bottom w:val="single" w:sz="8" w:color="2C2C2C"/>
            </w:tcBorders>
            <w:gridSpan w:val="11"/>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4"/>
          </w:tcPr>
          <w:p>
            <w:pPr>
              <w:jc w:val="center"/>
              <w:ind w:right="16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40" w:type="dxa"/>
            <w:vAlign w:val="bottom"/>
            <w:gridSpan w:val="11"/>
          </w:tcPr>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Owned</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120" w:type="dxa"/>
            <w:vAlign w:val="bottom"/>
          </w:tcPr>
          <w:p>
            <w:pPr>
              <w:spacing w:after="0"/>
              <w:rPr>
                <w:sz w:val="10"/>
                <w:szCs w:val="10"/>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2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vMerge w:val="continue"/>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56"/>
              <w:spacing w:after="0" w:line="139" w:lineRule="exact"/>
              <w:rPr>
                <w:sz w:val="20"/>
                <w:szCs w:val="20"/>
                <w:color w:val="auto"/>
              </w:rPr>
            </w:pPr>
            <w:r>
              <w:rPr>
                <w:rFonts w:ascii="Arial" w:cs="Arial" w:eastAsia="Arial" w:hAnsi="Arial"/>
                <w:sz w:val="13"/>
                <w:szCs w:val="13"/>
                <w:color w:val="0000FF"/>
                <w:w w:val="88"/>
              </w:rPr>
              <w:t>Stock,</w:t>
            </w:r>
          </w:p>
        </w:tc>
        <w:tc>
          <w:tcPr>
            <w:tcW w:w="720" w:type="dxa"/>
            <w:vAlign w:val="bottom"/>
            <w:gridSpan w:val="2"/>
            <w:vMerge w:val="restart"/>
          </w:tcPr>
          <w:p>
            <w:pPr>
              <w:ind w:left="40"/>
              <w:spacing w:after="0"/>
              <w:rPr>
                <w:sz w:val="20"/>
                <w:szCs w:val="20"/>
                <w:color w:val="auto"/>
              </w:rPr>
            </w:pPr>
            <w:r>
              <w:rPr>
                <w:rFonts w:ascii="Arial" w:cs="Arial" w:eastAsia="Arial" w:hAnsi="Arial"/>
                <w:sz w:val="16"/>
                <w:szCs w:val="16"/>
                <w:color w:val="0000FF"/>
                <w:w w:val="92"/>
              </w:rPr>
              <w:t>1,000,000</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10.5</w:t>
            </w:r>
          </w:p>
        </w:tc>
        <w:tc>
          <w:tcPr>
            <w:tcW w:w="1060" w:type="dxa"/>
            <w:vAlign w:val="bottom"/>
          </w:tcPr>
          <w:p>
            <w:pPr>
              <w:jc w:val="right"/>
              <w:ind w:right="182"/>
              <w:spacing w:after="0" w:line="139" w:lineRule="exact"/>
              <w:rPr>
                <w:sz w:val="20"/>
                <w:szCs w:val="20"/>
                <w:color w:val="auto"/>
              </w:rPr>
            </w:pPr>
            <w:r>
              <w:rPr>
                <w:rFonts w:ascii="Arial" w:cs="Arial" w:eastAsia="Arial" w:hAnsi="Arial"/>
                <w:sz w:val="13"/>
                <w:szCs w:val="13"/>
                <w:color w:val="0000FF"/>
              </w:rPr>
              <w:t>07/21/2023</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ind w:left="180"/>
              <w:spacing w:after="0" w:line="139"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2"/>
                <w:szCs w:val="12"/>
                <w:color w:val="auto"/>
              </w:rPr>
            </w:pPr>
          </w:p>
        </w:tc>
        <w:tc>
          <w:tcPr>
            <w:tcW w:w="640" w:type="dxa"/>
            <w:vAlign w:val="bottom"/>
          </w:tcPr>
          <w:p>
            <w:pPr>
              <w:ind w:left="60"/>
              <w:spacing w:after="0" w:line="139" w:lineRule="exact"/>
              <w:rPr>
                <w:sz w:val="20"/>
                <w:szCs w:val="20"/>
                <w:color w:val="auto"/>
              </w:rPr>
            </w:pPr>
            <w:r>
              <w:rPr>
                <w:rFonts w:ascii="Arial" w:cs="Arial" w:eastAsia="Arial" w:hAnsi="Arial"/>
                <w:sz w:val="13"/>
                <w:szCs w:val="13"/>
                <w:color w:val="0000FF"/>
                <w:w w:val="96"/>
              </w:rPr>
              <w:t>1,000,000</w:t>
            </w:r>
          </w:p>
        </w:tc>
        <w:tc>
          <w:tcPr>
            <w:tcW w:w="24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(4)</w:t>
            </w: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w w:val="95"/>
              </w:rPr>
              <w:t>10/31/2026</w:t>
            </w:r>
          </w:p>
        </w:tc>
        <w:tc>
          <w:tcPr>
            <w:tcW w:w="620" w:type="dxa"/>
            <w:vAlign w:val="bottom"/>
            <w:gridSpan w:val="2"/>
          </w:tcPr>
          <w:p>
            <w:pPr>
              <w:ind w:left="80"/>
              <w:spacing w:after="0" w:line="139" w:lineRule="exact"/>
              <w:rPr>
                <w:sz w:val="20"/>
                <w:szCs w:val="20"/>
                <w:color w:val="auto"/>
              </w:rPr>
            </w:pPr>
            <w:r>
              <w:rPr>
                <w:rFonts w:ascii="Arial" w:cs="Arial" w:eastAsia="Arial" w:hAnsi="Arial"/>
                <w:sz w:val="13"/>
                <w:szCs w:val="13"/>
                <w:color w:val="0000FF"/>
                <w:w w:val="97"/>
              </w:rPr>
              <w:t>par value</w:t>
            </w:r>
          </w:p>
        </w:tc>
        <w:tc>
          <w:tcPr>
            <w:tcW w:w="720" w:type="dxa"/>
            <w:vAlign w:val="bottom"/>
            <w:gridSpan w:val="2"/>
            <w:vMerge w:val="continue"/>
          </w:tcPr>
          <w:p>
            <w:pPr>
              <w:spacing w:after="0"/>
              <w:rPr>
                <w:sz w:val="12"/>
                <w:szCs w:val="12"/>
                <w:color w:val="auto"/>
              </w:rPr>
            </w:pPr>
          </w:p>
        </w:tc>
        <w:tc>
          <w:tcPr>
            <w:tcW w:w="780" w:type="dxa"/>
            <w:vAlign w:val="bottom"/>
            <w:gridSpan w:val="2"/>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40"/>
              <w:spacing w:after="0" w:line="139" w:lineRule="exact"/>
              <w:rPr>
                <w:sz w:val="20"/>
                <w:szCs w:val="20"/>
                <w:color w:val="auto"/>
              </w:rPr>
            </w:pPr>
            <w:r>
              <w:rPr>
                <w:rFonts w:ascii="Arial" w:cs="Arial" w:eastAsia="Arial" w:hAnsi="Arial"/>
                <w:sz w:val="13"/>
                <w:szCs w:val="13"/>
                <w:color w:val="0000FF"/>
              </w:rPr>
              <w:t>1,000,000</w:t>
            </w:r>
          </w:p>
        </w:tc>
        <w:tc>
          <w:tcPr>
            <w:tcW w:w="400" w:type="dxa"/>
            <w:vAlign w:val="bottom"/>
          </w:tcPr>
          <w:p>
            <w:pPr>
              <w:ind w:left="300"/>
              <w:spacing w:after="0" w:line="139" w:lineRule="exact"/>
              <w:rPr>
                <w:sz w:val="20"/>
                <w:szCs w:val="20"/>
                <w:color w:val="auto"/>
              </w:rPr>
            </w:pPr>
            <w:r>
              <w:rPr>
                <w:rFonts w:ascii="Arial" w:cs="Arial" w:eastAsia="Arial" w:hAnsi="Arial"/>
                <w:sz w:val="13"/>
                <w:szCs w:val="13"/>
                <w:color w:val="0000FF"/>
                <w:w w:val="84"/>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56"/>
              <w:spacing w:after="0" w:line="139" w:lineRule="exact"/>
              <w:rPr>
                <w:sz w:val="20"/>
                <w:szCs w:val="20"/>
                <w:color w:val="auto"/>
              </w:rPr>
            </w:pPr>
            <w:r>
              <w:rPr>
                <w:rFonts w:ascii="Arial" w:cs="Arial" w:eastAsia="Arial" w:hAnsi="Arial"/>
                <w:sz w:val="13"/>
                <w:szCs w:val="13"/>
                <w:color w:val="0000FF"/>
                <w:w w:val="80"/>
              </w:rPr>
              <w:t>$0.0001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3"/>
                <w:szCs w:val="13"/>
                <w:color w:val="0000FF"/>
                <w:w w:val="94"/>
              </w:rPr>
              <w:t>per share</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-1824990</wp:posOffset>
            </wp:positionV>
            <wp:extent cx="28575" cy="1830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8575" cy="183007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40" w:hanging="1"/>
        <w:spacing w:after="0"/>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HighPeak Energy, Inc. (the "Issuer") common stock, par value $0.0001 per share ("Common Stock") purchased by the Reporting Person from Roth Capital Partners, LLC (the "Underwriter") in an underwritten public offering conducted by the Issuer pursuant to an Underwriting Agreement between the Issuer and the Underwriter.</w:t>
      </w:r>
    </w:p>
    <w:p>
      <w:pPr>
        <w:spacing w:after="0" w:line="29" w:lineRule="exact"/>
        <w:rPr>
          <w:rFonts w:ascii="Arial" w:cs="Arial" w:eastAsia="Arial" w:hAnsi="Arial"/>
          <w:sz w:val="13"/>
          <w:szCs w:val="13"/>
          <w:color w:val="008000"/>
        </w:rPr>
      </w:pPr>
    </w:p>
    <w:p>
      <w:pPr>
        <w:ind w:left="40" w:right="160" w:hanging="1"/>
        <w:spacing w:after="0" w:line="234"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Common Stock received by (i) HighPeak Pure Acquisition, LLC, a Delaware limited liability company ("Pure Sponsor"), (ii) HighPeak Energy, LP, a Delaware limited partnership ("HighPeak I"), (iii) HighPeak Energy II, LP, a Delaware limited partnership ("HighPeak II" and, together with Pure Sponsor, HighPeak I, and HighPeak Energy III, LP, a Delaware limited partnership, the "Record Holders") in connection with the business combination transaction between the Issuer and Pure Acquisition Corp., a Delaware corporation.</w:t>
      </w:r>
    </w:p>
    <w:p>
      <w:pPr>
        <w:spacing w:after="0" w:line="30" w:lineRule="exact"/>
        <w:rPr>
          <w:rFonts w:ascii="Arial" w:cs="Arial" w:eastAsia="Arial" w:hAnsi="Arial"/>
          <w:sz w:val="13"/>
          <w:szCs w:val="13"/>
          <w:color w:val="008000"/>
        </w:rPr>
      </w:pPr>
    </w:p>
    <w:p>
      <w:pPr>
        <w:ind w:left="40" w:right="140" w:hanging="1"/>
        <w:spacing w:after="0" w:line="261"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directly (whether through ownership or position) or indirectly through one or more intermediaries, may be deemed for purposes of Section 16 of the Exchange Act to be the indirect beneficial owner of the Common Stock owned by the Record Holders. The Reporting Person disclaims beneficial ownership of the Common Stock held by each of the Record Holders except to the extent of his pecuniary interest in each of the Record Holders, and this report shall not be deemed an admission that he is the beneficial owner of such securities for purposes of Section 16 or for any other purpose.</w:t>
      </w:r>
    </w:p>
    <w:p>
      <w:pPr>
        <w:spacing w:after="0" w:line="17" w:lineRule="exact"/>
        <w:rPr>
          <w:rFonts w:ascii="Arial" w:cs="Arial" w:eastAsia="Arial" w:hAnsi="Arial"/>
          <w:sz w:val="12"/>
          <w:szCs w:val="12"/>
          <w:color w:val="008000"/>
        </w:rPr>
      </w:pPr>
    </w:p>
    <w:p>
      <w:pPr>
        <w:ind w:left="40" w:right="260" w:hanging="1"/>
        <w:spacing w:after="0" w:line="280"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was designed to comply with the requirements of Section 409A of the Internal Revenue Code of 1986, as amended, and the guidance thereunder, and is exercisable only during the 90 day period following the earlier to occur of the Reporting Person's separation from service due to death or disability, the occurrence of a change in control of the Issuer, or August 1, 2026.</w:t>
      </w:r>
    </w:p>
    <w:p>
      <w:pPr>
        <w:spacing w:after="0" w:line="2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Jack Hightower</w:t>
            </w:r>
          </w:p>
        </w:tc>
        <w:tc>
          <w:tcPr>
            <w:tcW w:w="740" w:type="dxa"/>
            <w:vAlign w:val="bottom"/>
          </w:tcPr>
          <w:p>
            <w:pPr>
              <w:spacing w:after="0"/>
              <w:rPr>
                <w:sz w:val="20"/>
                <w:szCs w:val="20"/>
                <w:color w:val="auto"/>
              </w:rPr>
            </w:pPr>
            <w:r>
              <w:rPr>
                <w:rFonts w:ascii="Arial" w:cs="Arial" w:eastAsia="Arial" w:hAnsi="Arial"/>
                <w:sz w:val="16"/>
                <w:szCs w:val="16"/>
                <w:color w:val="0000FF"/>
                <w:w w:val="89"/>
              </w:rPr>
              <w:t>07/21/2023</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6"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035234" TargetMode="External"/><Relationship Id="rId9" Type="http://schemas.openxmlformats.org/officeDocument/2006/relationships/hyperlink" Target="http://www.sec.gov/cgi-bin/browse-edgar?action=getcompany&amp;CIK=0001792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2023-07-21T15:41:18Z</dcterms:created>
  <dcterms:modified xsi:type="dcterms:W3CDTF">2023-07-21T15:41:18Z</dcterms:modified>
</cp:coreProperties>
</file>