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24257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323215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5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610"/>
              <w:spacing w:after="0"/>
              <w:rPr>
                <w:sz w:val="20"/>
                <w:szCs w:val="20"/>
                <w:color w:val="auto"/>
              </w:rPr>
            </w:pPr>
            <w:r>
              <w:rPr>
                <w:rFonts w:ascii="Arial" w:cs="Arial" w:eastAsia="Arial" w:hAnsi="Arial"/>
                <w:sz w:val="18"/>
                <w:szCs w:val="18"/>
                <w:b w:val="1"/>
                <w:bCs w:val="1"/>
                <w:color w:val="auto"/>
              </w:rPr>
              <w:t>84-3533602</w:t>
            </w:r>
          </w:p>
        </w:tc>
      </w:tr>
      <w:tr>
        <w:trPr>
          <w:trHeight w:val="216"/>
        </w:trPr>
        <w:tc>
          <w:tcPr>
            <w:tcW w:w="51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 incorporation or</w:t>
            </w:r>
          </w:p>
        </w:tc>
        <w:tc>
          <w:tcPr>
            <w:tcW w:w="3540" w:type="dxa"/>
            <w:vAlign w:val="bottom"/>
          </w:tcPr>
          <w:p>
            <w:pPr>
              <w:jc w:val="center"/>
              <w:ind w:left="1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92"/>
              </w:rPr>
              <w:t>organization)</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9"/>
              </w:rPr>
              <w:t>No.)</w:t>
            </w:r>
          </w:p>
        </w:tc>
      </w:tr>
      <w:tr>
        <w:trPr>
          <w:trHeight w:val="414"/>
        </w:trPr>
        <w:tc>
          <w:tcPr>
            <w:tcW w:w="51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421 W. 3rd St., Suite 1000</w:t>
            </w:r>
          </w:p>
        </w:tc>
        <w:tc>
          <w:tcPr>
            <w:tcW w:w="3540" w:type="dxa"/>
            <w:vAlign w:val="bottom"/>
          </w:tcPr>
          <w:p>
            <w:pPr>
              <w:jc w:val="right"/>
              <w:ind w:right="810"/>
              <w:spacing w:after="0"/>
              <w:rPr>
                <w:sz w:val="20"/>
                <w:szCs w:val="20"/>
                <w:color w:val="auto"/>
              </w:rPr>
            </w:pPr>
            <w:r>
              <w:rPr>
                <w:rFonts w:ascii="Arial" w:cs="Arial" w:eastAsia="Arial" w:hAnsi="Arial"/>
                <w:sz w:val="18"/>
                <w:szCs w:val="18"/>
                <w:b w:val="1"/>
                <w:bCs w:val="1"/>
                <w:color w:val="auto"/>
              </w:rPr>
              <w:t>76102</w:t>
            </w:r>
          </w:p>
        </w:tc>
      </w:tr>
      <w:tr>
        <w:trPr>
          <w:trHeight w:val="220"/>
        </w:trPr>
        <w:tc>
          <w:tcPr>
            <w:tcW w:w="5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Fort Worth, Texas</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r>
        <w:trPr>
          <w:trHeight w:val="23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91"/>
              </w:rPr>
              <w:t>(Address of principal executive offices and zip code)</w:t>
            </w:r>
          </w:p>
        </w:tc>
        <w:tc>
          <w:tcPr>
            <w:tcW w:w="35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850-9200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$0.0001 per share</w:t>
            </w:r>
          </w:p>
        </w:tc>
        <w:tc>
          <w:tcPr>
            <w:tcW w:w="2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7"/>
              </w:rPr>
              <w:t>HPK</w:t>
            </w:r>
          </w:p>
        </w:tc>
        <w:tc>
          <w:tcPr>
            <w:tcW w:w="20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89"/>
              </w:rPr>
              <w:t>Warrants to purchase Common Stock</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HPKEW</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80"/>
        <w:spacing w:after="0" w:line="207" w:lineRule="exact"/>
        <w:tabs>
          <w:tab w:leader="none" w:pos="12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w w:val="99"/>
              </w:rPr>
              <w:t>Large accelerated</w:t>
            </w:r>
          </w:p>
        </w:tc>
        <w:tc>
          <w:tcPr>
            <w:tcW w:w="10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spacing w:after="0"/>
              <w:rPr>
                <w:sz w:val="18"/>
                <w:szCs w:val="18"/>
                <w:color w:val="auto"/>
              </w:rPr>
            </w:pP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filer</w:t>
            </w:r>
          </w:p>
        </w:tc>
        <w:tc>
          <w:tcPr>
            <w:tcW w:w="1080" w:type="dxa"/>
            <w:vAlign w:val="bottom"/>
            <w:vMerge w:val="continue"/>
          </w:tcPr>
          <w:p>
            <w:pPr>
              <w:spacing w:after="0"/>
              <w:rPr>
                <w:sz w:val="18"/>
                <w:szCs w:val="18"/>
                <w:color w:val="auto"/>
              </w:rPr>
            </w:pPr>
          </w:p>
        </w:tc>
        <w:tc>
          <w:tcPr>
            <w:tcW w:w="2400" w:type="dxa"/>
            <w:vAlign w:val="bottom"/>
          </w:tcPr>
          <w:p>
            <w:pPr>
              <w:ind w:left="760"/>
              <w:spacing w:after="0"/>
              <w:rPr>
                <w:sz w:val="20"/>
                <w:szCs w:val="20"/>
                <w:color w:val="auto"/>
              </w:rPr>
            </w:pPr>
            <w:r>
              <w:rPr>
                <w:rFonts w:ascii="Arial" w:cs="Arial" w:eastAsia="Arial" w:hAnsi="Arial"/>
                <w:sz w:val="18"/>
                <w:szCs w:val="18"/>
                <w:b w:val="1"/>
                <w:bCs w:val="1"/>
                <w:color w:val="auto"/>
              </w:rPr>
              <w:t>Accelerated filer</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vMerge w:val="restart"/>
          </w:tcPr>
          <w:p>
            <w:pPr>
              <w:spacing w:after="0" w:line="207" w:lineRule="exact"/>
              <w:rPr>
                <w:sz w:val="20"/>
                <w:szCs w:val="20"/>
                <w:color w:val="auto"/>
              </w:rPr>
            </w:pP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rPr>
              <w:t>☒</w:t>
            </w:r>
          </w:p>
        </w:tc>
        <w:tc>
          <w:tcPr>
            <w:tcW w:w="2400" w:type="dxa"/>
            <w:vAlign w:val="bottom"/>
          </w:tcPr>
          <w:p>
            <w:pPr>
              <w:ind w:left="760"/>
              <w:spacing w:after="0"/>
              <w:rPr>
                <w:sz w:val="20"/>
                <w:szCs w:val="20"/>
                <w:color w:val="auto"/>
              </w:rPr>
            </w:pPr>
            <w:r>
              <w:rPr>
                <w:rFonts w:ascii="Arial" w:cs="Arial" w:eastAsia="Arial" w:hAnsi="Arial"/>
                <w:sz w:val="18"/>
                <w:szCs w:val="18"/>
                <w:b w:val="1"/>
                <w:bCs w:val="1"/>
                <w:color w:val="auto"/>
              </w:rPr>
              <w:t>Smaller reporting</w:t>
            </w: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620" w:type="dxa"/>
            <w:vAlign w:val="bottom"/>
            <w:gridSpan w:val="2"/>
            <w:vMerge w:val="continue"/>
          </w:tcPr>
          <w:p>
            <w:pPr>
              <w:spacing w:after="0"/>
              <w:rPr>
                <w:sz w:val="18"/>
                <w:szCs w:val="18"/>
                <w:color w:val="auto"/>
              </w:rPr>
            </w:pPr>
          </w:p>
        </w:tc>
        <w:tc>
          <w:tcPr>
            <w:tcW w:w="2400" w:type="dxa"/>
            <w:vAlign w:val="bottom"/>
          </w:tcPr>
          <w:p>
            <w:pPr>
              <w:ind w:left="760"/>
              <w:spacing w:after="0"/>
              <w:rPr>
                <w:sz w:val="20"/>
                <w:szCs w:val="20"/>
                <w:color w:val="auto"/>
              </w:rPr>
            </w:pPr>
            <w:r>
              <w:rPr>
                <w:rFonts w:ascii="Arial" w:cs="Arial" w:eastAsia="Arial" w:hAnsi="Arial"/>
                <w:sz w:val="18"/>
                <w:szCs w:val="18"/>
                <w:b w:val="1"/>
                <w:bCs w:val="1"/>
                <w:color w:val="auto"/>
              </w:rPr>
              <w:t>company</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ind w:left="760"/>
              <w:spacing w:after="0"/>
              <w:rPr>
                <w:sz w:val="20"/>
                <w:szCs w:val="20"/>
                <w:color w:val="auto"/>
              </w:rPr>
            </w:pPr>
            <w:r>
              <w:rPr>
                <w:rFonts w:ascii="Arial" w:cs="Arial" w:eastAsia="Arial" w:hAnsi="Arial"/>
                <w:sz w:val="18"/>
                <w:szCs w:val="18"/>
                <w:b w:val="1"/>
                <w:bCs w:val="1"/>
                <w:color w:val="auto"/>
              </w:rPr>
              <w:t>Emerging growth</w:t>
            </w: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1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0" w:type="dxa"/>
            <w:vAlign w:val="bottom"/>
          </w:tcPr>
          <w:p>
            <w:pPr>
              <w:ind w:left="760"/>
              <w:spacing w:after="0"/>
              <w:rPr>
                <w:sz w:val="20"/>
                <w:szCs w:val="20"/>
                <w:color w:val="auto"/>
              </w:rPr>
            </w:pPr>
            <w:r>
              <w:rPr>
                <w:rFonts w:ascii="Arial" w:cs="Arial" w:eastAsia="Arial" w:hAnsi="Arial"/>
                <w:sz w:val="18"/>
                <w:szCs w:val="18"/>
                <w:b w:val="1"/>
                <w:bCs w:val="1"/>
                <w:color w:val="auto"/>
              </w:rPr>
              <w:t>company</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tabs>
          <w:tab w:leader="none" w:pos="6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May 12, 2022, there were 104,704,073 shares of common stock, par value $0.0001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4"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0"/>
              </w:rPr>
              <w:t>Page</w:t>
            </w:r>
          </w:p>
        </w:tc>
      </w:tr>
      <w:tr>
        <w:trPr>
          <w:trHeight w:val="210"/>
        </w:trPr>
        <w:tc>
          <w:tcPr>
            <w:tcW w:w="108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Definitions of Certain Terms and Conventions Used Herein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880" w:type="dxa"/>
            <w:vAlign w:val="bottom"/>
            <w:gridSpan w:val="8"/>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37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1008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Condensed Consolidated Financial Statements (Unaudited)</w:t>
            </w: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80" w:type="dxa"/>
            <w:vAlign w:val="bottom"/>
            <w:gridSpan w:val="5"/>
          </w:tcPr>
          <w:p>
            <w:pPr>
              <w:ind w:left="40"/>
              <w:spacing w:after="0"/>
              <w:rPr>
                <w:sz w:val="20"/>
                <w:szCs w:val="20"/>
                <w:color w:val="auto"/>
              </w:rPr>
            </w:pPr>
            <w:r>
              <w:rPr>
                <w:rFonts w:ascii="Arial" w:cs="Arial" w:eastAsia="Arial" w:hAnsi="Arial"/>
                <w:sz w:val="18"/>
                <w:szCs w:val="18"/>
                <w:color w:val="auto"/>
              </w:rPr>
              <w:t>Condensed Consolidated Statements of Operations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Condensed Consolidated Statements of Changes in Stockholders’ Equity</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80" w:type="dxa"/>
            <w:vAlign w:val="bottom"/>
            <w:gridSpan w:val="5"/>
          </w:tcPr>
          <w:p>
            <w:pPr>
              <w:ind w:left="40"/>
              <w:spacing w:after="0"/>
              <w:rPr>
                <w:sz w:val="20"/>
                <w:szCs w:val="20"/>
                <w:color w:val="auto"/>
              </w:rPr>
            </w:pPr>
            <w:r>
              <w:rPr>
                <w:rFonts w:ascii="Arial" w:cs="Arial" w:eastAsia="Arial" w:hAnsi="Arial"/>
                <w:sz w:val="18"/>
                <w:szCs w:val="18"/>
                <w:color w:val="auto"/>
              </w:rPr>
              <w:t>Condensed Consolidated Statements of Cash Flows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Notes to Condensed Consolidated Financial Statements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2.</w:t>
            </w:r>
          </w:p>
        </w:tc>
        <w:tc>
          <w:tcPr>
            <w:tcW w:w="1008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Item 3.</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0080" w:type="dxa"/>
            <w:vAlign w:val="bottom"/>
            <w:tcBorders>
              <w:bottom w:val="single" w:sz="8" w:color="CCEEFF"/>
            </w:tcBorders>
            <w:gridSpan w:val="5"/>
            <w:shd w:val="clear" w:color="auto" w:fill="CCEEFF"/>
          </w:tcPr>
          <w:p>
            <w:pPr>
              <w:ind w:left="4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4.</w:t>
            </w:r>
          </w:p>
        </w:tc>
        <w:tc>
          <w:tcPr>
            <w:tcW w:w="1008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Controls and Procedures</w:t>
            </w: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40" w:type="dxa"/>
            <w:vAlign w:val="bottom"/>
            <w:gridSpan w:val="3"/>
            <w:shd w:val="clear" w:color="auto" w:fill="CCEEFF"/>
          </w:tcPr>
          <w:p>
            <w:pPr>
              <w:jc w:val="center"/>
              <w:ind w:right="3880"/>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360" w:type="dxa"/>
            <w:vAlign w:val="bottom"/>
            <w:shd w:val="clear" w:color="auto" w:fill="CCEEFF"/>
          </w:tcPr>
          <w:p>
            <w:pPr>
              <w:spacing w:after="0"/>
              <w:rPr>
                <w:sz w:val="17"/>
                <w:szCs w:val="17"/>
                <w:color w:val="auto"/>
              </w:rPr>
            </w:pPr>
          </w:p>
        </w:tc>
      </w:tr>
      <w:tr>
        <w:trPr>
          <w:trHeight w:val="176"/>
        </w:trPr>
        <w:tc>
          <w:tcPr>
            <w:tcW w:w="80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1.</w:t>
            </w:r>
          </w:p>
        </w:tc>
        <w:tc>
          <w:tcPr>
            <w:tcW w:w="3440" w:type="dxa"/>
            <w:vAlign w:val="bottom"/>
            <w:tcBorders>
              <w:top w:val="single" w:sz="8" w:color="CCEEFF"/>
            </w:tcBorders>
            <w:gridSpan w:val="2"/>
          </w:tcPr>
          <w:p>
            <w:pPr>
              <w:ind w:left="40"/>
              <w:spacing w:after="0" w:line="176" w:lineRule="exact"/>
              <w:rPr>
                <w:sz w:val="20"/>
                <w:szCs w:val="20"/>
                <w:color w:val="auto"/>
              </w:rPr>
            </w:pPr>
            <w:r>
              <w:rPr>
                <w:rFonts w:ascii="Arial" w:cs="Arial" w:eastAsia="Arial" w:hAnsi="Arial"/>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880" w:type="dxa"/>
            <w:vAlign w:val="bottom"/>
            <w:tcBorders>
              <w:top w:val="single" w:sz="8" w:color="CCEEFF"/>
            </w:tcBorders>
            <w:gridSpan w:val="2"/>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080" w:type="dxa"/>
            <w:vAlign w:val="bottom"/>
            <w:gridSpan w:val="5"/>
            <w:shd w:val="clear" w:color="auto" w:fill="CCEEFF"/>
          </w:tcPr>
          <w:p>
            <w:pPr>
              <w:ind w:left="40"/>
              <w:spacing w:after="0" w:line="176" w:lineRule="exact"/>
              <w:rPr>
                <w:sz w:val="20"/>
                <w:szCs w:val="20"/>
                <w:color w:val="auto"/>
              </w:rPr>
            </w:pPr>
            <w:r>
              <w:rPr>
                <w:rFonts w:ascii="Arial" w:cs="Arial" w:eastAsia="Arial" w:hAnsi="Arial"/>
                <w:sz w:val="18"/>
                <w:szCs w:val="18"/>
                <w:color w:val="auto"/>
              </w:rPr>
              <w:t>Risk Factors</w:t>
            </w:r>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176"/>
        </w:trPr>
        <w:tc>
          <w:tcPr>
            <w:tcW w:w="6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Item 6.</w:t>
            </w:r>
          </w:p>
        </w:tc>
        <w:tc>
          <w:tcPr>
            <w:tcW w:w="160" w:type="dxa"/>
            <w:vAlign w:val="bottom"/>
            <w:tcBorders>
              <w:top w:val="single" w:sz="8" w:color="CCEEFF"/>
            </w:tcBorders>
          </w:tcPr>
          <w:p>
            <w:pPr>
              <w:spacing w:after="0"/>
              <w:rPr>
                <w:sz w:val="15"/>
                <w:szCs w:val="15"/>
                <w:color w:val="auto"/>
              </w:rPr>
            </w:pPr>
          </w:p>
        </w:tc>
        <w:tc>
          <w:tcPr>
            <w:tcW w:w="10080" w:type="dxa"/>
            <w:vAlign w:val="bottom"/>
            <w:tcBorders>
              <w:top w:val="single" w:sz="8" w:color="CCEEFF"/>
            </w:tcBorders>
            <w:gridSpan w:val="5"/>
          </w:tcPr>
          <w:p>
            <w:pPr>
              <w:ind w:left="40"/>
              <w:spacing w:after="0" w:line="176" w:lineRule="exact"/>
              <w:rPr>
                <w:sz w:val="20"/>
                <w:szCs w:val="20"/>
                <w:color w:val="auto"/>
              </w:rPr>
            </w:pPr>
            <w:r>
              <w:rPr>
                <w:rFonts w:ascii="Arial" w:cs="Arial" w:eastAsia="Arial" w:hAnsi="Arial"/>
                <w:sz w:val="18"/>
                <w:szCs w:val="18"/>
                <w:color w:val="auto"/>
              </w:rPr>
              <w:t>Exhibits</w:t>
            </w: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Signatures</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574"/>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this Quarterly Report on Form 10-Q (this “Quarterly Report”), the following terms and conventions have specific meanings:</w:t>
      </w:r>
    </w:p>
    <w:p>
      <w:pPr>
        <w:spacing w:after="0" w:line="225" w:lineRule="exact"/>
        <w:rPr>
          <w:sz w:val="20"/>
          <w:szCs w:val="20"/>
          <w:color w:val="auto"/>
        </w:rPr>
      </w:pPr>
    </w:p>
    <w:p>
      <w:pPr>
        <w:ind w:left="660" w:right="6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"3-D seismic" </w:t>
      </w:r>
      <w:r>
        <w:rPr>
          <w:rFonts w:ascii="Arial" w:cs="Arial" w:eastAsia="Arial" w:hAnsi="Arial"/>
          <w:sz w:val="17"/>
          <w:szCs w:val="17"/>
          <w:color w:val="auto"/>
        </w:rPr>
        <w:t>means three-dimensional seismic data which is geophysical data that depicts the subsurface strata in three dimensions. 3-D seismic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typically provides a more detailed and accurate interpretation of the subsurface strata than two-dimensional data.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"Basin" </w:t>
      </w:r>
      <w:r>
        <w:rPr>
          <w:rFonts w:ascii="Arial" w:cs="Arial" w:eastAsia="Arial" w:hAnsi="Arial"/>
          <w:sz w:val="18"/>
          <w:szCs w:val="18"/>
          <w:color w:val="auto"/>
        </w:rPr>
        <w:t>means a large natural depression on the earth’s surface in which sediments generally brought by water accumulate.</w:t>
      </w:r>
    </w:p>
    <w:p>
      <w:pPr>
        <w:spacing w:after="0" w:line="21" w:lineRule="exact"/>
        <w:rPr>
          <w:rFonts w:ascii="Arial" w:cs="Arial" w:eastAsia="Arial" w:hAnsi="Arial"/>
          <w:sz w:val="18"/>
          <w:szCs w:val="18"/>
          <w:color w:val="auto"/>
        </w:rPr>
      </w:pPr>
    </w:p>
    <w:p>
      <w:pPr>
        <w:ind w:left="660" w:right="572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means a standard barrel containing 42 United States gallons.</w:t>
      </w:r>
      <w:r>
        <w:rPr>
          <w:rFonts w:ascii="Arial" w:cs="Arial" w:eastAsia="Arial" w:hAnsi="Arial"/>
          <w:sz w:val="18"/>
          <w:szCs w:val="18"/>
          <w:b w:val="1"/>
          <w:bCs w:val="1"/>
          <w:i w:val="1"/>
          <w:iCs w:val="1"/>
          <w:color w:val="auto"/>
        </w:rPr>
        <w:t xml:space="preserve"> “Bcf</w:t>
      </w:r>
      <w:r>
        <w:rPr>
          <w:rFonts w:ascii="Arial" w:cs="Arial" w:eastAsia="Arial" w:hAnsi="Arial"/>
          <w:sz w:val="18"/>
          <w:szCs w:val="18"/>
          <w:color w:val="auto"/>
        </w:rPr>
        <w:t>” means one billion cubic feet.</w:t>
      </w:r>
    </w:p>
    <w:p>
      <w:pPr>
        <w:spacing w:after="0" w:line="1" w:lineRule="exact"/>
        <w:rPr>
          <w:rFonts w:ascii="Arial" w:cs="Arial" w:eastAsia="Arial" w:hAnsi="Arial"/>
          <w:sz w:val="18"/>
          <w:szCs w:val="18"/>
          <w:color w:val="auto"/>
        </w:rPr>
      </w:pPr>
    </w:p>
    <w:p>
      <w:pPr>
        <w:jc w:val="both"/>
        <w:ind w:left="660" w:right="40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means a barrel of crude oil equivalent and is a standard convention used to express crude oil and natural gas volumes on a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equivalent basis. Natural gas equivalents are determined under the relative energy content method by using the ratio of six thousand cubic feet of natural gas to one Bbl of crude oil or NGL.</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"Boepd" </w:t>
      </w:r>
      <w:r>
        <w:rPr>
          <w:rFonts w:ascii="Arial" w:cs="Arial" w:eastAsia="Arial" w:hAnsi="Arial"/>
          <w:sz w:val="18"/>
          <w:szCs w:val="18"/>
          <w:color w:val="auto"/>
        </w:rPr>
        <w:t>means Boe per day.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"Bopd" </w:t>
      </w:r>
      <w:r>
        <w:rPr>
          <w:rFonts w:ascii="Arial" w:cs="Arial" w:eastAsia="Arial" w:hAnsi="Arial"/>
          <w:sz w:val="18"/>
          <w:szCs w:val="18"/>
          <w:color w:val="auto"/>
        </w:rPr>
        <w:t>means one barrel of crude oil per day.</w:t>
      </w:r>
    </w:p>
    <w:p>
      <w:pPr>
        <w:spacing w:after="0" w:line="36" w:lineRule="exact"/>
        <w:rPr>
          <w:rFonts w:ascii="Arial" w:cs="Arial" w:eastAsia="Arial" w:hAnsi="Arial"/>
          <w:sz w:val="18"/>
          <w:szCs w:val="18"/>
          <w:color w:val="auto"/>
        </w:rPr>
      </w:pPr>
    </w:p>
    <w:p>
      <w:pPr>
        <w:ind w:left="660" w:right="60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means British thermal unit, which is a measure of the amount of energy required to raise the temperature of one pound of water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Fahrenheit.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or “</w:t>
      </w:r>
      <w:r>
        <w:rPr>
          <w:rFonts w:ascii="Arial" w:cs="Arial" w:eastAsia="Arial" w:hAnsi="Arial"/>
          <w:sz w:val="18"/>
          <w:szCs w:val="18"/>
          <w:b w:val="1"/>
          <w:bCs w:val="1"/>
          <w:i w:val="1"/>
          <w:iCs w:val="1"/>
          <w:color w:val="auto"/>
        </w:rPr>
        <w:t>HighPeak Energy common stock</w:t>
      </w:r>
      <w:r>
        <w:rPr>
          <w:rFonts w:ascii="Arial" w:cs="Arial" w:eastAsia="Arial" w:hAnsi="Arial"/>
          <w:sz w:val="18"/>
          <w:szCs w:val="18"/>
          <w:color w:val="auto"/>
        </w:rPr>
        <w:t>” means the Company’s common stock, par value $0.0001 per share.</w:t>
      </w:r>
    </w:p>
    <w:p>
      <w:pPr>
        <w:spacing w:after="0" w:line="21" w:lineRule="exact"/>
        <w:rPr>
          <w:rFonts w:ascii="Arial" w:cs="Arial" w:eastAsia="Arial" w:hAnsi="Arial"/>
          <w:sz w:val="18"/>
          <w:szCs w:val="18"/>
          <w:color w:val="auto"/>
        </w:rPr>
      </w:pPr>
    </w:p>
    <w:p>
      <w:pPr>
        <w:ind w:left="660" w:right="5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crude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or in the case of a dry hole, the reporting of abandonment to the appropriate agency.</w:t>
      </w:r>
    </w:p>
    <w:p>
      <w:pPr>
        <w:spacing w:after="0" w:line="1" w:lineRule="exact"/>
        <w:rPr>
          <w:rFonts w:ascii="Arial" w:cs="Arial" w:eastAsia="Arial" w:hAnsi="Arial"/>
          <w:sz w:val="18"/>
          <w:szCs w:val="18"/>
          <w:color w:val="auto"/>
        </w:rPr>
      </w:pPr>
    </w:p>
    <w:p>
      <w:pPr>
        <w:ind w:left="660" w:right="20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“Contingent Value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CVR</w:t>
      </w:r>
      <w:r>
        <w:rPr>
          <w:rFonts w:ascii="Arial" w:cs="Arial" w:eastAsia="Arial" w:hAnsi="Arial"/>
          <w:sz w:val="17"/>
          <w:szCs w:val="17"/>
          <w:color w:val="auto"/>
        </w:rPr>
        <w:t>” refers to contractual contingent value rights, representing the right, under certain circumstances,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of HighPeak Energy common stock, if necessary, to satisfy a 10% preferred simple annual return, subject to a floor downside per-share price of $4.00, as measured on August 21, 2022 or February 21, 2023 (with an equivalent number of shares of HighPeak Energy common stock held by HighPeak I and HighPeak II being collectively forfeited).</w:t>
      </w:r>
    </w:p>
    <w:p>
      <w:pPr>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Company’s Credit Agreement, dated as of December 17, 2020, as amended from time to time, among HighPeak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Inc., as Borrower, Fifth Third Bank, National Association, as administrative agent, and the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“DD&amp;A</w:t>
      </w:r>
      <w:r>
        <w:rPr>
          <w:rFonts w:ascii="Arial" w:cs="Arial" w:eastAsia="Arial" w:hAnsi="Arial"/>
          <w:sz w:val="18"/>
          <w:szCs w:val="18"/>
          <w:color w:val="auto"/>
        </w:rPr>
        <w:t>” means depletion, depreciation and amortization.</w:t>
      </w:r>
    </w:p>
    <w:p>
      <w:pPr>
        <w:spacing w:after="0" w:line="21" w:lineRule="exact"/>
        <w:rPr>
          <w:rFonts w:ascii="Arial" w:cs="Arial" w:eastAsia="Arial" w:hAnsi="Arial"/>
          <w:sz w:val="18"/>
          <w:szCs w:val="18"/>
          <w:color w:val="auto"/>
        </w:rPr>
      </w:pPr>
    </w:p>
    <w:p>
      <w:pPr>
        <w:ind w:left="660" w:right="12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costs</w:t>
      </w:r>
      <w:r>
        <w:rPr>
          <w:rFonts w:ascii="Arial" w:cs="Arial" w:eastAsia="Arial" w:hAnsi="Arial"/>
          <w:sz w:val="17"/>
          <w:szCs w:val="17"/>
          <w:color w:val="auto"/>
        </w:rPr>
        <w:t>” Costs incurred to obtain access to proved reserves and to provide facilities for extracting, treating, gathering and storing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and natural gas. For a complete definition of development costs, refer to the SEC’s Regulation S-X, Rule 4-10(a)(7).</w:t>
      </w:r>
    </w:p>
    <w:p>
      <w:pPr>
        <w:jc w:val="both"/>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project</w:t>
      </w:r>
      <w:r>
        <w:rPr>
          <w:rFonts w:ascii="Arial" w:cs="Arial" w:eastAsia="Arial" w:hAnsi="Arial"/>
          <w:sz w:val="17"/>
          <w:szCs w:val="17"/>
          <w:color w:val="auto"/>
        </w:rPr>
        <w:t>” A development project is the means by which petroleum resources are brought to the status of economically producible.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 crude oil or natural gas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“Differential</w:t>
      </w:r>
      <w:r>
        <w:rPr>
          <w:rFonts w:ascii="Arial" w:cs="Arial" w:eastAsia="Arial" w:hAnsi="Arial"/>
          <w:sz w:val="18"/>
          <w:szCs w:val="18"/>
          <w:color w:val="auto"/>
        </w:rPr>
        <w:t>” An adjustment to the price of crude oil, NGL or natural gas from an established spot market price to reflect differences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and/or location of crude oil, NGL or natural gas.</w:t>
      </w: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dry well</w:t>
      </w:r>
      <w:r>
        <w:rPr>
          <w:rFonts w:ascii="Arial" w:cs="Arial" w:eastAsia="Arial" w:hAnsi="Arial"/>
          <w:sz w:val="18"/>
          <w:szCs w:val="18"/>
          <w:color w:val="auto"/>
        </w:rPr>
        <w:t>” A well found to be incapable of producing hydrocarbons in sufficient quantities such that proceeds from the sale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producible</w:t>
      </w:r>
      <w:r>
        <w:rPr>
          <w:rFonts w:ascii="Arial" w:cs="Arial" w:eastAsia="Arial" w:hAnsi="Arial"/>
          <w:sz w:val="18"/>
          <w:szCs w:val="18"/>
          <w:color w:val="auto"/>
        </w:rPr>
        <w:t>” The term economically producible, as it relates to a resource, means a resource which generates revenue that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reasonably expected to exceed, the costs of the operation.</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“EUR</w:t>
      </w:r>
      <w:r>
        <w:rPr>
          <w:rFonts w:ascii="Arial" w:cs="Arial" w:eastAsia="Arial" w:hAnsi="Arial"/>
          <w:sz w:val="17"/>
          <w:szCs w:val="17"/>
          <w:color w:val="auto"/>
        </w:rPr>
        <w:t>” or “</w:t>
      </w:r>
      <w:r>
        <w:rPr>
          <w:rFonts w:ascii="Arial" w:cs="Arial" w:eastAsia="Arial" w:hAnsi="Arial"/>
          <w:sz w:val="17"/>
          <w:szCs w:val="17"/>
          <w:b w:val="1"/>
          <w:bCs w:val="1"/>
          <w:i w:val="1"/>
          <w:iCs w:val="1"/>
          <w:color w:val="auto"/>
        </w:rPr>
        <w:t>Estimated ultimate recovery</w:t>
      </w:r>
      <w:r>
        <w:rPr>
          <w:rFonts w:ascii="Arial" w:cs="Arial" w:eastAsia="Arial" w:hAnsi="Arial"/>
          <w:sz w:val="17"/>
          <w:szCs w:val="17"/>
          <w:color w:val="auto"/>
        </w:rPr>
        <w:t>” The sum of reserves remaining as of a given date and cumulative production as of that date.</w:t>
      </w:r>
    </w:p>
    <w:p>
      <w:pPr>
        <w:spacing w:after="0" w:line="33" w:lineRule="exact"/>
        <w:rPr>
          <w:rFonts w:ascii="Arial" w:cs="Arial" w:eastAsia="Arial" w:hAnsi="Arial"/>
          <w:sz w:val="17"/>
          <w:szCs w:val="17"/>
          <w:color w:val="auto"/>
        </w:rPr>
      </w:pPr>
    </w:p>
    <w:p>
      <w:pPr>
        <w:ind w:left="660" w:right="10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“Exploratory well</w:t>
      </w:r>
      <w:r>
        <w:rPr>
          <w:rFonts w:ascii="Arial" w:cs="Arial" w:eastAsia="Arial" w:hAnsi="Arial"/>
          <w:sz w:val="17"/>
          <w:szCs w:val="17"/>
          <w:color w:val="auto"/>
        </w:rPr>
        <w:t>” An exploratory well is a well drilled to find a new field, to find a new reservoir in a field previously found to be productive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or natural gas in another reservoir or to extend the limits of an existing reservoir. Generally, an exploratory well is any well that is not a development well, an extension well, a service well or a stratigraphic test well as those items are defined by the SEC.</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“FASB</w:t>
      </w:r>
      <w:r>
        <w:rPr>
          <w:rFonts w:ascii="Arial" w:cs="Arial" w:eastAsia="Arial" w:hAnsi="Arial"/>
          <w:sz w:val="18"/>
          <w:szCs w:val="18"/>
          <w:color w:val="auto"/>
        </w:rPr>
        <w:t>” Financial Accounting Standards Board.</w:t>
      </w:r>
    </w:p>
    <w:p>
      <w:pPr>
        <w:spacing w:after="0" w:line="21" w:lineRule="exact"/>
        <w:rPr>
          <w:rFonts w:ascii="Arial" w:cs="Arial" w:eastAsia="Arial" w:hAnsi="Arial"/>
          <w:sz w:val="18"/>
          <w:szCs w:val="18"/>
          <w:color w:val="auto"/>
        </w:rPr>
      </w:pPr>
    </w:p>
    <w:p>
      <w:pPr>
        <w:ind w:left="660" w:right="5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or stratigraphic condition. The field name refers to the surface area, although it may refer to both the surface and the underground productive formations.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ind w:left="328" w:right="32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means the First Amendment to Credit Agreement, dated as of June 23, 2021,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Guarantors and Lenders party thereto.</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“Formation</w:t>
      </w:r>
      <w:r>
        <w:rPr>
          <w:rFonts w:ascii="Arial" w:cs="Arial" w:eastAsia="Arial" w:hAnsi="Arial"/>
          <w:sz w:val="18"/>
          <w:szCs w:val="18"/>
          <w:color w:val="auto"/>
        </w:rPr>
        <w:t>” A layer of rock which has distinct characteristics that differs from nearby rocks.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means accounting principles generally accepted in the United States of America.</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 means the total wells in which a working interest is owned.</w:t>
      </w:r>
    </w:p>
    <w:p>
      <w:pPr>
        <w:spacing w:after="0" w:line="36" w:lineRule="exact"/>
        <w:rPr>
          <w:rFonts w:ascii="Arial" w:cs="Arial" w:eastAsia="Arial" w:hAnsi="Arial"/>
          <w:sz w:val="18"/>
          <w:szCs w:val="18"/>
          <w:color w:val="auto"/>
        </w:rPr>
      </w:pPr>
    </w:p>
    <w:p>
      <w:pPr>
        <w:ind w:left="328" w:right="66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“Held by production</w:t>
      </w:r>
      <w:r>
        <w:rPr>
          <w:rFonts w:ascii="Arial" w:cs="Arial" w:eastAsia="Arial" w:hAnsi="Arial"/>
          <w:sz w:val="18"/>
          <w:szCs w:val="18"/>
          <w:color w:val="auto"/>
        </w:rPr>
        <w:t>” Acreage covered by a mineral lease that perpetuates a company’s right to operate a property as long as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 minimum paying quantity of crude oil or natural gas.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"HighPeak Energy" </w:t>
      </w:r>
      <w:r>
        <w:rPr>
          <w:rFonts w:ascii="Arial" w:cs="Arial" w:eastAsia="Arial" w:hAnsi="Arial"/>
          <w:sz w:val="18"/>
          <w:szCs w:val="18"/>
          <w:color w:val="auto"/>
        </w:rPr>
        <w:t>or the</w:t>
      </w:r>
      <w:r>
        <w:rPr>
          <w:rFonts w:ascii="Arial" w:cs="Arial" w:eastAsia="Arial" w:hAnsi="Arial"/>
          <w:sz w:val="18"/>
          <w:szCs w:val="18"/>
          <w:b w:val="1"/>
          <w:bCs w:val="1"/>
          <w:i w:val="1"/>
          <w:iCs w:val="1"/>
          <w:color w:val="auto"/>
        </w:rPr>
        <w:t xml:space="preserve"> "Company" </w:t>
      </w:r>
      <w:r>
        <w:rPr>
          <w:rFonts w:ascii="Arial" w:cs="Arial" w:eastAsia="Arial" w:hAnsi="Arial"/>
          <w:sz w:val="18"/>
          <w:szCs w:val="18"/>
          <w:color w:val="auto"/>
        </w:rPr>
        <w:t>means HighPeak Energy, Inc. and its subsidiaries.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w:t>
      </w:r>
      <w:r>
        <w:rPr>
          <w:rFonts w:ascii="Arial" w:cs="Arial" w:eastAsia="Arial" w:hAnsi="Arial"/>
          <w:sz w:val="18"/>
          <w:szCs w:val="18"/>
          <w:color w:val="auto"/>
        </w:rPr>
        <w:t>” means HighPeak Energy, LP, a Delaware limited partnership.</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II</w:t>
      </w:r>
      <w:r>
        <w:rPr>
          <w:rFonts w:ascii="Arial" w:cs="Arial" w:eastAsia="Arial" w:hAnsi="Arial"/>
          <w:sz w:val="18"/>
          <w:szCs w:val="18"/>
          <w:color w:val="auto"/>
        </w:rPr>
        <w:t>” means HighPeak Energy II, LP, a Delaware limited partnership.</w:t>
      </w:r>
    </w:p>
    <w:p>
      <w:pPr>
        <w:spacing w:after="0" w:line="36" w:lineRule="exact"/>
        <w:rPr>
          <w:rFonts w:ascii="Arial" w:cs="Arial" w:eastAsia="Arial" w:hAnsi="Arial"/>
          <w:sz w:val="18"/>
          <w:szCs w:val="18"/>
          <w:color w:val="auto"/>
        </w:rPr>
      </w:pPr>
    </w:p>
    <w:p>
      <w:pPr>
        <w:ind w:left="328" w:right="10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within a specified interval.</w:t>
      </w:r>
    </w:p>
    <w:p>
      <w:pPr>
        <w:spacing w:after="0" w:line="1" w:lineRule="exact"/>
        <w:rPr>
          <w:rFonts w:ascii="Arial" w:cs="Arial" w:eastAsia="Arial" w:hAnsi="Arial"/>
          <w:sz w:val="18"/>
          <w:szCs w:val="18"/>
          <w:color w:val="auto"/>
        </w:rPr>
      </w:pPr>
    </w:p>
    <w:p>
      <w:pPr>
        <w:jc w:val="both"/>
        <w:ind w:left="328" w:right="3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“Hydraulic fracturing</w:t>
      </w:r>
      <w:r>
        <w:rPr>
          <w:rFonts w:ascii="Arial" w:cs="Arial" w:eastAsia="Arial" w:hAnsi="Arial"/>
          <w:sz w:val="18"/>
          <w:szCs w:val="18"/>
          <w:color w:val="auto"/>
        </w:rPr>
        <w:t>” is the technique of stimulating the production of hydrocarbons from tight formations. The Company routinely utilizes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“Lease operating expenses</w:t>
      </w:r>
      <w:r>
        <w:rPr>
          <w:rFonts w:ascii="Arial" w:cs="Arial" w:eastAsia="Arial" w:hAnsi="Arial"/>
          <w:sz w:val="18"/>
          <w:szCs w:val="18"/>
          <w:color w:val="auto"/>
        </w:rPr>
        <w:t>” The expenses of lifting crude oil or natural gas from a producing formation to the surface, constituting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means one thousand Bbls.</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27" w:right="339" w:bottom="1440" w:gutter="0" w:footer="0" w:header="0"/>
        </w:sectPr>
      </w:pPr>
    </w:p>
    <w:bookmarkStart w:id="5" w:name="page6"/>
    <w:bookmarkEnd w:id="5"/>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 </w:t>
      </w:r>
      <w:r>
        <w:rPr>
          <w:rFonts w:ascii="Arial" w:cs="Arial" w:eastAsia="Arial" w:hAnsi="Arial"/>
          <w:sz w:val="18"/>
          <w:szCs w:val="18"/>
          <w:color w:val="auto"/>
        </w:rPr>
        <w:t>means one thousand Boes.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means one thousand cubic feet and is a measure of natural gas volume.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means one million Bbls.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means one million Btus.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 </w:t>
      </w:r>
      <w:r>
        <w:rPr>
          <w:rFonts w:ascii="Arial" w:cs="Arial" w:eastAsia="Arial" w:hAnsi="Arial"/>
          <w:sz w:val="18"/>
          <w:szCs w:val="18"/>
          <w:color w:val="auto"/>
        </w:rPr>
        <w:t>means one million cubic feet and is a measure of natural gas volume.</w:t>
      </w:r>
    </w:p>
    <w:p>
      <w:pPr>
        <w:spacing w:after="0" w:line="36" w:lineRule="exact"/>
        <w:rPr>
          <w:rFonts w:ascii="Arial" w:cs="Arial" w:eastAsia="Arial" w:hAnsi="Arial"/>
          <w:sz w:val="18"/>
          <w:szCs w:val="18"/>
          <w:color w:val="auto"/>
        </w:rPr>
      </w:pPr>
    </w:p>
    <w:p>
      <w:pPr>
        <w:ind w:left="328"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“Net acres</w:t>
      </w:r>
      <w:r>
        <w:rPr>
          <w:rFonts w:ascii="Arial" w:cs="Arial" w:eastAsia="Arial" w:hAnsi="Arial"/>
          <w:sz w:val="18"/>
          <w:szCs w:val="18"/>
          <w:color w:val="auto"/>
        </w:rPr>
        <w:t>” The percentage of total acres an owner has out of a particular number of gross acres or a specified tract. As an example. an owner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50% interest in 100 gross acres owns 50 net acres.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“Net production</w:t>
      </w:r>
      <w:r>
        <w:rPr>
          <w:rFonts w:ascii="Arial" w:cs="Arial" w:eastAsia="Arial" w:hAnsi="Arial"/>
          <w:sz w:val="18"/>
          <w:szCs w:val="18"/>
          <w:color w:val="auto"/>
        </w:rPr>
        <w:t>” Production that is owned by us, less royalties and production due others.</w:t>
      </w:r>
    </w:p>
    <w:p>
      <w:pPr>
        <w:spacing w:after="0" w:line="21" w:lineRule="exact"/>
        <w:rPr>
          <w:rFonts w:ascii="Arial" w:cs="Arial" w:eastAsia="Arial" w:hAnsi="Arial"/>
          <w:sz w:val="18"/>
          <w:szCs w:val="18"/>
          <w:color w:val="auto"/>
        </w:rPr>
      </w:pPr>
    </w:p>
    <w:p>
      <w:pPr>
        <w:ind w:left="328" w:right="18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 </w:t>
      </w:r>
      <w:r>
        <w:rPr>
          <w:rFonts w:ascii="Arial" w:cs="Arial" w:eastAsia="Arial" w:hAnsi="Arial"/>
          <w:sz w:val="18"/>
          <w:szCs w:val="18"/>
          <w:color w:val="auto"/>
        </w:rPr>
        <w:t>means natural gas liquids, which are the heavier hydrocarbon liquids that are separated from the natural gas stream; such liquids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ethane, propane, isobutane, normal butane and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means the New York Mercantile Exchange.</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means the Organization of Petroleum Exporting Countries.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“Operator</w:t>
      </w:r>
      <w:r>
        <w:rPr>
          <w:rFonts w:ascii="Arial" w:cs="Arial" w:eastAsia="Arial" w:hAnsi="Arial"/>
          <w:sz w:val="18"/>
          <w:szCs w:val="18"/>
          <w:color w:val="auto"/>
        </w:rPr>
        <w:t>” The individual or company responsible for the exploration and/or production of a crude oil or natural gas well or lease.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“Plugging</w:t>
      </w:r>
      <w:r>
        <w:rPr>
          <w:rFonts w:ascii="Arial" w:cs="Arial" w:eastAsia="Arial" w:hAnsi="Arial"/>
          <w:sz w:val="18"/>
          <w:szCs w:val="18"/>
          <w:color w:val="auto"/>
        </w:rPr>
        <w:t>” A downhole tool that is set inside the casing to isolate the lower part of the wellbore.</w:t>
      </w:r>
    </w:p>
    <w:p>
      <w:pPr>
        <w:spacing w:after="0" w:line="36"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“Pooling</w:t>
      </w:r>
      <w:r>
        <w:rPr>
          <w:rFonts w:ascii="Arial" w:cs="Arial" w:eastAsia="Arial" w:hAnsi="Arial"/>
          <w:sz w:val="18"/>
          <w:szCs w:val="18"/>
          <w:color w:val="auto"/>
        </w:rPr>
        <w:t>” The bringing together of small tracts or fractional mineral interests in one or more tracts to form a drilling and production unit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under applicable spacing rules.</w:t>
      </w:r>
    </w:p>
    <w:p>
      <w:pPr>
        <w:spacing w:after="0" w:line="1" w:lineRule="exact"/>
        <w:rPr>
          <w:rFonts w:ascii="Arial" w:cs="Arial" w:eastAsia="Arial" w:hAnsi="Arial"/>
          <w:sz w:val="18"/>
          <w:szCs w:val="18"/>
          <w:color w:val="auto"/>
        </w:rPr>
      </w:pPr>
    </w:p>
    <w:p>
      <w:pPr>
        <w:ind w:left="328" w:right="18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costs</w:t>
      </w:r>
      <w:r>
        <w:rPr>
          <w:rFonts w:ascii="Arial" w:cs="Arial" w:eastAsia="Arial" w:hAnsi="Arial"/>
          <w:sz w:val="18"/>
          <w:szCs w:val="18"/>
          <w:color w:val="auto"/>
        </w:rPr>
        <w:t>” Costs incurred to operate and maintain wells and related equipment and facilities, including depreciation and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8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“Proration unit</w:t>
      </w:r>
      <w:r>
        <w:rPr>
          <w:rFonts w:ascii="Arial" w:cs="Arial" w:eastAsia="Arial" w:hAnsi="Arial"/>
          <w:sz w:val="18"/>
          <w:szCs w:val="18"/>
          <w:color w:val="auto"/>
        </w:rPr>
        <w:t>” A unit that can be effectively and efficiently drained by one well, as allocated by a governmental agency having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w:t>
      </w:r>
    </w:p>
    <w:p>
      <w:pPr>
        <w:ind w:left="328" w:right="200" w:hanging="328"/>
        <w:spacing w:after="0" w:line="26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“Prospect</w:t>
      </w:r>
      <w:r>
        <w:rPr>
          <w:rFonts w:ascii="Arial" w:cs="Arial" w:eastAsia="Arial" w:hAnsi="Arial"/>
          <w:sz w:val="17"/>
          <w:szCs w:val="17"/>
          <w:color w:val="auto"/>
        </w:rPr>
        <w:t>” A specific geographic area which, based on supporting geological, geophysical or other data and also preliminary economic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reasonably anticipated prices and costs, is deemed to have potential for the discovery of commercial hydrocarbons.</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nonproducing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PDNP</w:t>
      </w:r>
      <w:r>
        <w:rPr>
          <w:rFonts w:ascii="Arial" w:cs="Arial" w:eastAsia="Arial" w:hAnsi="Arial"/>
          <w:sz w:val="18"/>
          <w:szCs w:val="18"/>
          <w:color w:val="auto"/>
        </w:rPr>
        <w:t>” means proved reserves that are developed nonproducing reserves.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PDP</w:t>
      </w:r>
      <w:r>
        <w:rPr>
          <w:rFonts w:ascii="Arial" w:cs="Arial" w:eastAsia="Arial" w:hAnsi="Arial"/>
          <w:sz w:val="18"/>
          <w:szCs w:val="18"/>
          <w:color w:val="auto"/>
        </w:rPr>
        <w:t>” means proved reserves that are developed producing reserves.</w:t>
      </w:r>
    </w:p>
    <w:p>
      <w:pPr>
        <w:spacing w:after="0" w:line="36" w:lineRule="exact"/>
        <w:rPr>
          <w:rFonts w:ascii="Arial" w:cs="Arial" w:eastAsia="Arial" w:hAnsi="Arial"/>
          <w:sz w:val="18"/>
          <w:szCs w:val="18"/>
          <w:color w:val="auto"/>
        </w:rPr>
      </w:pPr>
    </w:p>
    <w:p>
      <w:pPr>
        <w:ind w:left="328" w:right="100" w:hanging="328"/>
        <w:spacing w:after="0" w:line="255"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reserves</w:t>
      </w:r>
      <w:r>
        <w:rPr>
          <w:rFonts w:ascii="Arial" w:cs="Arial" w:eastAsia="Arial" w:hAnsi="Arial"/>
          <w:sz w:val="18"/>
          <w:szCs w:val="18"/>
          <w:color w:val="auto"/>
        </w:rPr>
        <w:t>” means proved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2" w:lineRule="exact"/>
        <w:rPr>
          <w:rFonts w:ascii="Arial" w:cs="Arial" w:eastAsia="Arial" w:hAnsi="Arial"/>
          <w:sz w:val="18"/>
          <w:szCs w:val="18"/>
          <w:color w:val="auto"/>
        </w:rPr>
      </w:pPr>
    </w:p>
    <w:p>
      <w:pPr>
        <w:ind w:left="328" w:right="20" w:hanging="328"/>
        <w:spacing w:after="0" w:line="25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reserves</w:t>
      </w:r>
      <w:r>
        <w:rPr>
          <w:rFonts w:ascii="Arial" w:cs="Arial" w:eastAsia="Arial" w:hAnsi="Arial"/>
          <w:sz w:val="18"/>
          <w:szCs w:val="18"/>
          <w:color w:val="auto"/>
        </w:rPr>
        <w:t>” Those quantities of crude oil and natural gas, which, by analysis of geosciences and engineering data, can be estimated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3" w:lineRule="exact"/>
        <w:rPr>
          <w:rFonts w:ascii="Arial" w:cs="Arial" w:eastAsia="Arial" w:hAnsi="Arial"/>
          <w:sz w:val="18"/>
          <w:szCs w:val="18"/>
          <w:color w:val="auto"/>
        </w:rPr>
      </w:pPr>
    </w:p>
    <w:p>
      <w:pPr>
        <w:ind w:left="328" w:right="400" w:hanging="4"/>
        <w:spacing w:after="0" w:line="255" w:lineRule="auto"/>
        <w:tabs>
          <w:tab w:leader="none" w:pos="5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2" w:lineRule="exact"/>
        <w:rPr>
          <w:rFonts w:ascii="Arial" w:cs="Arial" w:eastAsia="Arial" w:hAnsi="Arial"/>
          <w:sz w:val="18"/>
          <w:szCs w:val="18"/>
          <w:color w:val="auto"/>
        </w:rPr>
      </w:pPr>
    </w:p>
    <w:p>
      <w:pPr>
        <w:ind w:left="328" w:right="420" w:hanging="4"/>
        <w:spacing w:after="0" w:line="281" w:lineRule="auto"/>
        <w:tabs>
          <w:tab w:leader="none" w:pos="638"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jc w:val="both"/>
        <w:ind w:left="328" w:right="280" w:hanging="4"/>
        <w:spacing w:after="0" w:line="250" w:lineRule="auto"/>
        <w:tabs>
          <w:tab w:leader="none" w:pos="685"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8"/>
          <w:szCs w:val="18"/>
          <w:color w:val="auto"/>
        </w:rPr>
      </w:pPr>
    </w:p>
    <w:p>
      <w:pPr>
        <w:ind w:left="328" w:right="100" w:hanging="4"/>
        <w:spacing w:after="0" w:line="265" w:lineRule="auto"/>
        <w:tabs>
          <w:tab w:leader="none" w:pos="678" w:val="left"/>
        </w:tabs>
        <w:numPr>
          <w:ilvl w:val="1"/>
          <w:numId w:val="5"/>
        </w:numPr>
        <w:rPr>
          <w:rFonts w:ascii="Arial" w:cs="Arial" w:eastAsia="Arial" w:hAnsi="Arial"/>
          <w:sz w:val="17"/>
          <w:szCs w:val="17"/>
          <w:color w:val="auto"/>
        </w:rPr>
      </w:pPr>
      <w:r>
        <w:rPr>
          <w:rFonts w:ascii="Arial" w:cs="Arial" w:eastAsia="Arial" w:hAnsi="Arial"/>
          <w:sz w:val="17"/>
          <w:szCs w:val="17"/>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ind w:left="328" w:right="20" w:hanging="4"/>
        <w:spacing w:after="0" w:line="253" w:lineRule="auto"/>
        <w:tabs>
          <w:tab w:leader="none" w:pos="628" w:val="left"/>
        </w:tabs>
        <w:numPr>
          <w:ilvl w:val="1"/>
          <w:numId w:val="5"/>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6" w:name="page7"/>
    <w:bookmarkEnd w:id="6"/>
    <w:p>
      <w:pPr>
        <w:ind w:left="328" w:right="180" w:hanging="328"/>
        <w:spacing w:after="0" w:line="254"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or "PUD" means proved reserves that are expected to be recovered from new wells on undrilled acreage or from existing wells where a relatively major expenditure is required for recompletion. Undrilled locations can be classified as being PUDs only if a development plan has been adopted indicating that such locations are scheduled to be drilled within five (5) years, unless specific circumstances justify a longer time.</w:t>
      </w:r>
    </w:p>
    <w:p>
      <w:pPr>
        <w:spacing w:after="0" w:line="2"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“Pure</w:t>
      </w:r>
      <w:r>
        <w:rPr>
          <w:rFonts w:ascii="Arial" w:cs="Arial" w:eastAsia="Arial" w:hAnsi="Arial"/>
          <w:sz w:val="18"/>
          <w:szCs w:val="18"/>
          <w:color w:val="auto"/>
        </w:rPr>
        <w:t>” means Pure Acquisition Corp., a Delaware corporation and wholly owned subsidiary of the Company.</w:t>
      </w:r>
    </w:p>
    <w:p>
      <w:pPr>
        <w:spacing w:after="0" w:line="21" w:lineRule="exact"/>
        <w:rPr>
          <w:rFonts w:ascii="Arial" w:cs="Arial" w:eastAsia="Arial" w:hAnsi="Arial"/>
          <w:sz w:val="18"/>
          <w:szCs w:val="18"/>
          <w:color w:val="auto"/>
        </w:rPr>
      </w:pPr>
    </w:p>
    <w:p>
      <w:pPr>
        <w:ind w:left="328" w:right="40" w:hanging="328"/>
        <w:spacing w:after="0" w:line="267"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“PV-10</w:t>
      </w:r>
      <w:r>
        <w:rPr>
          <w:rFonts w:ascii="Arial" w:cs="Arial" w:eastAsia="Arial" w:hAnsi="Arial"/>
          <w:sz w:val="17"/>
          <w:szCs w:val="17"/>
          <w:color w:val="auto"/>
        </w:rPr>
        <w:t>” When used with respect to crude oil and natural gas reserves, PV-10 means the estimated future gross revenue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2" w:lineRule="exact"/>
        <w:rPr>
          <w:rFonts w:ascii="Arial" w:cs="Arial" w:eastAsia="Arial" w:hAnsi="Arial"/>
          <w:sz w:val="17"/>
          <w:szCs w:val="17"/>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“Realized price</w:t>
      </w:r>
      <w:r>
        <w:rPr>
          <w:rFonts w:ascii="Arial" w:cs="Arial" w:eastAsia="Arial" w:hAnsi="Arial"/>
          <w:sz w:val="18"/>
          <w:szCs w:val="18"/>
          <w:color w:val="auto"/>
        </w:rPr>
        <w:t>” The cash market price less all expected quality, transportation and demand adjustments.</w:t>
      </w:r>
    </w:p>
    <w:p>
      <w:pPr>
        <w:spacing w:after="0" w:line="21"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 to establish or increase existing production.</w:t>
      </w:r>
    </w:p>
    <w:p>
      <w:pPr>
        <w:spacing w:after="0" w:line="1" w:lineRule="exact"/>
        <w:rPr>
          <w:rFonts w:ascii="Arial" w:cs="Arial" w:eastAsia="Arial" w:hAnsi="Arial"/>
          <w:sz w:val="18"/>
          <w:szCs w:val="18"/>
          <w:color w:val="auto"/>
        </w:rPr>
      </w:pPr>
    </w:p>
    <w:p>
      <w:pPr>
        <w:ind w:left="328" w:right="220" w:hanging="328"/>
        <w:spacing w:after="0" w:line="281" w:lineRule="auto"/>
        <w:tabs>
          <w:tab w:leader="none" w:pos="32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“Reserves</w:t>
      </w:r>
      <w:r>
        <w:rPr>
          <w:rFonts w:ascii="Arial" w:cs="Arial" w:eastAsia="Arial" w:hAnsi="Arial"/>
          <w:sz w:val="16"/>
          <w:szCs w:val="16"/>
          <w:color w:val="auto"/>
        </w:rPr>
        <w:t>” Reserves are estimated remaining quantities of crude oil and natural gas and related substances anticipated to be economically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2" w:lineRule="exact"/>
        <w:rPr>
          <w:rFonts w:ascii="Arial" w:cs="Arial" w:eastAsia="Arial" w:hAnsi="Arial"/>
          <w:sz w:val="16"/>
          <w:szCs w:val="16"/>
          <w:color w:val="auto"/>
        </w:rPr>
      </w:pPr>
    </w:p>
    <w:p>
      <w:pPr>
        <w:ind w:left="328" w:right="20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crude oil and/or natural gas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confined by impermeable rock or water barriers and is separate from other reservoirs.</w:t>
      </w:r>
    </w:p>
    <w:p>
      <w:pPr>
        <w:ind w:left="328" w:right="34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“Resources</w:t>
      </w:r>
      <w:r>
        <w:rPr>
          <w:rFonts w:ascii="Arial" w:cs="Arial" w:eastAsia="Arial" w:hAnsi="Arial"/>
          <w:sz w:val="18"/>
          <w:szCs w:val="18"/>
          <w:color w:val="auto"/>
        </w:rPr>
        <w:t>” Quantities of crude oil and natural gas estimated to exist in naturally occurring accumulations. A portion of the resources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to be recoverable and another portion may be considered unrecoverable. Resources include both discovered and undiscovered accumulations.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color w:val="auto"/>
        </w:rPr>
        <w:t>” means the Company’s senior secured reserve-based lending facility which matures June 17, 2024.</w:t>
      </w:r>
    </w:p>
    <w:p>
      <w:pPr>
        <w:spacing w:after="0" w:line="21" w:lineRule="exact"/>
        <w:rPr>
          <w:rFonts w:ascii="Arial" w:cs="Arial" w:eastAsia="Arial" w:hAnsi="Arial"/>
          <w:sz w:val="18"/>
          <w:szCs w:val="18"/>
          <w:color w:val="auto"/>
        </w:rPr>
      </w:pPr>
    </w:p>
    <w:p>
      <w:pPr>
        <w:ind w:left="328" w:right="100" w:hanging="328"/>
        <w:spacing w:after="0" w:line="286" w:lineRule="auto"/>
        <w:tabs>
          <w:tab w:leader="none" w:pos="32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“Royalty</w:t>
      </w:r>
      <w:r>
        <w:rPr>
          <w:rFonts w:ascii="Arial" w:cs="Arial" w:eastAsia="Arial" w:hAnsi="Arial"/>
          <w:sz w:val="16"/>
          <w:szCs w:val="16"/>
          <w:color w:val="auto"/>
        </w:rPr>
        <w:t>” An interest in a crude oil and natural gas lease that gives the owner the right to receive a portion of the production from the leased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Arial" w:cs="Arial" w:eastAsia="Arial" w:hAnsi="Arial"/>
          <w:sz w:val="16"/>
          <w:szCs w:val="16"/>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1" w:lineRule="exact"/>
        <w:rPr>
          <w:rFonts w:ascii="Arial" w:cs="Arial" w:eastAsia="Arial" w:hAnsi="Arial"/>
          <w:sz w:val="18"/>
          <w:szCs w:val="18"/>
          <w:color w:val="auto"/>
        </w:rPr>
      </w:pPr>
    </w:p>
    <w:p>
      <w:pPr>
        <w:ind w:left="328" w:right="560" w:hanging="328"/>
        <w:spacing w:after="0" w:line="274"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“Second Amendment</w:t>
      </w:r>
      <w:r>
        <w:rPr>
          <w:rFonts w:ascii="Arial" w:cs="Arial" w:eastAsia="Arial" w:hAnsi="Arial"/>
          <w:sz w:val="17"/>
          <w:szCs w:val="17"/>
          <w:color w:val="auto"/>
        </w:rPr>
        <w:t>” means the Second Amendment to Credit Agreement, dated as of October 1, 2021, among HighPeak Energy, Inc.,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 Fifth Third Bank, National Association, as administrative agent, and the Guarantors and Lenders party thereto.</w:t>
      </w:r>
    </w:p>
    <w:p>
      <w:pPr>
        <w:ind w:left="328" w:right="4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“Service well</w:t>
      </w:r>
      <w:r>
        <w:rPr>
          <w:rFonts w:ascii="Arial" w:cs="Arial" w:eastAsia="Arial" w:hAnsi="Arial"/>
          <w:sz w:val="18"/>
          <w:szCs w:val="18"/>
          <w:color w:val="auto"/>
        </w:rPr>
        <w:t>” A well drilled or completed for the purpose of supporting production in an existing field. Specific purposes of service wells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Arial" w:cs="Arial" w:eastAsia="Arial" w:hAnsi="Arial"/>
          <w:sz w:val="18"/>
          <w:szCs w:val="18"/>
          <w:color w:val="auto"/>
        </w:rPr>
      </w:pPr>
    </w:p>
    <w:p>
      <w:pPr>
        <w:ind w:left="328" w:right="4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“Spacing</w:t>
      </w:r>
      <w:r>
        <w:rPr>
          <w:rFonts w:ascii="Arial" w:cs="Arial" w:eastAsia="Arial" w:hAnsi="Arial"/>
          <w:sz w:val="18"/>
          <w:szCs w:val="18"/>
          <w:color w:val="auto"/>
        </w:rPr>
        <w:t>” The distance between wells producing from the same reservoir. Spacing is often expressed in terms of acres, e.g., 100-acre spacing,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“Spot market price</w:t>
      </w:r>
      <w:r>
        <w:rPr>
          <w:rFonts w:ascii="Arial" w:cs="Arial" w:eastAsia="Arial" w:hAnsi="Arial"/>
          <w:sz w:val="18"/>
          <w:szCs w:val="18"/>
          <w:color w:val="auto"/>
        </w:rPr>
        <w:t>” The cash market price without reduction for expected quality, transportation and demand adjustments.</w:t>
      </w:r>
    </w:p>
    <w:p>
      <w:pPr>
        <w:spacing w:after="0" w:line="21" w:lineRule="exact"/>
        <w:rPr>
          <w:rFonts w:ascii="Arial" w:cs="Arial" w:eastAsia="Arial" w:hAnsi="Arial"/>
          <w:sz w:val="18"/>
          <w:szCs w:val="18"/>
          <w:color w:val="auto"/>
        </w:rPr>
      </w:pPr>
    </w:p>
    <w:p>
      <w:pPr>
        <w:ind w:left="328" w:hanging="328"/>
        <w:spacing w:after="0" w:line="269"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“Standardized measure</w:t>
      </w:r>
      <w:r>
        <w:rPr>
          <w:rFonts w:ascii="Arial" w:cs="Arial" w:eastAsia="Arial" w:hAnsi="Arial"/>
          <w:sz w:val="17"/>
          <w:szCs w:val="17"/>
          <w:color w:val="auto"/>
        </w:rPr>
        <w:t>” The present value (discounted at an annual rate of 10 percent) of estimated future net revenues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1" w:lineRule="exact"/>
        <w:rPr>
          <w:rFonts w:ascii="Arial" w:cs="Arial" w:eastAsia="Arial" w:hAnsi="Arial"/>
          <w:sz w:val="17"/>
          <w:szCs w:val="17"/>
          <w:color w:val="auto"/>
        </w:rPr>
      </w:pPr>
    </w:p>
    <w:p>
      <w:pPr>
        <w:ind w:left="328" w:right="8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“Stratigraphic test well</w:t>
      </w:r>
      <w:r>
        <w:rPr>
          <w:rFonts w:ascii="Arial" w:cs="Arial" w:eastAsia="Arial" w:hAnsi="Arial"/>
          <w:sz w:val="18"/>
          <w:szCs w:val="18"/>
          <w:color w:val="auto"/>
        </w:rPr>
        <w:t>” A drilling effort, geologically directed, to obtain information pertaining to a specific geologic condition. Such wells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Arial" w:cs="Arial" w:eastAsia="Arial" w:hAnsi="Arial"/>
          <w:sz w:val="18"/>
          <w:szCs w:val="18"/>
          <w:color w:val="auto"/>
        </w:rPr>
      </w:pPr>
    </w:p>
    <w:p>
      <w:pPr>
        <w:ind w:left="328" w:right="740" w:hanging="328"/>
        <w:spacing w:after="0" w:line="26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means the Third Amendment to Credit Agreement, dated as of February 9, 2022,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administrative agent, and the Lenders party thereto.</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7" w:name="page8"/>
    <w:bookmarkEnd w:id="7"/>
    <w:p>
      <w:pPr>
        <w:ind w:left="660" w:right="760" w:hanging="328"/>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“Undeveloped acreage</w:t>
      </w:r>
      <w:r>
        <w:rPr>
          <w:rFonts w:ascii="Arial" w:cs="Arial" w:eastAsia="Arial" w:hAnsi="Arial"/>
          <w:sz w:val="17"/>
          <w:szCs w:val="17"/>
          <w:color w:val="auto"/>
        </w:rPr>
        <w:t>” Lease acreage on which wells have not been drilled or completed to a point that would permit the production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quantities of crude oil and natural gas regardless of whether such acreage contains proved reserves.</w:t>
      </w:r>
    </w:p>
    <w:p>
      <w:pPr>
        <w:ind w:left="660" w:right="3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“Unit</w:t>
      </w:r>
      <w:r>
        <w:rPr>
          <w:rFonts w:ascii="Arial" w:cs="Arial" w:eastAsia="Arial" w:hAnsi="Arial"/>
          <w:sz w:val="18"/>
          <w:szCs w:val="18"/>
          <w:color w:val="auto"/>
        </w:rPr>
        <w:t>” The joining of all or substantially all interests in a reservoir or field, rather than a single tract, to provide for development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separate property interests. Also, the area covered by a unitization agreement.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“U.S.</w:t>
      </w:r>
      <w:r>
        <w:rPr>
          <w:rFonts w:ascii="Arial" w:cs="Arial" w:eastAsia="Arial" w:hAnsi="Arial"/>
          <w:sz w:val="18"/>
          <w:szCs w:val="18"/>
          <w:color w:val="auto"/>
        </w:rPr>
        <w:t>” means the United States.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warrants to purchase one share of HighPeak Energy common stock at a price of $11.50 per share.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“Wellbore</w:t>
      </w:r>
      <w:r>
        <w:rPr>
          <w:rFonts w:ascii="Arial" w:cs="Arial" w:eastAsia="Arial" w:hAnsi="Arial"/>
          <w:sz w:val="18"/>
          <w:szCs w:val="18"/>
          <w:color w:val="auto"/>
        </w:rPr>
        <w:t>” The hole drilled by the bit that is equipped for natural gas production on a completed well. Also called well or borehole.</w:t>
      </w:r>
    </w:p>
    <w:p>
      <w:pPr>
        <w:spacing w:after="0" w:line="3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“Working interes</w:t>
      </w:r>
      <w:r>
        <w:rPr>
          <w:rFonts w:ascii="Arial" w:cs="Arial" w:eastAsia="Arial" w:hAnsi="Arial"/>
          <w:sz w:val="17"/>
          <w:szCs w:val="17"/>
          <w:color w:val="auto"/>
        </w:rPr>
        <w:t>t” The right granted to the lessee of a property to explore for and to produce and own natural gas or other minerals. The working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owners bear the exploration, development and operating costs on either a cash, penalty or carried basis.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Operations on a producing well to restore or increase production.</w:t>
      </w:r>
    </w:p>
    <w:p>
      <w:pPr>
        <w:spacing w:after="0" w:line="21"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“WTI</w:t>
      </w:r>
      <w:r>
        <w:rPr>
          <w:rFonts w:ascii="Arial" w:cs="Arial" w:eastAsia="Arial" w:hAnsi="Arial"/>
          <w:sz w:val="18"/>
          <w:szCs w:val="18"/>
          <w:color w:val="auto"/>
        </w:rPr>
        <w:t>” means West Texas Intermediate, a light sweet blend of crude oil produced from fields in western Texas and is a grade of crude oil used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benchmark in crude oil pricing.</w:t>
      </w:r>
    </w:p>
    <w:p>
      <w:pPr>
        <w:spacing w:after="0" w:line="1"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information on the working interest in wells and acreage,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wells and acres are determined by multiplying “</w:t>
      </w:r>
      <w:r>
        <w:rPr>
          <w:rFonts w:ascii="Arial" w:cs="Arial" w:eastAsia="Arial" w:hAnsi="Arial"/>
          <w:sz w:val="18"/>
          <w:szCs w:val="18"/>
          <w:b w:val="1"/>
          <w:bCs w:val="1"/>
          <w:i w:val="1"/>
          <w:iCs w:val="1"/>
          <w:color w:val="auto"/>
        </w:rPr>
        <w:t>gross</w:t>
      </w:r>
      <w:r>
        <w:rPr>
          <w:rFonts w:ascii="Arial" w:cs="Arial" w:eastAsia="Arial" w:hAnsi="Arial"/>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currency amounts are expressed in U.S. dollars.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76" w:lineRule="exact"/>
        <w:rPr>
          <w:sz w:val="20"/>
          <w:szCs w:val="20"/>
          <w:color w:val="auto"/>
        </w:rPr>
      </w:pPr>
    </w:p>
    <w:p>
      <w:pPr>
        <w:ind w:left="660" w:right="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political instability or armed conflict in crude oil or natural gas producing regions, such as the ongoing war between Russia and Ukraine;</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prices of crude oil, NGL, natural gas and other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and demand for crude oil, NGL, natural gas and other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goods and services and supply chain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integration of acquisitions;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252" w:lineRule="exact"/>
        <w:rPr>
          <w:rFonts w:ascii="Arial" w:cs="Arial" w:eastAsia="Arial" w:hAnsi="Arial"/>
          <w:sz w:val="18"/>
          <w:szCs w:val="18"/>
          <w:color w:val="auto"/>
        </w:rPr>
      </w:pPr>
    </w:p>
    <w:p>
      <w:pPr>
        <w:ind w:left="660" w:right="120" w:hanging="328"/>
        <w:spacing w:after="0" w:line="27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Form 10-K filed on March 7, 2022 ("Annual Report") and “Part I, Item 2. Management’s Discussion and Analysis of Financial Condition and Results of Operations” and “Part I, Item 3. Quantitative and Qualitative Disclosures about Market Risk,” included in this Quarterly Report, and elsewhere in this Quarterly Report.</w:t>
      </w:r>
    </w:p>
    <w:p>
      <w:pPr>
        <w:spacing w:after="0" w:line="17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8"/>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0"/>
        </w:trPr>
        <w:tc>
          <w:tcPr>
            <w:tcW w:w="6900" w:type="dxa"/>
            <w:vAlign w:val="bottom"/>
            <w:tcBorders>
              <w:top w:val="single" w:sz="8" w:color="auto"/>
            </w:tcBorders>
          </w:tcPr>
          <w:p>
            <w:pPr>
              <w:jc w:val="center"/>
              <w:ind w:left="4270"/>
              <w:spacing w:after="0"/>
              <w:rPr>
                <w:sz w:val="20"/>
                <w:szCs w:val="20"/>
                <w:color w:val="auto"/>
              </w:rPr>
            </w:pPr>
            <w:r>
              <w:rPr>
                <w:rFonts w:ascii="Arial" w:cs="Arial" w:eastAsia="Arial" w:hAnsi="Arial"/>
                <w:sz w:val="18"/>
                <w:szCs w:val="18"/>
                <w:b w:val="1"/>
                <w:bCs w:val="1"/>
                <w:color w:val="auto"/>
                <w:w w:val="92"/>
              </w:rPr>
              <w:t>HighPeak Energy, Inc.</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2"/>
          </w:tcPr>
          <w:p>
            <w:pPr>
              <w:jc w:val="center"/>
              <w:ind w:left="3150"/>
              <w:spacing w:after="0"/>
              <w:rPr>
                <w:sz w:val="20"/>
                <w:szCs w:val="20"/>
                <w:color w:val="auto"/>
              </w:rPr>
            </w:pPr>
            <w:r>
              <w:rPr>
                <w:rFonts w:ascii="Arial" w:cs="Arial" w:eastAsia="Arial" w:hAnsi="Arial"/>
                <w:sz w:val="18"/>
                <w:szCs w:val="18"/>
                <w:b w:val="1"/>
                <w:bCs w:val="1"/>
                <w:color w:val="auto"/>
                <w:w w:val="88"/>
              </w:rPr>
              <w:t>(in thousands, except share data)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6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46,167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39,378</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7,154</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3,986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3,304</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Deposits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86,954</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Crude oil and natural gas properties, using the successful efforts method of accounting:</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Proved properties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999,110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699,701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Unproved properties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137,765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108,392</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Accumulated depletion, 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(82,478)</w:t>
            </w:r>
          </w:p>
        </w:tc>
      </w:tr>
      <w:tr>
        <w:trPr>
          <w:trHeight w:val="210"/>
        </w:trPr>
        <w:tc>
          <w:tcPr>
            <w:tcW w:w="8000" w:type="dxa"/>
            <w:vAlign w:val="bottom"/>
            <w:tcBorders>
              <w:top w:val="single" w:sz="8" w:color="CCEEFF"/>
            </w:tcBorders>
            <w:gridSpan w:val="2"/>
          </w:tcPr>
          <w:p>
            <w:pPr>
              <w:ind w:left="820"/>
              <w:spacing w:after="0"/>
              <w:rPr>
                <w:sz w:val="20"/>
                <w:szCs w:val="20"/>
                <w:color w:val="auto"/>
              </w:rPr>
            </w:pPr>
            <w:r>
              <w:rPr>
                <w:rFonts w:ascii="Arial" w:cs="Arial" w:eastAsia="Arial" w:hAnsi="Arial"/>
                <w:sz w:val="18"/>
                <w:szCs w:val="18"/>
                <w:color w:val="auto"/>
              </w:rPr>
              <w:t>Total crude oil and natural gas properties, net</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1,037,433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725,615</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property and equipment,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1,144,718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818,960</w:t>
            </w:r>
          </w:p>
        </w:tc>
      </w:tr>
      <w:tr>
        <w:trPr>
          <w:trHeight w:val="196"/>
        </w:trPr>
        <w:tc>
          <w:tcPr>
            <w:tcW w:w="8000" w:type="dxa"/>
            <w:vAlign w:val="bottom"/>
            <w:tcBorders>
              <w:top w:val="single" w:sz="8" w:color="CCEEFF"/>
            </w:tcBorders>
            <w:gridSpan w:val="2"/>
          </w:tcPr>
          <w:p>
            <w:pPr>
              <w:ind w:left="20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59,062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38,144</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51,758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13,591</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Advances from joint interest owners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203,197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55,490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55,802</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500"/>
              <w:spacing w:after="0" w:line="201" w:lineRule="exact"/>
              <w:rPr>
                <w:sz w:val="20"/>
                <w:szCs w:val="20"/>
                <w:color w:val="auto"/>
              </w:rPr>
            </w:pPr>
            <w:r>
              <w:rPr>
                <w:rFonts w:ascii="Arial" w:cs="Arial" w:eastAsia="Arial" w:hAnsi="Arial"/>
                <w:sz w:val="18"/>
                <w:szCs w:val="18"/>
                <w:color w:val="auto"/>
                <w:w w:val="95"/>
              </w:rPr>
              <w:t>Preferred stock, $0.0001 par value, 10,000,000 shares authorized, none issued and outstanding at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March 31, 2022 and December 31, 2021</w:t>
            </w:r>
          </w:p>
        </w:tc>
        <w:tc>
          <w:tcPr>
            <w:tcW w:w="1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w w:val="96"/>
              </w:rPr>
              <w:t>Common stock, $0.0001 par value, 600,000,000 shares authorized, 103,810,939 and 96,774,185</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shares issued and outstanding at March 31, 2022 and December 31, 2021, respectively</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777,501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617,489</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(64,436)</w:t>
            </w:r>
          </w:p>
        </w:tc>
      </w:tr>
      <w:tr>
        <w:trPr>
          <w:trHeight w:val="210"/>
        </w:trPr>
        <w:tc>
          <w:tcPr>
            <w:tcW w:w="8000" w:type="dxa"/>
            <w:vAlign w:val="bottom"/>
            <w:tcBorders>
              <w:top w:val="single" w:sz="8" w:color="CCEEFF"/>
            </w:tcBorders>
            <w:gridSpan w:val="2"/>
          </w:tcPr>
          <w:p>
            <w:pPr>
              <w:ind w:left="8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693,881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553,063</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818,960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Crude oil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86,938</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NGL and natural gas sales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92,229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Crude oil and natural gas production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9,446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Exploration and abandonments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(5,252)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loss,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(16,822)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(16,510)</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(loss) per share: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Basic 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95,841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00" w:type="dxa"/>
            <w:vAlign w:val="bottom"/>
            <w:gridSpan w:val="4"/>
          </w:tcPr>
          <w:p>
            <w:pPr>
              <w:ind w:left="2080"/>
              <w:spacing w:after="0"/>
              <w:rPr>
                <w:sz w:val="20"/>
                <w:szCs w:val="20"/>
                <w:color w:val="auto"/>
              </w:rPr>
            </w:pPr>
            <w:r>
              <w:rPr>
                <w:rFonts w:ascii="Arial" w:cs="Arial" w:eastAsia="Arial" w:hAnsi="Arial"/>
                <w:sz w:val="18"/>
                <w:szCs w:val="18"/>
                <w:color w:val="auto"/>
                <w:w w:val="94"/>
              </w:rPr>
              <w:t>The accompanying notes are an integral part of these condensed consolidated financial statements.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617,489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553,063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($0.025 per share)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($0.025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issued for acquisition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6,960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156,599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156,599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(16,510)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103,811</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777,501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693,881</w:t>
            </w:r>
          </w:p>
        </w:tc>
        <w:tc>
          <w:tcPr>
            <w:tcW w:w="0" w:type="dxa"/>
            <w:vAlign w:val="bottom"/>
          </w:tcPr>
          <w:p>
            <w:pPr>
              <w:spacing w:after="0"/>
              <w:rPr>
                <w:sz w:val="1"/>
                <w:szCs w:val="1"/>
                <w:color w:val="auto"/>
              </w:rPr>
            </w:pPr>
          </w:p>
        </w:tc>
      </w:tr>
      <w:tr>
        <w:trPr>
          <w:trHeight w:val="628"/>
        </w:trPr>
        <w:tc>
          <w:tcPr>
            <w:tcW w:w="462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bottom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89"/>
              </w:rPr>
              <w:t>Retained</w:t>
            </w:r>
          </w:p>
        </w:tc>
        <w:tc>
          <w:tcPr>
            <w:tcW w:w="220" w:type="dxa"/>
            <w:vAlign w:val="bottom"/>
            <w:tcBorders>
              <w:top w:val="single" w:sz="8" w:color="CCEEFF"/>
              <w:bottom w:val="single" w:sz="8" w:color="CCEEFF"/>
            </w:tcBorders>
            <w:vMerge w:val="restart"/>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91,968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581,426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486,976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(16,510)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Exploration and abandonment expense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Depletion, depreciation and amortization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Accretion expense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original issue discount on senior notes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Derivative-related activity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inventory and other assets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49,947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11,373</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Additions to crude oil and natural gas properties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(165,099)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(44,875)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working capital associated with crude oil and natural gas property additions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Acquisitions of crude oil and natural gas properties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(6,348)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property additions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(150,899)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(31,921)</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issuance of senior unsecured notes, net of discount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210,179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under revolving credit facility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Borrowings under revolving credit facility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exercises of warrants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subscription receivable from exercises of warrants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(6,449)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Dividend equivalents paid</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offering costs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10,634</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35,850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9,638</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 issued for acquisition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156,600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HighPeak Energy, Inc. ("HighPeak Energy" or the "Company,") is a Delaware corporation, formed in October 2019. See the Company’s Annual Report on Form 10-K for the year ended December 31, 2021 for further information regarding the formation of the Company.</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HighPeak Energy’s common stock and warrants are listed and traded on the Nasdaq Global Market (the "Nasdaq") under the ticker symbols “HPK” and “HPKEW,” respectively. HighPeak Energy’s Contingent Value Rights (“CVRs”) are currently traded on the Over-The-Counter market under the ticker symbol “HPKER.” The Company is an independent crude oil and natural gas exploration and production company that explores for, develops and produces crude oil, NGL and natural gas in the Permian Basin in West Texas, more specifically, the Midland Basin in Howard and Borden Counties. Our acreage is composed of two core areas, Flat Top in the northern portion of Howard County extending into southern Borden County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Presentation. </w:t>
      </w:r>
      <w:r>
        <w:rPr>
          <w:rFonts w:ascii="Arial" w:cs="Arial" w:eastAsia="Arial" w:hAnsi="Arial"/>
          <w:sz w:val="17"/>
          <w:szCs w:val="17"/>
          <w:color w:val="auto"/>
        </w:rPr>
        <w:t>In the opinion of management, the unaudited interim condensed consolidated financial statements of the Company as of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and for the three months ended March 31, 2022 and 2021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months ended March 31, 2022 are not indicative of results for a full year.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in accordance with the rules and regulations of the United States Securities and Exchange Commission (the "SEC"). These unaudited interim condensed consolidated financial statements should be read together with the consolidated financial statements and notes thereto included in the Company’s Annual Report on Form 10-K for the year ended December 31,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its wholly owned subsidiaries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acquisition or formation. All material intercompany balances and transactions have been eliminated. Certain reclassifications have been made to prior period amounts to conform to the current period’s presentation.</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Use of estimates in the preparation of financial statements. </w:t>
      </w:r>
      <w:r>
        <w:rPr>
          <w:rFonts w:ascii="Arial" w:cs="Arial" w:eastAsia="Arial" w:hAnsi="Arial"/>
          <w:sz w:val="16"/>
          <w:szCs w:val="16"/>
          <w:color w:val="auto"/>
        </w:rPr>
        <w:t>Preparation of the Company's consolidated financial statements in conformity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and evaluations for impairment of proved and unproved crude oil and natural gas properties, in part, is determined using estimates of proved,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and unproved crude oil and natural gas properties are subject to numerous uncertainties including, among others, estimates of future recoverable reserves, commodity price outlooks and future undiscounted and discounted net cash flows.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Company’s cash and cash equivalents include depository accounts held by banks with original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As of March 31, 2022 and December 31, 2021, the Company’s accounts receivables primarily consist of amounts due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sale of crude oil, NGL and natural gas of $41.1 million and $29.0 million, respectively, and are based on estimates of sales volumes and realized prices the Company anticipates it will receive, receivables related to refunds from pipe suppliers of zero and $3.2 million, respectively, current U.S. federal income tax receivables of $3.2 million and $3.2 million, respectively, joint interest receivables of $1.9 million and $3.1 million, respectively, and receivables related to settlements of derivative contracts of zero and $771,000,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 The Company routinely reviews outstanding balances and establishes allowances for bad debts equal to the estimable portions of accounts receivable for which failure to collect is considered probable. As of March 31, 2022 and December 31, 2021, the Company had no allowance for doubtful accounts.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The Company is subject to credit risk resulting from the concentration of its crude oil and natural gas receivables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significant purchasers. For the three months ended March 31, 2022 and 2021, sales to the Company’s largest purchaser accounted for approximately 93% and 96%, respectively,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Prepaid expenses. </w:t>
      </w:r>
      <w:r>
        <w:rPr>
          <w:rFonts w:ascii="Arial" w:cs="Arial" w:eastAsia="Arial" w:hAnsi="Arial"/>
          <w:sz w:val="18"/>
          <w:szCs w:val="18"/>
          <w:color w:val="auto"/>
        </w:rPr>
        <w:t>Prepaid expenses are comprised primarily of tubulars that the Company has prepaid in order for the suppliers to produce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tubulars in time such as to guarantee their availability when we need them for our current drilling program, prepaid drilling and completion costs on wells being drilled and completed by third party operators where we own a non-operated working interest, prepaid caliche that will be used on future locations and roads in our development areas, prepaid insurance costs, software maintenance costs and listing fees that will be amortized over the life of the policies and prepaid software maintenance fees that will be amortized over the life of the contracts. Prepaid expenses as of March 31, 2022 and December 31, 2021 is $15.1 million and $7.2 million, respectively.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Inventory is comprised primarily of crude oil and natural gas drilling or repair items such as tubing, casing, proppant used to fracture-stimulate crude oil and natural gas wells, water, chemicals, pumps, vessels, operating supplies and ordinary maintenance materials and parts. The materials and supplies inventory is primarily acquired for use in future drilling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March 31, 2022 and December 31, 2021 is $4.0 million and $3.3 million, respectively, and the Company has not recognized any valuation allowance to date.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and natural gas properties. </w:t>
      </w:r>
      <w:r>
        <w:rPr>
          <w:rFonts w:ascii="Arial" w:cs="Arial" w:eastAsia="Arial" w:hAnsi="Arial"/>
          <w:sz w:val="18"/>
          <w:szCs w:val="18"/>
          <w:color w:val="auto"/>
        </w:rPr>
        <w:t>The Company utilizes the successful efforts method of accounting for its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The capitalized costs of proved properties are depleted using the unit-of-production method based on proved reserves for leasehold costs and proved reserves for drilling, completion and other crude oil and natural gas property costs. Costs of unproved leasehold costs are excluded from depletion until proved reserves are established or, if unsuccessful, impairment is determined.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Proceeds from the sales of individual properties are credited to proved or unproved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Unproved crude oil and natural gas properties are periodically assessed for impairment on a project-by-project basis. These impairment assessments are affected by the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Other property and equipment, net. </w:t>
      </w:r>
      <w:r>
        <w:rPr>
          <w:rFonts w:ascii="Arial" w:cs="Arial" w:eastAsia="Arial" w:hAnsi="Arial"/>
          <w:sz w:val="16"/>
          <w:szCs w:val="16"/>
          <w:color w:val="auto"/>
        </w:rPr>
        <w:t>Other property and equipment is recorded at cost. The carrying values of other property and equipment, net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of $497,000 and $438,000 as of March 31, 2022 and December 31, 2021, respectively,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Field equipment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other 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is depreciated over its estimated useful life on a straight-line basis. Land is not depreciated. Transportation equipment is generally depreciated over five years, field equipment is generally depreciated over seven years and information technology is generally depreciated over three years. Leasehold improvements are amortized over the lesser of their estimated useful lives or the underlying terms of the associated leases.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Aid-in-construction assets. </w:t>
      </w:r>
      <w:r>
        <w:rPr>
          <w:rFonts w:ascii="Arial" w:cs="Arial" w:eastAsia="Arial" w:hAnsi="Arial"/>
          <w:sz w:val="18"/>
          <w:szCs w:val="18"/>
          <w:color w:val="auto"/>
        </w:rPr>
        <w:t>As of March 31, 2022 and December 31, 2021, the Company has aid-in-construction assets totaling $3.8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 million, respectively, included in other noncurrent assets. The Company contracted with the natural gas gatherer and processor in its Flat Top area to construct a low-pressure gas gathering system to transport the Company’s natural gas to its processing facility. The Company agreed to incur the cost to construct the system in return for future payments based on gross throughput through the system, including any third-party natural gas that is potentially tied into the system in the future. Based on the Company’s current projections of its natural gas reserves in Flat Top, it is anticipated that the full amount will be paid back in less than four years. The contract calls for future aid-in-construction fundings if expansions of the system are necessary at the sole discretion of the Company.</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Debt issuance costs and original issue discount. </w:t>
      </w:r>
      <w:r>
        <w:rPr>
          <w:rFonts w:ascii="Arial" w:cs="Arial" w:eastAsia="Arial" w:hAnsi="Arial"/>
          <w:sz w:val="16"/>
          <w:szCs w:val="16"/>
          <w:color w:val="auto"/>
        </w:rPr>
        <w:t>The Company has paid a total of $9.0 million in debt issuance costs, $6.4 million of which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incurred during the three months ended March 31, 2022, related to the issuance of senior unsecured notes and its revolving credit facility. Amortization based on the straight-line method over the terms of the senior unsecured notes and the revolving credit facility which approximates the effective interest method was $644,000 and $29,000 during the three months ended March 31, 2022 and 2021, respectively. In addition, the company realized a $14.8 million discount on the issuance of its senior unsecured notes that is being amortized over the life of the notes which approximates the effective interest method and was $893,000 and zero during the three months ended March 31, 2022 and 2021, respectively. As of March 31, 2022 and December 31, 2021, the net debt issuance costs and discount are netted against the outstanding long-term debt on the accompanying balance sheet in accordance with GAAP.</w:t>
      </w:r>
    </w:p>
    <w:p>
      <w:pPr>
        <w:spacing w:after="0" w:line="16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7" w:name="page18"/>
    <w:bookmarkEnd w:id="17"/>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enters into leases for drilling rigs, storage tanks, equipment and buildings and recognizes lease expense on a straight-line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Current liabilities. </w:t>
      </w:r>
      <w:r>
        <w:rPr>
          <w:rFonts w:ascii="Arial" w:cs="Arial" w:eastAsia="Arial" w:hAnsi="Arial"/>
          <w:sz w:val="18"/>
          <w:szCs w:val="18"/>
          <w:color w:val="auto"/>
        </w:rPr>
        <w:t>Current liabilities as of March 31, 2022 and December 31, 2021 totaled approximately $179.6 million and $103.0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including trade accounts payable, derivative liabilities, revenues payable, advances from joint interest owners and accruals for capital expenditures, operating and general and administrative expenses, interest expense, operating leases, dividends and dividend equivalents and other miscellaneous items.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a liability for the fair value of an asset retirement obligation in the period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follows FASB ASC 606, “Revenue from Contracts with Customers,” (“ASC 606”) whereby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revenues from the sales of crude oil and natural gas to its purchasers and presents them disaggregated on the Company’s consolidated statements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enters into contracts with purchasers to sell its crude oil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1" w:lineRule="exact"/>
        <w:rPr>
          <w:sz w:val="20"/>
          <w:szCs w:val="20"/>
          <w:color w:val="auto"/>
        </w:rPr>
      </w:pPr>
    </w:p>
    <w:p>
      <w:pPr>
        <w:jc w:val="both"/>
        <w:ind w:firstLine="8"/>
        <w:spacing w:after="0" w:line="273" w:lineRule="auto"/>
        <w:tabs>
          <w:tab w:leader="none" w:pos="308"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production. As of March 31, 2022 and December 31, 2021, the Company had receivables related to contracts with purchasers of approximately $41.1 million and $29.0 million, respectively.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Crude Oil Contracts. </w:t>
      </w:r>
      <w:r>
        <w:rPr>
          <w:rFonts w:ascii="Arial" w:cs="Arial" w:eastAsia="Arial" w:hAnsi="Arial"/>
          <w:sz w:val="18"/>
          <w:szCs w:val="18"/>
          <w:color w:val="auto"/>
        </w:rPr>
        <w:t>The Company’s crude oil marketing contracts transfer physical custody and title at or near the wellhead, which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Natural Gas Contracts. </w:t>
      </w:r>
      <w:r>
        <w:rPr>
          <w:rFonts w:ascii="Arial" w:cs="Arial" w:eastAsia="Arial" w:hAnsi="Arial"/>
          <w:sz w:val="17"/>
          <w:szCs w:val="17"/>
          <w:color w:val="auto"/>
        </w:rPr>
        <w:t>The majority of the Company’s natural gas is sold at the lease location, which is generally when control of the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All of the Company’s derivatives are accounted for as non-hedge derivatives and are recorded at estimated fair value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provision for income taxes is determined using the asset and liability approach of accounting for income taxes.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had not established a valuation allowance as of March 31, 2022 and December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 information.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any tax-related interest charges as interest expense and any tax-related penalties as other expense in the consolidated statements of operations of which there have been none to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consolidated financial statements as we do not anticipate owing any Texas Margin Tax for the periods presented.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expense for stock option awards is measured at the grant date or modification date,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jc w:val="both"/>
        <w:ind w:firstLine="648"/>
        <w:spacing w:after="0" w:line="279" w:lineRule="auto"/>
        <w:rPr>
          <w:sz w:val="20"/>
          <w:szCs w:val="20"/>
          <w:color w:val="auto"/>
        </w:rPr>
      </w:pPr>
      <w:r>
        <w:rPr>
          <w:rFonts w:ascii="Arial" w:cs="Arial" w:eastAsia="Arial" w:hAnsi="Arial"/>
          <w:sz w:val="17"/>
          <w:szCs w:val="17"/>
          <w:color w:val="auto"/>
        </w:rPr>
        <w:t>Stock-based compensation for HighPeak Energy common stock issued to outside directors with no restrictions thereon, is measured at the grant date using the fair value of the award and is recognized as stock-based compensation in the accompanying financial statements immediately. Stock-based compensation for restricted stock awarded to outside directors and employee members of the board of directors is measured at the grant date using the fair value of the award and is recognized on a straight-line basis over the requisite service period of the respective award.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Based on the Company’s organizational structure, the Company has one operating segment, which is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Impact of the COVID-19 Pandemic. </w:t>
      </w:r>
      <w:r>
        <w:rPr>
          <w:rFonts w:ascii="Arial" w:cs="Arial" w:eastAsia="Arial" w:hAnsi="Arial"/>
          <w:sz w:val="18"/>
          <w:szCs w:val="18"/>
          <w:color w:val="auto"/>
        </w:rPr>
        <w:t>A novel strain of the coronavirus disease ("COVID-19") surfaced in late 2019 and spread around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to the United States. In March 2020, the World Health Organization declared COVID-19 a pandemic, and the President of the United States declared the COVID-19 outbreak a national emergency. The COVID-19 pandemic significantly affected the global economy, disrupted global supply chains and created significant volatility in the financial markets. In addition, the COVID-19 pandemic resulted in travel restrictions, business closures and other restrictions that have disrupted the demand for crude oil throughout the world and when combined with pressures on the global supply-demand balance for crude oil and related products, resulted in significant volatility in crude oil prices beginning late February 2020. The length of this demand disruption is unknown, and there is significant uncertainty regarding the long-term impact of the effects of the COVID-19 pandemic to global crude oil demand.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New accounting pronouncements. </w:t>
      </w:r>
      <w:r>
        <w:rPr>
          <w:rFonts w:ascii="Arial" w:cs="Arial" w:eastAsia="Arial" w:hAnsi="Arial"/>
          <w:sz w:val="18"/>
          <w:szCs w:val="18"/>
          <w:color w:val="auto"/>
        </w:rPr>
        <w:t>The Company has evaluated recently issued, but not yet effective, accounting pronouncements and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they would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During the three months ended March 31, 2022, the Company incurred a total of $162.9 million in acquisition costs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a series of agreements to acquire various crude oil and natural gas properties contiguous to its Flat Top operating area in Borden and Howard counties, consisting of approximately 10,200 net acres and associated producing properties, water system infrastructure and in-field fluid gathering pipelines. Included in the acquisition costs is the issuance of 6,960,000 shares of HighPeak Energy common stock valued at $156.6 million on the date of closing. All of the aforementioned acquisitions were accounted for as asset acquisitions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acquisitions were capitalized.</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Contingent Acquisition. </w:t>
      </w:r>
      <w:r>
        <w:rPr>
          <w:rFonts w:ascii="Arial" w:cs="Arial" w:eastAsia="Arial" w:hAnsi="Arial"/>
          <w:sz w:val="18"/>
          <w:szCs w:val="18"/>
          <w:color w:val="auto"/>
        </w:rPr>
        <w:t>The Company is also party to an option agreement to acquire additional producing horizontal wells and acreage</w:t>
      </w:r>
      <w:r>
        <w:rPr>
          <w:rFonts w:ascii="Arial" w:cs="Arial" w:eastAsia="Arial" w:hAnsi="Arial"/>
          <w:sz w:val="18"/>
          <w:szCs w:val="18"/>
          <w:b w:val="1"/>
          <w:bCs w:val="1"/>
          <w:color w:val="auto"/>
        </w:rPr>
        <w:t xml:space="preserve"> </w:t>
      </w:r>
      <w:r>
        <w:rPr>
          <w:rFonts w:ascii="Arial" w:cs="Arial" w:eastAsia="Arial" w:hAnsi="Arial"/>
          <w:sz w:val="18"/>
          <w:szCs w:val="18"/>
          <w:color w:val="auto"/>
        </w:rPr>
        <w:t>contiguous to its Flat Top Area for consideration of approximately 773,333 shares of HighPeak common stock, which may be adjusted for customary purchase price adjustments, should certain closing conditions come to fruition prior to May 31, 2022. At this time, it is unknown if this transaction will be consummated.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input levels of the fair value hierarchy are as follows: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36"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Assets and liabilities measured at fair value on a recurring basis as of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2022 and December 31, 2021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90"/>
              </w:rPr>
              <w:t>As of March 31,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16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51,758</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51,758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5,342</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57,100</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57,100</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9"/>
              </w:rPr>
              <w:t>As of December 31, 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16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13,591</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13,591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17,666</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17,666</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Commodity price derivatives. </w:t>
      </w:r>
      <w:r>
        <w:rPr>
          <w:rFonts w:ascii="Arial" w:cs="Arial" w:eastAsia="Arial" w:hAnsi="Arial"/>
          <w:sz w:val="18"/>
          <w:szCs w:val="18"/>
          <w:color w:val="auto"/>
        </w:rPr>
        <w:t>The Company’s commodity price derivatives are currently made up entirely of crude oil swap contracts.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measures derivatives using an industry-standard pricing model that is provided by a third party.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1" w:name="page22"/>
    <w:bookmarkEnd w:id="21"/>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nonrecurring basis. </w:t>
      </w:r>
      <w:r>
        <w:rPr>
          <w:rFonts w:ascii="Arial" w:cs="Arial" w:eastAsia="Arial" w:hAnsi="Arial"/>
          <w:sz w:val="17"/>
          <w:szCs w:val="17"/>
          <w:color w:val="auto"/>
        </w:rPr>
        <w:t>Certain assets and liabilities are measured at fair value on a nonrecurring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Financial instruments not carried at fair value. </w:t>
      </w:r>
      <w:r>
        <w:rPr>
          <w:rFonts w:ascii="Arial" w:cs="Arial" w:eastAsia="Arial" w:hAnsi="Arial"/>
          <w:sz w:val="18"/>
          <w:szCs w:val="18"/>
          <w:color w:val="auto"/>
        </w:rPr>
        <w:t>Carrying values and fair values of financial instruments that are not carried at fair value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consolidating balance sheets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As of March 31, 2022</w:t>
            </w:r>
          </w:p>
        </w:tc>
        <w:tc>
          <w:tcPr>
            <w:tcW w:w="140" w:type="dxa"/>
            <w:vAlign w:val="bottom"/>
          </w:tcPr>
          <w:p>
            <w:pPr>
              <w:spacing w:after="0"/>
              <w:rPr>
                <w:sz w:val="20"/>
                <w:szCs w:val="20"/>
                <w:color w:val="auto"/>
              </w:rPr>
            </w:pPr>
          </w:p>
        </w:tc>
        <w:tc>
          <w:tcPr>
            <w:tcW w:w="2400" w:type="dxa"/>
            <w:vAlign w:val="bottom"/>
            <w:gridSpan w:val="5"/>
          </w:tcPr>
          <w:p>
            <w:pPr>
              <w:ind w:left="140"/>
              <w:spacing w:after="0"/>
              <w:rPr>
                <w:sz w:val="20"/>
                <w:szCs w:val="20"/>
                <w:color w:val="auto"/>
              </w:rPr>
            </w:pPr>
            <w:r>
              <w:rPr>
                <w:rFonts w:ascii="Arial" w:cs="Arial" w:eastAsia="Arial" w:hAnsi="Arial"/>
                <w:sz w:val="18"/>
                <w:szCs w:val="18"/>
                <w:b w:val="1"/>
                <w:bCs w:val="1"/>
                <w:color w:val="auto"/>
              </w:rPr>
              <w:t>As of December 31, 2021</w:t>
            </w:r>
          </w:p>
        </w:tc>
      </w:tr>
      <w:tr>
        <w:trPr>
          <w:trHeight w:val="191"/>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35,850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35,850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34,869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notes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205,052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right="2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Fair value is determined using Level 2 inputs. The Company’s senior unsecured notes are quoted, but not actively traded on major exchanges; therefore, fair value is based on periodic values as quoted on major exchanges. See Note 7 for additional information.</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other financial instruments consisting primarily of accounts receivable, accounts payable, long-term debt, specifically the revolving credit facility, and other current assets and liabilities that approximate fair value due to the nature of the instrument and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primarily utilizes commodity swap contracts to (i) reduce the effect of price volatility on the commodities the Company produces and sells, and (ii) support the Company’s capital budgeting and expenditure plans, (iii) protect the Company’s borrowing base under its Revolving Credit Facility, (iv) adhere to the hedge obligations included in the senior unsecured notes and (v) support the payment of contractual obligations.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effect of derivatives on the Company’s consolidated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7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(41,633)</w:t>
            </w: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Derivative settlements, net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(24,761)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(66,394)</w:t>
            </w: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production derivatives. </w:t>
      </w:r>
      <w:r>
        <w:rPr>
          <w:rFonts w:ascii="Arial" w:cs="Arial" w:eastAsia="Arial" w:hAnsi="Arial"/>
          <w:sz w:val="18"/>
          <w:szCs w:val="18"/>
          <w:color w:val="auto"/>
        </w:rPr>
        <w:t>The Company sells its crude oil production at the lease and the sales contracts governing such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WTI crude oil prices. As such, the Company uses NYMEX WTI derivative contracts to manage future crude oil price volatility.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outstanding crude oil derivative contracts as of March 31, 2022 and the weighted average crude oil prices per barrel for those contracts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Remainder of 2022</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Fourth</w:t>
            </w:r>
          </w:p>
        </w:tc>
        <w:tc>
          <w:tcPr>
            <w:tcW w:w="20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Second</w:t>
            </w:r>
          </w:p>
        </w:tc>
        <w:tc>
          <w:tcPr>
            <w:tcW w:w="200" w:type="dxa"/>
            <w:vAlign w:val="bottom"/>
          </w:tcPr>
          <w:p>
            <w:pPr>
              <w:spacing w:after="0"/>
              <w:rPr>
                <w:sz w:val="19"/>
                <w:szCs w:val="19"/>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7"/>
                <w:szCs w:val="17"/>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487.4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1,983.6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derivative liabilities associated with the Company’s open commodity derivatives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As of March 31,</w:t>
            </w:r>
          </w:p>
        </w:tc>
      </w:tr>
      <w:tr>
        <w:trPr>
          <w:trHeight w:val="234"/>
        </w:trPr>
        <w:tc>
          <w:tcPr>
            <w:tcW w:w="6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 National Association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(35,464)</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Bank of America, National Association</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(11,765)</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Bank of Oklahoma, National Association</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Citizens Bank, National Association</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(1,932)</w:t>
            </w:r>
          </w:p>
        </w:tc>
      </w:tr>
      <w:tr>
        <w:trPr>
          <w:trHeight w:val="20"/>
        </w:trPr>
        <w:tc>
          <w:tcPr>
            <w:tcW w:w="6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(57,100)</w:t>
            </w:r>
          </w:p>
        </w:tc>
      </w:tr>
      <w:tr>
        <w:trPr>
          <w:trHeight w:val="20"/>
        </w:trPr>
        <w:tc>
          <w:tcPr>
            <w:tcW w:w="634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Exploratory Well Costs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capitalizes exploratory well and project costs until a determination is made that the well or project has either found proved reserves, is impaired or is sold. The Company's capitalized exploratory well and project costs are included in proved properties in the consolidated balance sheets. If the exploratory well or project is determined to be impaired, the impaired costs are charged to exploration and abandonments expense.</w:t>
      </w:r>
    </w:p>
    <w:p>
      <w:pPr>
        <w:sectPr>
          <w:pgSz w:w="11900" w:h="16838" w:orient="portrait"/>
          <w:cols w:equalWidth="0" w:num="1">
            <w:col w:w="11240"/>
          </w:cols>
          <w:pgMar w:left="320" w:top="611" w:right="339" w:bottom="1440" w:gutter="0" w:footer="0" w:header="0"/>
        </w:sectPr>
      </w:pP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capitalized exploratory well costs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Beginning 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Additions to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Reclassification to proved properties</w:t>
      </w:r>
    </w:p>
    <w:p>
      <w:pPr>
        <w:spacing w:after="0" w:line="9" w:lineRule="exact"/>
        <w:rPr>
          <w:sz w:val="20"/>
          <w:szCs w:val="20"/>
          <w:color w:val="auto"/>
        </w:rPr>
      </w:pPr>
    </w:p>
    <w:p>
      <w:pPr>
        <w:ind w:right="3240" w:firstLine="486"/>
        <w:spacing w:after="0" w:line="323" w:lineRule="auto"/>
        <w:rPr>
          <w:sz w:val="20"/>
          <w:szCs w:val="20"/>
          <w:color w:val="auto"/>
        </w:rPr>
      </w:pPr>
      <w:r>
        <w:rPr>
          <w:rFonts w:ascii="Arial" w:cs="Arial" w:eastAsia="Arial" w:hAnsi="Arial"/>
          <w:sz w:val="18"/>
          <w:szCs w:val="18"/>
          <w:color w:val="auto"/>
        </w:rPr>
        <w:t>Exploratory well costs charged to exploration and abandonment expense Ending 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capitalized exploratory well costs have been capitalized for less than one year based on the date of drilling.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left="960" w:hanging="95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28,076</w:t>
      </w:r>
    </w:p>
    <w:p>
      <w:pPr>
        <w:spacing w:after="0" w:line="2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70,728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(74,081)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left="960" w:hanging="95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24,723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6"/>
          <w:szCs w:val="16"/>
          <w:color w:val="auto"/>
        </w:rPr>
        <w:t>20</w:t>
      </w:r>
    </w:p>
    <w:p>
      <w:pPr>
        <w:sectPr>
          <w:pgSz w:w="11900" w:h="16838" w:orient="portrait"/>
          <w:cols w:equalWidth="0" w:num="2">
            <w:col w:w="8960" w:space="720"/>
            <w:col w:w="1560"/>
          </w:cols>
          <w:pgMar w:left="320" w:top="611"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7. Long-Term Debt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00" w:type="dxa"/>
            <w:vAlign w:val="bottom"/>
            <w:gridSpan w:val="4"/>
          </w:tcPr>
          <w:p>
            <w:pPr>
              <w:ind w:left="660"/>
              <w:spacing w:after="0"/>
              <w:rPr>
                <w:sz w:val="20"/>
                <w:szCs w:val="20"/>
                <w:color w:val="auto"/>
              </w:rPr>
            </w:pPr>
            <w:r>
              <w:rPr>
                <w:rFonts w:ascii="Arial" w:cs="Arial" w:eastAsia="Arial" w:hAnsi="Arial"/>
                <w:sz w:val="18"/>
                <w:szCs w:val="18"/>
                <w:color w:val="auto"/>
              </w:rPr>
              <w:t>The components of long-term debt, including the effects of debt issuance costs, are as follows (in 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10.00% Senior Notes due 2024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Revolving Credit Facility due 2024</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 (a)</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Discounts, net (b)</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(13,927)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ind w:right="20" w:firstLine="8"/>
        <w:spacing w:after="0" w:line="258" w:lineRule="auto"/>
        <w:tabs>
          <w:tab w:leader="none" w:pos="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issuance costs as of March 31, 2022 and December 31, 2021 consisted of $9.0 million and $2.6 million, respectively, in costs less accumulated amortization of $1.1 million and $502,000, respectively.</w:t>
      </w:r>
    </w:p>
    <w:p>
      <w:pPr>
        <w:spacing w:after="0" w:line="1" w:lineRule="exact"/>
        <w:rPr>
          <w:rFonts w:ascii="Arial" w:cs="Arial" w:eastAsia="Arial" w:hAnsi="Arial"/>
          <w:sz w:val="18"/>
          <w:szCs w:val="18"/>
          <w:color w:val="auto"/>
        </w:rPr>
      </w:pPr>
    </w:p>
    <w:p>
      <w:pPr>
        <w:ind w:right="20" w:firstLine="8"/>
        <w:spacing w:after="0" w:line="260"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Discounts as of March 31, 2022 and December 31, 2021 consisted of $14.8 million and zero, respectively, in discounts less accumulated amortization of $893,000 and zero, respectively.</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Revolving Credit Facility</w:t>
      </w:r>
      <w:r>
        <w:rPr>
          <w:rFonts w:ascii="Arial" w:cs="Arial" w:eastAsia="Arial" w:hAnsi="Arial"/>
          <w:sz w:val="16"/>
          <w:szCs w:val="16"/>
          <w:color w:val="auto"/>
        </w:rPr>
        <w:t>. In December 2020, the Company entered into a Credit Agreement with Fifth Third Bank, National Association (“Fifth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as the administrative agent and sole lender to establish a revolving credit facility (“Revolving Credit Facility”) that matures on June 17, 2024. The Revolving Credit Facility had an initial borrowing base of $40.0 million. However, the Company elected to reduce the aggregate elected commitments under the Revolving Credit Facility to $20.0 million. In June 2021, the Company entered into the First Amendment to, among other things, (i) complete the semi-annual borrowing base redetermination process which increased the borrowing base from $40.0 million to $125.0 million and (ii) modify the terms of the Credit Agreement to increase the aggregate elected commitments from $20.0 million to $125.0 million. A syndicate of banks joined the credit facility at differing levels of commitments with Fifth Third remaining the administrative agent. In October 2021, the Company entered into the Second Amendment to, among other things, (i) complete a semi-annual borrowing base redetermination process, which increased the borrowing base from $125.0 million to $195.0 million and (ii) modify the terms of the Credit Agreement to increase the aggregate elected commitments from $125.0 million to $195.0 million. In February 2022, the Company entered into the Third Amendment to, among other things, (i) reduce the borrowing base from $195.0 million to $138.8 million and (ii) modify the terms of the Credit Agreement to reduce the aggregate elected commitments from $195.0 million to $138.8 million.</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borrowing capacity under the Revolving Credit Facility is equal to the lowest of (i) the borrowing base (which stands at $138.8 million as of March 31, 2022), (ii) the aggregate elected commitments (which stand at $138.8 million as of March 31, 2022) and (iii) $500.0 million. As of March 31, 2022 and December 31, 2021, the Company had zero and $100.0 million, respectively, outstanding borrowings under the Revolving Credit Facility. Borrowings under the Revolving Credit Facility prior to February 2022 bore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and (iii) the Adjusted LIBO Rate for one-month Interest Period, plus a margin (the “Applicable Margin”) which was determined by the Borrowing Base Utilization Percentage as defined in the Revolving Credit Facility or (b) the LIBO Rate for a one, three or six month Interest Period multiplied by the Statutory Reserve Rate. As of February 2022, borrowings under the Revolving Credit Facility bear interest at the option of the Company, based on (a) the prime rate announced from time to time by Fifth Third or (b) a rate equal to the higher of (i) zero percent per annum and (ii) SOFR relating to quotations for 1 or 3 months. Letters of credit outstanding under the Revolving Credit Facility are subject to a per annum fee, representing the Applicable Margin plus 0.125 percent. The Company also pays commitment fees on undrawn amounts under the Revolving Credit Facility equal to 0.50 percent. Borrowings under the Revolving Credit Facility are secured by a first lien security interest on substantially all assets of the Company and its restricted subsidiaries, including mortgages on the Company’s and its restricted subsidiaries’ crude oil and natural gas properties. The Revolving Credit Facility is scheduled to have the borrowing base redetermined semiannually in April and October. Additionally, the Company and Fifth Third each have the option for a wild card evaluation between redeterminations.</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Revolving Credit Facility requires the maintenance of a ratio of total debt to EBITDAX, subject to certain adjustments, not to exceed 3.00 to 1.00 as of the last day of any fiscal quarter and a current ratio, subject to certain adjustments, of at least 1.00 to 1.00 as of the last day of any fiscal quarter.</w:t>
      </w:r>
    </w:p>
    <w:p>
      <w:pPr>
        <w:spacing w:after="0" w:line="12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4" w:name="page25"/>
    <w:bookmarkEnd w:id="24"/>
    <w:p>
      <w:pPr>
        <w:jc w:val="both"/>
        <w:ind w:firstLine="648"/>
        <w:spacing w:after="0" w:line="291" w:lineRule="auto"/>
        <w:rPr>
          <w:sz w:val="20"/>
          <w:szCs w:val="20"/>
          <w:color w:val="auto"/>
        </w:rPr>
      </w:pPr>
      <w:r>
        <w:rPr>
          <w:rFonts w:ascii="Arial" w:cs="Arial" w:eastAsia="Arial" w:hAnsi="Arial"/>
          <w:sz w:val="16"/>
          <w:szCs w:val="16"/>
          <w:color w:val="auto"/>
        </w:rPr>
        <w:t>The Company has limited equity cure rights for a breach of the above-listed financial covenants. Additionally, the Revolving Credit Facility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Revolving Credit Facility contains customary mandatory prepayments, including a monthly mandatory prepayment if the Consolidated Cash Balance (as defined in the Credit Agreement) is in excess of $20.0 million. In addition, the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February 2022, the Company issued $225.0 million aggregate principal amount of 10.00% senior unsecured notes that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mature on February 15, 2024 (“Senior Notes”). The Company received proceeds, net of $21.2 million of issuance costs and discounts, of $203.8 million. The net proceeds were used to pay down the balance of our Revolving Credit Facility to zero and to fund our ongoing capital development program. Interest on the Senior Notes will be payable on August 15 and February 15 of each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Both the Revolving Credit Facility and the Senior Notes have hedging obligations that the Company adheres to.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23" w:right="339" w:bottom="1440" w:gutter="0" w:footer="0" w:header="0"/>
        </w:sectPr>
      </w:pPr>
    </w:p>
    <w:p>
      <w:pPr>
        <w:spacing w:after="0" w:line="184" w:lineRule="exact"/>
        <w:rPr>
          <w:sz w:val="20"/>
          <w:szCs w:val="20"/>
          <w:color w:val="auto"/>
        </w:rPr>
      </w:pPr>
    </w:p>
    <w:p>
      <w:pPr>
        <w:jc w:val="right"/>
        <w:ind w:right="3620"/>
        <w:spacing w:after="0"/>
        <w:rPr>
          <w:sz w:val="20"/>
          <w:szCs w:val="20"/>
          <w:color w:val="auto"/>
        </w:rPr>
      </w:pPr>
      <w:r>
        <w:rPr>
          <w:rFonts w:ascii="Arial" w:cs="Arial" w:eastAsia="Arial" w:hAnsi="Arial"/>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Liabilities incurred from wells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Liabilities incurred from new wells</w:t>
      </w:r>
    </w:p>
    <w:p>
      <w:pPr>
        <w:spacing w:after="0" w:line="9" w:lineRule="exact"/>
        <w:rPr>
          <w:sz w:val="20"/>
          <w:szCs w:val="20"/>
          <w:color w:val="auto"/>
        </w:rPr>
      </w:pPr>
    </w:p>
    <w:p>
      <w:pPr>
        <w:jc w:val="center"/>
        <w:ind w:right="6420"/>
        <w:spacing w:after="0"/>
        <w:rPr>
          <w:sz w:val="20"/>
          <w:szCs w:val="20"/>
          <w:color w:val="auto"/>
        </w:rPr>
      </w:pPr>
      <w:r>
        <w:rPr>
          <w:rFonts w:ascii="Arial" w:cs="Arial" w:eastAsia="Arial" w:hAnsi="Arial"/>
          <w:sz w:val="18"/>
          <w:szCs w:val="18"/>
          <w:color w:val="auto"/>
        </w:rPr>
        <w:t>Accretion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jc w:val="center"/>
        <w:ind w:right="6400"/>
        <w:spacing w:after="0"/>
        <w:rPr>
          <w:sz w:val="20"/>
          <w:szCs w:val="20"/>
          <w:color w:val="auto"/>
        </w:rPr>
      </w:pPr>
      <w:r>
        <w:rPr>
          <w:rFonts w:ascii="Arial" w:cs="Arial" w:eastAsia="Arial" w:hAnsi="Arial"/>
          <w:sz w:val="16"/>
          <w:szCs w:val="16"/>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left="1040" w:hanging="1033"/>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4,260</w:t>
      </w:r>
    </w:p>
    <w:p>
      <w:pPr>
        <w:spacing w:after="0" w:line="45"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523</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245</w:t>
      </w:r>
    </w:p>
    <w:p>
      <w:pPr>
        <w:spacing w:after="0" w:line="32"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916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2" w:lineRule="exact"/>
        <w:rPr>
          <w:sz w:val="20"/>
          <w:szCs w:val="20"/>
          <w:color w:val="auto"/>
        </w:rPr>
      </w:pPr>
    </w:p>
    <w:p>
      <w:pPr>
        <w:ind w:left="1040" w:hanging="1033"/>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5,082</w:t>
      </w:r>
    </w:p>
    <w:p>
      <w:pPr>
        <w:spacing w:after="0" w:line="239" w:lineRule="exact"/>
        <w:rPr>
          <w:sz w:val="20"/>
          <w:szCs w:val="20"/>
          <w:color w:val="auto"/>
        </w:rPr>
      </w:pPr>
    </w:p>
    <w:p>
      <w:pPr>
        <w:sectPr>
          <w:pgSz w:w="11900" w:h="16838" w:orient="portrait"/>
          <w:cols w:equalWidth="0" w:num="2">
            <w:col w:w="8960" w:space="720"/>
            <w:col w:w="1560"/>
          </w:cols>
          <w:pgMar w:left="320" w:top="823" w:right="339" w:bottom="1440" w:gutter="0" w:footer="0" w:header="0"/>
          <w:type w:val="continuous"/>
        </w:sectPr>
      </w:pPr>
    </w:p>
    <w:p>
      <w:pPr>
        <w:spacing w:after="0" w:line="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and December 31, 2021, all asset retirement obligations are considered noncurrent and classified as such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Incentive Plans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401(k) Plan. </w:t>
      </w:r>
      <w:r>
        <w:rPr>
          <w:rFonts w:ascii="Arial" w:cs="Arial" w:eastAsia="Arial" w:hAnsi="Arial"/>
          <w:sz w:val="18"/>
          <w:szCs w:val="18"/>
          <w:color w:val="auto"/>
        </w:rPr>
        <w:t>The HighPeak Energy Employees, Inc 401(k) Plan (the “401(k) Plan”) is a defined contribution plan established under Section 401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three months ended March 31, 2022 and 2021, the Company contributed $76,000 and $56,000 to the 401(k) Plan, respectively.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Long-Term Incentive Plan. </w:t>
      </w:r>
      <w:r>
        <w:rPr>
          <w:rFonts w:ascii="Arial" w:cs="Arial" w:eastAsia="Arial" w:hAnsi="Arial"/>
          <w:sz w:val="18"/>
          <w:szCs w:val="18"/>
          <w:color w:val="auto"/>
        </w:rPr>
        <w:t>The Company’s Amended &amp; Restated Long Term Incentive Plan (“LTIP”) provides for the grant of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equivalents, cash awards and substitute awards to officers and employees of the Company, as well as stock awards to directors of the Company. The number of shares available for grant pursuant to awards under the LTIP as of March 31, 2022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968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Approved and authorized awards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13,174,746</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Awards issued under plan</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(11,607,006)</w:t>
            </w:r>
          </w:p>
        </w:tc>
      </w:tr>
      <w:tr>
        <w:trPr>
          <w:trHeight w:val="249"/>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available for future grant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1,567,740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96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115"/>
        </w:trPr>
        <w:tc>
          <w:tcPr>
            <w:tcW w:w="96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type w:val="continuous"/>
        </w:sectPr>
      </w:pPr>
    </w:p>
    <w:bookmarkStart w:id="26" w:name="page27"/>
    <w:bookmarkEnd w:id="26"/>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 awards were granted to employees on August 24, 2020 and November 4, 2021. Stock-based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Company’s stock option awards for the three months ended March 31, 2022 and 2021 was $525,000 and $966,000, respectively, and as of March 31, 2022 and December 31, 2021 there was $1.3 million and $1.8 million, respectively, of unrecognized stock-based compensation expense related to unvested stock option awards. The unrecognized compensation expense will be recognized on a straight-line basis over the remaining vesting periods of the awards, which is a period of less than two years.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Term in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9,705,495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Awards 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442,500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(154,268)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Forfeitures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9,983,727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9,976,227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119,781</w:t>
            </w:r>
          </w:p>
        </w:tc>
      </w:tr>
      <w:tr>
        <w:trPr>
          <w:trHeight w:val="197"/>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8,551,070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Exercisable at December 31,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8,551,070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38,556</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Vested at March 31, 2022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8,543,570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103,110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8,543,570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103,110</w:t>
            </w:r>
          </w:p>
        </w:tc>
      </w:tr>
    </w:tbl>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Restricted Stock Issued to Employee Members of the Board. </w:t>
      </w:r>
      <w:r>
        <w:rPr>
          <w:rFonts w:ascii="Arial" w:cs="Arial" w:eastAsia="Arial" w:hAnsi="Arial"/>
          <w:sz w:val="16"/>
          <w:szCs w:val="16"/>
          <w:color w:val="auto"/>
        </w:rPr>
        <w:t>A total of 1,500,500 shares of restricted stock was approved by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to be granted to certain employee members of the board of the Company on November 4, 2021, which vest on the three-year anniversary of such grant assuming the employees remain in his or her position as of the anniversary date. Therefore, stock-based compensation expense of $1.8 million was recognized during the three months ended March 31, 2022 and the remaining $18.6 million will be recognized over the remaining restricted period, which was based upon the closing price of the stock on the date of the restricted stock issuance. The Company also entered into contractual equity-based bonuses with certain non-director employees of the Company whereby they will be eligible for a cash bonus on the three-year anniversary of such contract equal to the product of a total of 600,000 shares of stock times the closing stock price on said anniversary assuming the employees remain in his or her position as of the anniversary date plus accrued dividends. Therefore, stock-based compensation expense of $1.4 million was recognized during the three months ended March 31, 2022, and the remaining $11.5 million based on the closing stock price as of March 31, 2022 of $22.20 per share will be recognized over the remaining life of the contract. Since these awards are not considered equity awards, but rather liability awards, this liability of $1.9 million and $488,000 is carried in other noncurrent liabilities on the accompanying balance sheet as of March 31, 2022 and December 31, 2021, respectively.</w:t>
      </w:r>
    </w:p>
    <w:p>
      <w:pPr>
        <w:spacing w:after="0" w:line="17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Stock Issued to Outside Directors. </w:t>
      </w:r>
      <w:r>
        <w:rPr>
          <w:rFonts w:ascii="Arial" w:cs="Arial" w:eastAsia="Arial" w:hAnsi="Arial"/>
          <w:sz w:val="16"/>
          <w:szCs w:val="16"/>
          <w:color w:val="auto"/>
        </w:rPr>
        <w:t>A total of 67,779 shares of restricted stock was approved by the board of directors to be granted to the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the Company on June 1, 2021, which vested in January 2022. Therefore, the remaining stock-based compensation expense of $284,000 was recognized during the three months ended March 31, 2022, which was based upon the closing price of the stock on the date of the restricted stock issuance.</w:t>
      </w:r>
    </w:p>
    <w:p>
      <w:pPr>
        <w:spacing w:after="0" w:line="14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follows ASC Topic 842, “Leases” to account for its operating and finance leases. Therefore, as of March 31, 2022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had right-of-use assets totaling $715,000 included in other noncurrent assets and operating lease liabilities totaling $723,000, $493,000 of which are included in other current liabilities and $230,000 of which are included in other noncurrent liabilities, and as of December 31, 2021 the Company had right-of-use assets totaling $852,000 included in other noncurrent assets and operating lease liabilities totaling $856,000, $513,000 of which are included in other current liabilities and $343,000 of which are included in other noncurrent liabilities on the accompanying consolidated balance sheets. The Company does not currently have any finance right-of-use leases. Maturities of the operating lease obligations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3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2023</w:t>
            </w:r>
          </w:p>
        </w:tc>
        <w:tc>
          <w:tcPr>
            <w:tcW w:w="3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r>
      <w:tr>
        <w:trPr>
          <w:trHeight w:val="216"/>
        </w:trPr>
        <w:tc>
          <w:tcPr>
            <w:tcW w:w="6000" w:type="dxa"/>
            <w:vAlign w:val="bottom"/>
          </w:tcPr>
          <w:p>
            <w:pPr>
              <w:ind w:left="340"/>
              <w:spacing w:after="0"/>
              <w:rPr>
                <w:sz w:val="20"/>
                <w:szCs w:val="20"/>
                <w:color w:val="auto"/>
              </w:rPr>
            </w:pPr>
            <w:r>
              <w:rPr>
                <w:rFonts w:ascii="Arial" w:cs="Arial" w:eastAsia="Arial" w:hAnsi="Arial"/>
                <w:sz w:val="18"/>
                <w:szCs w:val="18"/>
                <w:color w:val="auto"/>
              </w:rPr>
              <w:t>Less present value discount</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5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6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115"/>
        </w:trPr>
        <w:tc>
          <w:tcPr>
            <w:tcW w:w="60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Legal actions. </w:t>
      </w:r>
      <w:r>
        <w:rPr>
          <w:rFonts w:ascii="Arial" w:cs="Arial" w:eastAsia="Arial" w:hAnsi="Arial"/>
          <w:sz w:val="18"/>
          <w:szCs w:val="18"/>
          <w:color w:val="auto"/>
        </w:rPr>
        <w:t>From time to time, the Company may be a party to various proceedings and claims incidental to its business. While many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Indemnifications. </w:t>
      </w:r>
      <w:r>
        <w:rPr>
          <w:rFonts w:ascii="Arial" w:cs="Arial" w:eastAsia="Arial" w:hAnsi="Arial"/>
          <w:sz w:val="18"/>
          <w:szCs w:val="18"/>
          <w:color w:val="auto"/>
        </w:rPr>
        <w:t>The Company has agreed to indemnify its directors, officers and certain employees and agents with respect to claims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damages arising from acts or omissions taken in such capacity, as well as with respect to certain litigation.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Environmental expenditures that relate to an existing condition caused by past operations and have no future economic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Salt-water disposal commitments. </w:t>
      </w:r>
      <w:r>
        <w:rPr>
          <w:rFonts w:ascii="Arial" w:cs="Arial" w:eastAsia="Arial" w:hAnsi="Arial"/>
          <w:sz w:val="18"/>
          <w:szCs w:val="18"/>
          <w:color w:val="auto"/>
        </w:rPr>
        <w:t>The Company has committed to deliver a total of 3.0 MMBbl of produced water for disposal with a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salt-water disposal company between July 24, 2020 and July 24, 2022. As of March 31, 2022, the Company has delivered approximately 2.7 MMBbl under the agreement. The agreement requires a payment for any volumes not delivered should the Company not perform under the agreement, indicating a remaining monetary commitment of approximately $114,000 as of March 31, 2022.</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Crude oil delivery commitments. </w:t>
      </w:r>
      <w:r>
        <w:rPr>
          <w:rFonts w:ascii="Arial" w:cs="Arial" w:eastAsia="Arial" w:hAnsi="Arial"/>
          <w:sz w:val="16"/>
          <w:szCs w:val="16"/>
          <w:color w:val="auto"/>
        </w:rPr>
        <w:t>In May 2021, the Company entered into a crude oil marketing contract with Lion as the purchaser and DKL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Permian Gathering, LLC (“DKL”) as the gatherer and transporter. The contract includes the Company’s current and future crude oil production from its horizontal wells in Flat Top where DKL will construct a crude oil gathering system and custody transfer meters to all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March 31, 2022, the Company has delivered approximately 15,141 Bopd under the contract. The remaining monetary commitment as of March 31, 2022, if the Company never delivers any additional volumes under the agreement, is approximately $23.6 million.</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natural gas purchase contract with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The Company will provide WTG with certain aid-in-construction payments to be reimbursed over time based on throughput through the system. The replacement contract does not contain any minimum volume commitments.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Power contracts. </w:t>
      </w:r>
      <w:r>
        <w:rPr>
          <w:rFonts w:ascii="Arial" w:cs="Arial" w:eastAsia="Arial" w:hAnsi="Arial"/>
          <w:sz w:val="17"/>
          <w:szCs w:val="17"/>
          <w:color w:val="auto"/>
        </w:rPr>
        <w:t>In June 2021, the Company entered into a contract with Priority Power Management, LLC (“Priority Power”) whereby Priority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will develop an electric high-voltage (“EHV”) substation, medium voltage distribution systems and a 13-megawatt direct current solar photovoltaic facility located on approximately 80 acres of land owned by the Company north of Big Spring, Texas in Howard County to provide for the Company’s electrical power needs in its Flat Top operating area including powering drilling rigs and day-to-day operations. The EHV substation will be interconnected with the ERCOT transmission grid in May 2022 via the local electric utility, have an initial capacity of up to 50 megavolt amperes and be designed for future expansion capability. The solar generation facility will be interconnected with the medium voltage distribution system that will be energized from the new EHV substation. Priority Power will develop, finance, engineer, construct, operate and maintain the project facilities.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9" w:name="page30"/>
    <w:bookmarkEnd w:id="29"/>
    <w:p>
      <w:pPr>
        <w:jc w:val="both"/>
        <w:ind w:firstLine="648"/>
        <w:spacing w:after="0" w:line="286" w:lineRule="auto"/>
        <w:rPr>
          <w:sz w:val="20"/>
          <w:szCs w:val="20"/>
          <w:color w:val="auto"/>
        </w:rPr>
      </w:pPr>
      <w:r>
        <w:rPr>
          <w:rFonts w:ascii="Arial" w:cs="Arial" w:eastAsia="Arial" w:hAnsi="Arial"/>
          <w:sz w:val="17"/>
          <w:szCs w:val="17"/>
          <w:color w:val="auto"/>
        </w:rPr>
        <w:t>Also in June 2021, the Company entered into a contract with Oncor Electric Delivery Company, LLC (“Oncor”) to construct certain facilities to deliver electricity to the aforementioned substation. In conjunction with this contract, the Company issued a $1.9 million letter of credit to Oncor until such time as the Company’s load meets or exceeds 12 megawatts as measured during any fifteen (15) minute interval on or before May 20, 2023.</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Sand commitments. </w:t>
      </w:r>
      <w:r>
        <w:rPr>
          <w:rFonts w:ascii="Arial" w:cs="Arial" w:eastAsia="Arial" w:hAnsi="Arial"/>
          <w:sz w:val="17"/>
          <w:szCs w:val="17"/>
          <w:color w:val="auto"/>
        </w:rPr>
        <w:t>The Company is party to an agreement whereby it has agreed to purchase at least 600,000 tons of sand over a two-year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beginning at the commencement date of the sand mine being operational, which will be late in the second quarter of 2022. There are stipulations in the agreement that reduce this commitment should we experience a downturn in oil prices. However, generally if the Company never takes delivery of any sand under the agreement, the monetary commitment as of March 31, 2022 is approximately $8.7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Water Treatment. </w:t>
      </w:r>
      <w:r>
        <w:rPr>
          <w:rFonts w:ascii="Arial" w:cs="Arial" w:eastAsia="Arial" w:hAnsi="Arial"/>
          <w:sz w:val="18"/>
          <w:szCs w:val="18"/>
          <w:color w:val="auto"/>
        </w:rPr>
        <w:t>In September 2021, the Company entered into a contract with Pilot Exploration, Inc., (“Pilot”), whose President and CEO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director of the Company, to deploy Pilot’s proprietary water treatment technology in the Company’s Flat Top area to treat up to 25,000 barrels of produced water per day such that it can be reused in the Company’s completion operations or sold to third parties for their completion operations. This contract was set to expire on March 1, 2022, however it was extended to July 1, 2022 based on the early results of the project. During the three months ended March 31, 2022, the Company paid $632,000 to Pilot for such services.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Lion Oil Trading and Transportation, LLC (“Lion”) accounted for approximately 93% and 96% of the Company’s revenues during the three months ended March 31, 2022 and 2021, respectively. Based on the current demand for crude oil and natural gas and the availability of other purchasers, management believes the loss of this major purchaser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income tax expense (benefit) attributable to income (loss) from operations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 (benefit):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State</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8000" w:type="dxa"/>
            <w:vAlign w:val="bottom"/>
          </w:tcPr>
          <w:p>
            <w:pPr>
              <w:ind w:left="1140"/>
              <w:spacing w:after="0"/>
              <w:rPr>
                <w:sz w:val="20"/>
                <w:szCs w:val="20"/>
                <w:color w:val="auto"/>
              </w:rPr>
            </w:pPr>
            <w:r>
              <w:rPr>
                <w:rFonts w:ascii="Arial" w:cs="Arial" w:eastAsia="Arial" w:hAnsi="Arial"/>
                <w:sz w:val="18"/>
                <w:szCs w:val="18"/>
                <w:color w:val="auto"/>
              </w:rPr>
              <w:t>Total current income tax expense (benefit)</w:t>
            </w:r>
          </w:p>
        </w:tc>
        <w:tc>
          <w:tcPr>
            <w:tcW w:w="10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 (benefit):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Federal</w:t>
            </w:r>
          </w:p>
        </w:tc>
        <w:tc>
          <w:tcPr>
            <w:tcW w:w="10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r>
      <w:tr>
        <w:trPr>
          <w:trHeight w:val="26"/>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8000" w:type="dxa"/>
            <w:vAlign w:val="bottom"/>
          </w:tcPr>
          <w:p>
            <w:pPr>
              <w:ind w:left="1140"/>
              <w:spacing w:after="0"/>
              <w:rPr>
                <w:sz w:val="20"/>
                <w:szCs w:val="20"/>
                <w:color w:val="auto"/>
              </w:rPr>
            </w:pPr>
            <w:r>
              <w:rPr>
                <w:rFonts w:ascii="Arial" w:cs="Arial" w:eastAsia="Arial" w:hAnsi="Arial"/>
                <w:sz w:val="18"/>
                <w:szCs w:val="18"/>
                <w:color w:val="auto"/>
              </w:rPr>
              <w:t>Deferred income tax expense (benefit)</w:t>
            </w:r>
          </w:p>
        </w:tc>
        <w:tc>
          <w:tcPr>
            <w:tcW w:w="10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r>
      <w:tr>
        <w:trPr>
          <w:trHeight w:val="20"/>
        </w:trPr>
        <w:tc>
          <w:tcPr>
            <w:tcW w:w="8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reconciliation between the income tax expense (benefit) computed by multiplying pre-tax income by the U.S. federal statutory rate and the reported amounts of income tax expense is as follows (in thousands, except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79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U.S. federal statutory rate</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(3,533)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Limited tax benefit due to stock-based compensation</w:t>
            </w: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3,606</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State deferred income taxes</w:t>
            </w:r>
          </w:p>
        </w:tc>
        <w:tc>
          <w:tcPr>
            <w:tcW w:w="94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tcPr>
          <w:p>
            <w:pPr>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7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79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r>
        <w:trPr>
          <w:trHeight w:val="418"/>
        </w:trPr>
        <w:tc>
          <w:tcPr>
            <w:tcW w:w="7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115"/>
        </w:trPr>
        <w:tc>
          <w:tcPr>
            <w:tcW w:w="79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were as follows as of March 31, 2022 and December 31,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55"/>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Unrecognized derivative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12,329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limitations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00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Crude oil and natural gas properties, principally due to differences in basis and depreciation and the</w:t>
            </w:r>
          </w:p>
        </w:tc>
        <w:tc>
          <w:tcPr>
            <w:tcW w:w="12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(74,118)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(66,324)</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340"/>
              <w:spacing w:after="0" w:line="190" w:lineRule="exact"/>
              <w:rPr>
                <w:sz w:val="20"/>
                <w:szCs w:val="20"/>
                <w:color w:val="auto"/>
              </w:rPr>
            </w:pPr>
            <w:r>
              <w:rPr>
                <w:rFonts w:ascii="Arial" w:cs="Arial" w:eastAsia="Arial" w:hAnsi="Arial"/>
                <w:sz w:val="18"/>
                <w:szCs w:val="18"/>
                <w:color w:val="auto"/>
              </w:rPr>
              <w:t>deduction of intangible drilling costs for tax purposes</w:t>
            </w: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00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3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Net deferred tax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(55,490)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(55,802)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effective income tax rate differs from the U.S. statutory rate of 21 percent primarily due to establishing a valuation allowance primarily related to stock-based compensation, deferred state income taxes and permanent differences between GAAP income and taxable income.</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March 31, 2022 and December 31, 2021,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$3.4 million reduction in the deferred tax asset and reduced the amount of income tax benefit realized during the three months ended March 31, 2022.</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also subject to Texas Margin Tax. The Company realized no current Texas Margin Tax in the accompanying consolidated financial statements as we do not anticipate owing any Texas Margin Tax for 2022 or 2021. However, the Company has recognized a deferred Texas Margin Tax liability of $1.7 million and $1.8 million as of March 31, 2022 and December 31, 2021, respectively,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the two-class method of calculating earnings per share because certain of the Company’s stock-based awards qualify as participating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1" w:name="page32"/>
    <w:bookmarkEnd w:id="31"/>
    <w:p>
      <w:pPr>
        <w:jc w:val="both"/>
        <w:ind w:firstLine="648"/>
        <w:spacing w:after="0" w:line="263" w:lineRule="auto"/>
        <w:rPr>
          <w:sz w:val="20"/>
          <w:szCs w:val="20"/>
          <w:color w:val="auto"/>
        </w:rPr>
      </w:pPr>
      <w:r>
        <w:rPr>
          <w:rFonts w:ascii="Arial" w:cs="Arial" w:eastAsia="Arial" w:hAnsi="Arial"/>
          <w:sz w:val="18"/>
          <w:szCs w:val="18"/>
          <w:color w:val="auto"/>
        </w:rPr>
        <w:t>The following table reconciles the Company’s earnings from operations and earnings attributable to common stockholders to the basic and diluted earnings used to determine the Company’s earnings per share amounts for the three months ended March 31, 2022 and 2021 under the two-class method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(16,510)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Participating basic earnings (a)</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attributable to common stockholders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(16,724)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Reallocation of participating earnings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attributable to common stockholders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(16,724)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w:t>
            </w:r>
          </w:p>
        </w:tc>
      </w:tr>
      <w:tr>
        <w:trPr>
          <w:trHeight w:val="197"/>
        </w:trPr>
        <w:tc>
          <w:tcPr>
            <w:tcW w:w="80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92,592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Dilutive warrants and unvested stock options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unvested restricted stock</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93,996</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hanging="324"/>
        <w:spacing w:after="0" w:line="270"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Certain unvested restricted stock awarded to outside directors represent participating securities because they participate in nonforfeitable dividends with the common equity holders of the Company. 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employee members of the board of directors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calculation for weighted average shares reflects shares outstanding over the reporting period based on the actual number of days the shares were outstanding.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Issuance of Common Stock. </w:t>
      </w:r>
      <w:r>
        <w:rPr>
          <w:rFonts w:ascii="Arial" w:cs="Arial" w:eastAsia="Arial" w:hAnsi="Arial"/>
          <w:sz w:val="18"/>
          <w:szCs w:val="18"/>
          <w:color w:val="auto"/>
        </w:rPr>
        <w:t>On March 25, 2022, the Company issued 6,960,000 shares of HighPeak Energy common stock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aforementioned crude oil and natural gas property acquisitions. The remaining 76,754 shares of HighPeak Energy common stock issued during the three months ended March 31, 2022 were the result of warrants and stock options being exercised.</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Dividends and dividend equivalents. </w:t>
      </w:r>
      <w:r>
        <w:rPr>
          <w:rFonts w:ascii="Arial" w:cs="Arial" w:eastAsia="Arial" w:hAnsi="Arial"/>
          <w:sz w:val="17"/>
          <w:szCs w:val="17"/>
          <w:color w:val="auto"/>
        </w:rPr>
        <w:t>In January 2022, the board of directors of the Company approved a quarterly dividend of $0.025 per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outstanding which resulted in a total of $2.4 million in dividends being paid on February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2022 and up to an additional $31,000 in August 2022, $2,000 in November 2022 and $2,000 in November 2023, assuming no forfeitures. In addition, the Company accrued an additional combined $53,000 in dividends on the restricted stock issued to management directors and equity-based bonus awards issued to non-director employees in November 2021 that will be payable upon vesting in November 2024.</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Outstanding Securities. </w:t>
      </w:r>
      <w:r>
        <w:rPr>
          <w:rFonts w:ascii="Arial" w:cs="Arial" w:eastAsia="Arial" w:hAnsi="Arial"/>
          <w:sz w:val="17"/>
          <w:szCs w:val="17"/>
          <w:color w:val="auto"/>
        </w:rPr>
        <w:t>At March 31, 2022 and December 31, 2021, the Company had 103,810,939 and 96,774,185 shares of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respectively, 9,422,741 and 9,500,166 warrants outstanding, respectively, with an exercise price of $11.50 per share that expire on August 21, 2025 and 10,209,300 and 10,209,300 CVRs outstanding, respectively, that give the holders a right to receive up to 2.125 shares of HighPeak Energy common stock per CVR to satisfy the Preferred Returns (with an equivalent number of shares of Company common stock held by HighPeak Energy, LP (“HighPeak I”) and HighPeak Energy II, LP (“HighPeak II”) being collectively forfeited in connection therewith). As such, HighPeak I and HighPeak II have placed a total of 21,694,763 shares of common stock of the Company in escrow.</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Hannathon Acquisition. </w:t>
      </w:r>
      <w:r>
        <w:rPr>
          <w:rFonts w:ascii="Arial" w:cs="Arial" w:eastAsia="Arial" w:hAnsi="Arial"/>
          <w:sz w:val="17"/>
          <w:szCs w:val="17"/>
          <w:color w:val="auto"/>
        </w:rPr>
        <w:t>In April 2022, the Company announced the signing of a purchase and sale agreement to acquire approximately 18,600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acres from Hannathon Petroleum, LLC (“Hannathon”) and other non-operated working interest owners where HighPeak currently owns non-operated working interests in approximately 60% of the acquired gross acreage position. The acquired acreage position is largely contiguous to the Company’s existing Signal Peak area with significant existing production, cash flow and produced water handling infrastructure. Purchase consideration due to the sellers, subject to customary closing adjustments, is comprised of $255.0 million in cash and approximately 3.8 million shares of HighPeak Energy common stock. The cash consideration is anticipated to be funded through increased commitments under its Revolving Credit Facility and is expected to close early in the third quarter of 2022 and be accounted for as an asset acquisition.</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April 2022, the board of directors of the Company declared a quarterly dividend of $0.025 per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outstanding which will result in a total of $2.6 million in dividends being paid on May 25, 2022. In addition, under the terms of the LTIP, the Company will pay a dividend equivalent per share to all vested stock option holders of $214,000 in May 2022 and will accrue a dividend equivalent per share to all unvested stock option holders which is payable upon vesting of up to an additional $31,000 in August 2022, $2,000 in November 2022 and $2,000 in November 2023, assuming no forfeitures. In addition, the Company will accrue an additional combined $53,000 in dividends on the restricted stock issued to management directors and equity-based bonus awards issued to non-director employees in November 2021 that will be payable upon vesting in November 2024.</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Warrant exercises. </w:t>
      </w:r>
      <w:r>
        <w:rPr>
          <w:rFonts w:ascii="Arial" w:cs="Arial" w:eastAsia="Arial" w:hAnsi="Arial"/>
          <w:sz w:val="17"/>
          <w:szCs w:val="17"/>
          <w:color w:val="auto"/>
        </w:rPr>
        <w:t>Subsequent to March 31, 2022 through May 4, 2022, the Company has received an additional $6.9 million in proceeds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exercise of 602,669 warrants and has issued 602,669 shares of HighPeak Energy common stock to the warrant holders as a result. In addition, the Company has issued an additional 290,465 shares of HighPeak Energy common stock as a result of a warrant holder completing a cashless exercise of 526,300 warrants. This brings the outstanding number of warrants to 8,293,772 subsequent to quarter end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Water treatment. </w:t>
      </w:r>
      <w:r>
        <w:rPr>
          <w:rFonts w:ascii="Arial" w:cs="Arial" w:eastAsia="Arial" w:hAnsi="Arial"/>
          <w:sz w:val="17"/>
          <w:szCs w:val="17"/>
          <w:color w:val="auto"/>
        </w:rPr>
        <w:t>In May 2022, the Company entered into a one-year agreement beginning on July 1, 2022 with Pilot, whose President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an outside director of the Company, to utilize Pilot’s proprietary water treatment technology in the Company’s Flat Top area to treat produced water such that it can be reused in the Company’s completion operations or sold to third parties for their completion operations. During the term of the agreement, the Company has agreed to a minimum volume commitment of 29.2 million barrels of produced water while maintaining the ability to bank excess produced water processed each month toward the minimum volume commitment. The monetary commitment, if the Company never delivers any produced water to be treated under the agreement, is approximately $6.0 million.</w:t>
      </w:r>
    </w:p>
    <w:p>
      <w:pPr>
        <w:spacing w:after="0" w:line="178" w:lineRule="exact"/>
        <w:rPr>
          <w:sz w:val="20"/>
          <w:szCs w:val="20"/>
          <w:color w:val="auto"/>
        </w:rPr>
      </w:pPr>
    </w:p>
    <w:p>
      <w:pPr>
        <w:ind w:left="160" w:right="100"/>
        <w:spacing w:after="0" w:line="311"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On May 4, 2022, an additional 824,500 stock option awards were granted to employees of which 729,833 vest immediately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remainder vest over the next two years. As such, stock-based compensation expense of $10.9 million will be recognized in future periods, $9.7 million and $10.2 million of which will be recognized during the second quarter of 2022 and the nine months ended December 31, 2022, respectively.</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reflecting our current expectations, estimates and assumptions concerning events and financial trends that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due to a number of factors. Factors that could cause or</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Cautionary Statement Regarding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We </w:t>
      </w:r>
      <w:r>
        <w:rPr>
          <w:rFonts w:ascii="Arial" w:cs="Arial" w:eastAsia="Arial" w:hAnsi="Arial"/>
          <w:sz w:val="17"/>
          <w:szCs w:val="17"/>
          <w:i w:val="1"/>
          <w:iCs w:val="1"/>
          <w:u w:val="single" w:color="auto"/>
          <w:color w:val="auto"/>
        </w:rPr>
        <w:t>assume no obligation to update any of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-160655</wp:posOffset>
            </wp:positionV>
            <wp:extent cx="1898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HighPeak Energy, Inc., a Delaware corporation, was formed in October 2019. The Company’s assets are located primarily in Howard and Borden Counties, Texas, which lie within the northeastern part of the crude oil-rich Midland Basin. As of March 31, 2022, the assets consisted of two highly contiguous leasehold positions of approximately 98,131 gross (72,820 net) acres, approximately 47% of which were held by production, with an average working interest of 74%. Our acreage is composed of two core areas, Flat Top to the north and Signal Peak to the south. We operate approximately 90% of the net acreage across the Company’s assets and approximately 90% of the net operated acreage provides for horizontal wells with lateral lengths of 10,000 feet or greater. For the three months ended March 31, 2022, approximately 93% and 7% of sales volumes from the assets were attributable to liquids (both crude oil and NGL) and natural gas, respectively. As of March 31, 2022, HighPeak Energy was drilling with five (5) rigs.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three months ended March 31, 2022, the Company closed on a series of acquisitions to acquire various crude oil and natural gas properties contiguous to its Flat Top operating area in Borden and Howard counties, consisting of approximately 10,200 net acres and associated producing properties, water system infrastructure and in-field fluid gathering pipelines. The company incurred $162.9 million in acquisition costs, including the issuance of 6,960,000 shares of HighPeak Energy common stock valued at $156.6 million at closing. The acquisitions were accounted for as asset acquisitions and included 7 gross (4.4 net) producing horizontal wells and three vertical salt-water disposal wells and related water system infrastructure as well as approximately 40 gross proved undeveloped and probable horizontal drilling locations targeting the Wolfcamp 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Performance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financial and operating performance for the three months ended March 31, 2022 included the following highlights:</w:t>
      </w:r>
    </w:p>
    <w:p>
      <w:pPr>
        <w:spacing w:after="0" w:line="225"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was $16.5 million (($0.17) per diluted share) for the three months ended March 31, 2022 compared with net income of $4.7 million for three months ended March 31, 2021. The primary components of the $21.2 million decrease in net income include: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$66.4 million increase in the Company's net derivative loss as a result of its crude oil commodity contracts entered into during 2021 and the continued increase of crude oil prices thereafter;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$7.2 million increase in lease operating expenses related primarily to the increased well count and production from the Company’s successful horizontal drilling program;</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$5.2 million increase in interest expense due to the issuance of two year 10.00% senior unsecured notes in February 2022, increased borrowings on the revolving credit facility early in the quarter and increased amortization of debt issuance costs and discounts;</w:t>
      </w:r>
    </w:p>
    <w:p>
      <w:pPr>
        <w:spacing w:after="0" w:line="146" w:lineRule="exact"/>
        <w:rPr>
          <w:rFonts w:ascii="Arial" w:cs="Arial" w:eastAsia="Arial" w:hAnsi="Arial"/>
          <w:sz w:val="17"/>
          <w:szCs w:val="17"/>
          <w:color w:val="auto"/>
        </w:rPr>
      </w:pPr>
    </w:p>
    <w:p>
      <w:pPr>
        <w:ind w:left="98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$4.1 million increase in DD&amp;A expense due to a 128% increase in daily sales volumes, partially offset by a 42% decrease in the DD&amp;A rate from $27.22 to $15.69 per Boe, both as a result of increased proved reserves due to the Company’s successful horizontal drilling program;</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$3.3 million increase in production and ad valorem taxes, primarily attributable to the 128% increase in daily sales volumes as a result of the Company’s successful horizontal drilling program combined with 32% higher production and ad valorem taxes on a dollar per Boe basis due to higher overall realized prices of 31%, excluding the effects of derivatives;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$3.0 million increase in the Company's stock-based compensation expense primarily attributable to equity-based awards issued in late 2021; partially offset by: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4" w:name="page35"/>
    <w:bookmarkEnd w:id="34"/>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$66.5 million increase in crude oil, NGL and natural gas revenues due to a 128% increase in daily sales volumes resulting from the Company’s successful horizontal drilling program in addition to a 31% increase in average realized commodity prices per Boe, excluding the effects of derivatives; and</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$1.4 million decrease in the Company’s income tax expense due to the net loss realized during the three months ended March 31, 2022 compared with net income realized during the three months ended March 31, 2021 and the Company reversed a portion of its deferred tax asset related to stock-based compensation which resulted in a $3.4 million reduction in the deferred tax asset and reduced the amount of income tax benefit realized during the three months ended March 31, 2022.</w:t>
      </w:r>
    </w:p>
    <w:p>
      <w:pPr>
        <w:spacing w:after="0" w:line="186"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three months ended March 31, 2022, average daily sales volumes totaled 12,052 Boe/d, compared with 5,290 Boe/d during the same period in 2021, an increase of 128% over the same period in 2021, due to the Company's successful horizontal drilling program and bolt-on acquisitions.</w:t>
      </w:r>
    </w:p>
    <w:p>
      <w:pPr>
        <w:spacing w:after="0" w:line="123"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 average realized crude oil prices per Bbl, excluding the effects of derivatives, increased during the three months ended March 31, 2022 to $96.15, compared with $58.36 for the same period in 2021. Weighted average NGL prices per Bbl increased during the three months ended March 31, 2022 to $41.33, compared with $27.82 for the same period in 2021. Weighted average natural gas prices per Mcf increased to $4.16 during the three months ended March 31, 2022, compared with $2.23 during the same period in 2021.</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provided by operating activities totaled $49.9 million for the three months ended March 31, 2022, compared with $11.4 million for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Senior Unsecured Notes. </w:t>
      </w:r>
      <w:r>
        <w:rPr>
          <w:rFonts w:ascii="Arial" w:cs="Arial" w:eastAsia="Arial" w:hAnsi="Arial"/>
          <w:sz w:val="18"/>
          <w:szCs w:val="18"/>
          <w:color w:val="auto"/>
        </w:rPr>
        <w:t>In February 2022, the Company issued $225.0 million of two year 10.00% senior unsecured notes (“Senior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netting proceeds of $210.2 million net of an originator discount. The proceeds were used to pay off the Revolving Credit Facility and to fund the Company’s 2022 capital drilling program.</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Simultaneous with the issuance of the Senior Notes, the Company entered into the Third Amendment to the Revolving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Facility to, among other things, (i) reduce the borrowing base from $195.0 million to $138.8 million and (ii) modify the terms of the Credit Agreement to reduce the aggregate elected commitments from $195.0 million to $138.8 million. In connection with recently closed and recently announced acquisitions and the annual spring redetermination, the Company expects to expand its bank group and significantly increase the aggregate elected commitments and borrowing base on its Revolving Credit Facility.</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During the three months ended March 31, 2022, the Company closed on a series of acquisitions to acquire various crude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properties contiguous to its Flat Top operating area in Borden and Howard counties, consisting of approximately 10,200 net acres and associated producing properties, water system infrastructure and in-field fluid gathering pipelines.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Hannathon Acquisition. </w:t>
      </w:r>
      <w:r>
        <w:rPr>
          <w:rFonts w:ascii="Arial" w:cs="Arial" w:eastAsia="Arial" w:hAnsi="Arial"/>
          <w:sz w:val="17"/>
          <w:szCs w:val="17"/>
          <w:color w:val="auto"/>
        </w:rPr>
        <w:t>In April 2022, the Company announced the signing of a purchase and sale agreement to acquire approximately 18,600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acres from Hannathon Petroleum, LLC (“Hannathon”) and other non-operated working interest owners where HighPeak currently owns non-operated working interests in approximately 60% of the acquired gross acreage position. The acquired acreage position is largely contiguous to the Company’s existing Signal Peak area with significant existing production that the Company expects to average approximately 5,000 Boepd for 2022, cash flow and produced water handling infrastructure. Purchase consideration due to the sellers, subject to customary closing adjustments, is comprised of $255.0 million in cash and approximately 3.8 million shares of HighPeak Energy common stock. The cash consideration is anticipated to be funded through increased commitments under its Revolving Credit Facility and is expected to close early in the third quarter of 2022.</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Dividends and dividend equivalents. </w:t>
      </w:r>
      <w:r>
        <w:rPr>
          <w:rFonts w:ascii="Arial" w:cs="Arial" w:eastAsia="Arial" w:hAnsi="Arial"/>
          <w:sz w:val="17"/>
          <w:szCs w:val="17"/>
          <w:color w:val="auto"/>
        </w:rPr>
        <w:t>In January 2022, the board of directors of the Company approved a quarterly dividend of $0.025 per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outstanding which resulted in a total of $2.4 million in dividends being paid on February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2022 and up to an additional $31,000 in August 2022, $2,000 in November 2022 and $2,000 in November 2023, assuming no forfeitures. In addition, the Company accrued an additional combined $53,000 in dividends on the restricted stock issued to management directors and equity-based bonus awards issued to non-director employees in November 2021 that will be payable upon vesting in November 2024.</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Issuance of Common Stock. </w:t>
      </w:r>
      <w:r>
        <w:rPr>
          <w:rFonts w:ascii="Arial" w:cs="Arial" w:eastAsia="Arial" w:hAnsi="Arial"/>
          <w:sz w:val="18"/>
          <w:szCs w:val="18"/>
          <w:color w:val="auto"/>
        </w:rPr>
        <w:t>On March 25, 2022, the Company issued 6,960,000 shares of HighPeak Energy common stock related to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aforementioned crude oil and natural gas property acquisitions. The remaining 76,754 shares of HighPeak Energy common stock issued during the three months ended March 31, 2022 were the result of warrants and stock options being exercised.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Production Curtailment and Subsequent Increase. </w:t>
      </w:r>
      <w:r>
        <w:rPr>
          <w:rFonts w:ascii="Arial" w:cs="Arial" w:eastAsia="Arial" w:hAnsi="Arial"/>
          <w:sz w:val="18"/>
          <w:szCs w:val="18"/>
          <w:color w:val="auto"/>
        </w:rPr>
        <w:t>During the first quarter of 2022, some of the Company’s production was curtailed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frac operations near a considerable amount of its existing producing horizontal wells. As wells are being brought back online, production has continued to increase subsequent to quarter end averaging approximately 20,500 Boepd in April and has continued to increase thus far in May, setting up an expected significant increase in production for the second quarter of 2022.</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COVID-19. </w:t>
      </w:r>
      <w:r>
        <w:rPr>
          <w:rFonts w:ascii="Arial" w:cs="Arial" w:eastAsia="Arial" w:hAnsi="Arial"/>
          <w:sz w:val="17"/>
          <w:szCs w:val="17"/>
          <w:color w:val="auto"/>
        </w:rPr>
        <w:t>The COVID-19 pandemic has negatively impacted the global economy, disrupted global supply chains and created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volatility and disruption of financial and commodity markets. In addition, the pandemic has resulted in travel restrictions, business closures and the institution of quarantining and other restrictions on movement in many communities. As a result, there has been a significant reduction in demand for and prices of crude oil and natural gas, which has adversely affected our business. There continues to be uncertainty around the extent and duration of disruption, including any resurgence, and we expect that the longer the period of such disruption continues, the greater the adverse impact will be on our business. The degree to which the COVID-19 pandemic or any other public health crisis adversely impacts our results will depend on future developments, which are highly uncertain and cannot be predicted, including, but not limited to, the duration and spread of the outbreak, its severity, the actions taken by governmental authorities and third parties in response to the COVID-19 pandemic, its impact on the U.S. and world economies, the U.S. capital markets and market conditions, and how quickly and to what extent normal economic and operating conditions can resume.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financial instrument exposure. </w:t>
      </w:r>
      <w:r>
        <w:rPr>
          <w:rFonts w:ascii="Arial" w:cs="Arial" w:eastAsia="Arial" w:hAnsi="Arial"/>
          <w:sz w:val="18"/>
          <w:szCs w:val="18"/>
          <w:color w:val="auto"/>
        </w:rPr>
        <w:t>As of March 31, 2022, the Company was a party to the following open derivative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Remainder of 2022</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Fourth</w:t>
            </w:r>
          </w:p>
        </w:tc>
        <w:tc>
          <w:tcPr>
            <w:tcW w:w="20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Second</w:t>
            </w:r>
          </w:p>
        </w:tc>
        <w:tc>
          <w:tcPr>
            <w:tcW w:w="200" w:type="dxa"/>
            <w:vAlign w:val="bottom"/>
          </w:tcPr>
          <w:p>
            <w:pPr>
              <w:spacing w:after="0"/>
              <w:rPr>
                <w:sz w:val="19"/>
                <w:szCs w:val="19"/>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7"/>
                <w:szCs w:val="17"/>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487.4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1,983.6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estimated fair value of the outstanding open derivative financial instruments as of March 31, 2022 was $57.1 million which is included in current and noncurrent liabilities on the Company’s balance sheet as of March 31, 2022. During the three months ended March 31, 2022, the Company recognized a derivative loss of $66.4 million, including a $41.6 million mark-to-market loss plus $24.8 million in payments related to monthly settlements.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Operations and Drilling Highlights</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700" w:type="dxa"/>
            <w:vAlign w:val="bottom"/>
          </w:tcPr>
          <w:p>
            <w:pPr>
              <w:ind w:left="660"/>
              <w:spacing w:after="0"/>
              <w:rPr>
                <w:sz w:val="20"/>
                <w:szCs w:val="20"/>
                <w:color w:val="auto"/>
              </w:rPr>
            </w:pPr>
            <w:r>
              <w:rPr>
                <w:rFonts w:ascii="Arial" w:cs="Arial" w:eastAsia="Arial" w:hAnsi="Arial"/>
                <w:sz w:val="18"/>
                <w:szCs w:val="18"/>
                <w:color w:val="auto"/>
              </w:rPr>
              <w:t>Average daily crude oil, NGL and natural gas sales volumes are as follows: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70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87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7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87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NGL (Bbls)</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1,198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4,843</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Total (Boe)</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12,052</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liquids production was 93 percent of total production on a Boe basis for the three months ended March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660"/>
              <w:spacing w:after="0"/>
              <w:rPr>
                <w:sz w:val="20"/>
                <w:szCs w:val="20"/>
                <w:color w:val="auto"/>
              </w:rPr>
            </w:pPr>
            <w:r>
              <w:rPr>
                <w:rFonts w:ascii="Arial" w:cs="Arial" w:eastAsia="Arial" w:hAnsi="Arial"/>
                <w:sz w:val="18"/>
                <w:szCs w:val="18"/>
                <w:color w:val="auto"/>
              </w:rPr>
              <w:t>Costs incurred are as follows (in thousands):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Unproved property acquisition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Proved acquisition costs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126,158</w:t>
            </w:r>
          </w:p>
        </w:tc>
        <w:tc>
          <w:tcPr>
            <w:tcW w:w="80" w:type="dxa"/>
            <w:vAlign w:val="bottom"/>
          </w:tcPr>
          <w:p>
            <w:pPr>
              <w:spacing w:after="0"/>
              <w:rPr>
                <w:sz w:val="18"/>
                <w:szCs w:val="18"/>
                <w:color w:val="auto"/>
              </w:rPr>
            </w:pPr>
          </w:p>
        </w:tc>
      </w:tr>
      <w:tr>
        <w:trPr>
          <w:trHeight w:val="210"/>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162,948</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Development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94,338</w:t>
            </w:r>
          </w:p>
        </w:tc>
        <w:tc>
          <w:tcPr>
            <w:tcW w:w="80" w:type="dxa"/>
            <w:vAlign w:val="bottom"/>
          </w:tcPr>
          <w:p>
            <w:pPr>
              <w:spacing w:after="0"/>
              <w:rPr>
                <w:sz w:val="18"/>
                <w:szCs w:val="18"/>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ind w:left="340"/>
              <w:spacing w:after="0"/>
              <w:rPr>
                <w:sz w:val="20"/>
                <w:szCs w:val="20"/>
                <w:color w:val="auto"/>
              </w:rPr>
            </w:pPr>
            <w:r>
              <w:rPr>
                <w:rFonts w:ascii="Arial" w:cs="Arial" w:eastAsia="Arial" w:hAnsi="Arial"/>
                <w:sz w:val="18"/>
                <w:szCs w:val="18"/>
                <w:color w:val="auto"/>
              </w:rPr>
              <w:t>Total finding and development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328,041</w:t>
            </w:r>
          </w:p>
        </w:tc>
        <w:tc>
          <w:tcPr>
            <w:tcW w:w="80" w:type="dxa"/>
            <w:vAlign w:val="bottom"/>
          </w:tcPr>
          <w:p>
            <w:pPr>
              <w:spacing w:after="0"/>
              <w:rPr>
                <w:sz w:val="18"/>
                <w:szCs w:val="18"/>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ind w:left="340"/>
              <w:spacing w:after="0"/>
              <w:rPr>
                <w:sz w:val="20"/>
                <w:szCs w:val="20"/>
                <w:color w:val="auto"/>
              </w:rPr>
            </w:pPr>
            <w:r>
              <w:rPr>
                <w:rFonts w:ascii="Arial" w:cs="Arial" w:eastAsia="Arial" w:hAnsi="Arial"/>
                <w:sz w:val="18"/>
                <w:szCs w:val="18"/>
                <w:color w:val="auto"/>
              </w:rPr>
              <w:t>Total costs incurred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328,816</w:t>
            </w:r>
          </w:p>
        </w:tc>
        <w:tc>
          <w:tcPr>
            <w:tcW w:w="8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total number of horizontal wells drilled and completed during the three months ended March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Drilled</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0"/>
              </w:rPr>
              <w:t>Completed</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2"/>
              </w:rPr>
              <w:t>Gross</w:t>
            </w: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8"/>
                <w:szCs w:val="18"/>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8"/>
                <w:szCs w:val="18"/>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Flat Top area</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Signal Peak area</w:t>
            </w: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0"/>
        </w:trPr>
        <w:tc>
          <w:tcPr>
            <w:tcW w:w="5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firstLine="648"/>
        <w:spacing w:after="0" w:line="255" w:lineRule="auto"/>
        <w:rPr>
          <w:sz w:val="20"/>
          <w:szCs w:val="20"/>
          <w:color w:val="auto"/>
        </w:rPr>
      </w:pPr>
      <w:r>
        <w:rPr>
          <w:rFonts w:ascii="Arial" w:cs="Arial" w:eastAsia="Arial" w:hAnsi="Arial"/>
          <w:sz w:val="18"/>
          <w:szCs w:val="18"/>
          <w:color w:val="auto"/>
        </w:rPr>
        <w:t>The Company was running five (5) drilling rigs as of March 31, 2022 and two (2) frac fleets. We plan to run five (5) drilling rigs until we close the Hannathon acquisition in early third quarter 2022, at which time we expect to increase our activity to six (6) drilling rigs and average two (2) to three (3) frac fleets for the remainder of the year. However, the scope, duration and magnitude of the direct and indirect effects of the COVID-19 pandemic are continuing to evolve and in ways that are difficult or impossible to anticipate. Given the dynamic nature of this situation, the Company is maintaining flexibility in its capital plan and will continue to evaluate drilling and completion activity on an economic basis, with future activity levels assessed monthly.</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three months ended March 31, 2022, the Company successfully completed and placed on production nineteen (19) gross horizontal wells in the Flat Top area and one (1) gross horizontal well in the Signal Peak area. The Company also completed drilling and placed in service one (1) salt-water disposal well in the Flat Top area. The Company had twenty-seven (27) wells that had been drilled and were in various stages of completion as of March 31, 2022, twenty-one (21) of which are in the Flat Top area and six (6) of which is in the Signal Peak area. As of March 31, 2022, the Company was in the process of drilling seven (7) horizontal wells in the Flat Top area and two (2) horizontal wells in the Signal Peak area.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Crude Oil, NGL and natural gas revenues.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ind w:left="660"/>
              <w:spacing w:after="0"/>
              <w:rPr>
                <w:sz w:val="20"/>
                <w:szCs w:val="20"/>
                <w:color w:val="auto"/>
              </w:rPr>
            </w:pPr>
            <w:r>
              <w:rPr>
                <w:rFonts w:ascii="Arial" w:cs="Arial" w:eastAsia="Arial" w:hAnsi="Arial"/>
                <w:sz w:val="18"/>
                <w:szCs w:val="18"/>
                <w:color w:val="auto"/>
              </w:rPr>
              <w:t>Average daily sales volumes are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2660" w:type="dxa"/>
            <w:vAlign w:val="bottom"/>
            <w:gridSpan w:val="4"/>
          </w:tcPr>
          <w:p>
            <w:pPr>
              <w:ind w:left="200"/>
              <w:spacing w:after="0"/>
              <w:rPr>
                <w:sz w:val="20"/>
                <w:szCs w:val="20"/>
                <w:color w:val="auto"/>
              </w:rPr>
            </w:pPr>
            <w:r>
              <w:rPr>
                <w:rFonts w:ascii="Arial" w:cs="Arial" w:eastAsia="Arial" w:hAnsi="Arial"/>
                <w:sz w:val="18"/>
                <w:szCs w:val="18"/>
                <w:b w:val="1"/>
                <w:bCs w:val="1"/>
                <w:color w:val="auto"/>
              </w:rPr>
              <w:t>Three Months Ended March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Oil (Bbls)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NGL (Bbls)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(Boe)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12,052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average daily Boe sales volumes for the three months ended March 31, 2022, compared with the same period in 2021 was due to the Company's successful horizontal drilling program and bolt-on acquisitions.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Oil per Bbl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NGL per Bbl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Gas per Mcf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per Boe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i w:val="1"/>
          <w:iCs w:val="1"/>
          <w:color w:val="auto"/>
        </w:rPr>
        <w:t>Crude Oil and natural gas production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Crude oil and natural gas production costs in total and per Boe are as follows (in thousands, except percentages and per Boe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Oil and natural gas production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Oil and natural gas production costs per Boe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increase in crude oil and natural gas production costs can primarily be attributed to the Company's successful horizontal drilling program bringing on a significant number of newly completed producing wells, additional rentals and fuel for power generation and bolt-on acquisitions. The increase in crude oil and natural gas production costs per Boe can be attributed to temporarily shutting in a considerable amount of production early in the first quarter of 2022 for offset completion operations. However, operating expenses were not affected as significantly by the shut-ins as the production volumes were. We anticipate this increase in operating costs per Boe to reverse beginning in the second quarter of 2022. Significant drivers to this decrease are associated with connecting wells and central tank batteries to the electrical grid and removing rental power generators as well as increasing our daily production.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Production and ad valorem taxes are as follows (in thousands, except percentages):</w:t>
      </w:r>
    </w:p>
    <w:p>
      <w:pPr>
        <w:spacing w:after="0" w:line="221"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660"/>
              <w:spacing w:after="0"/>
              <w:rPr>
                <w:sz w:val="20"/>
                <w:szCs w:val="20"/>
                <w:color w:val="auto"/>
              </w:rPr>
            </w:pPr>
            <w:r>
              <w:rPr>
                <w:rFonts w:ascii="Arial" w:cs="Arial" w:eastAsia="Arial" w:hAnsi="Arial"/>
                <w:sz w:val="18"/>
                <w:szCs w:val="18"/>
                <w:color w:val="auto"/>
              </w:rPr>
              <w:t>Production and ad valorem taxes per Boe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production taxes per Boe for the three months ended March 31, 2022, compared with the same period in 2021, was primarily due to the 57% increase in realized prices. The decrease in ad valorem taxes per Boe for the three months ended March 31, 2022, compared with the same period in 2021, was primarily related to the new wells that came online during 2021. Ad valorem taxes in Texas are based on valuations as of January 1 of a given year based on pricing data for the previous year. Therefore, a well does not incur any ad valorem taxes until the year following when it came on production.</w:t>
      </w:r>
    </w:p>
    <w:p>
      <w:pPr>
        <w:spacing w:after="0" w:line="18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594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Exploration and abandonments expense.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20" w:type="dxa"/>
            <w:vAlign w:val="bottom"/>
            <w:gridSpan w:val="5"/>
          </w:tcPr>
          <w:p>
            <w:pPr>
              <w:ind w:left="660"/>
              <w:spacing w:after="0"/>
              <w:rPr>
                <w:sz w:val="20"/>
                <w:szCs w:val="20"/>
                <w:color w:val="auto"/>
              </w:rPr>
            </w:pPr>
            <w:r>
              <w:rPr>
                <w:rFonts w:ascii="Arial" w:cs="Arial" w:eastAsia="Arial" w:hAnsi="Arial"/>
                <w:sz w:val="18"/>
                <w:szCs w:val="18"/>
                <w:color w:val="auto"/>
                <w:w w:val="89"/>
              </w:rPr>
              <w:t>Exploration and abandonment expense details are as follows (in thousands, except percentages):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7"/>
              </w:rPr>
              <w:t>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Geologic and geophysical personnel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Geologic and geophysical data costs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Abandoned leasehold costs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Exploration and abandonments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60"/>
              <w:spacing w:after="0" w:line="210" w:lineRule="exact"/>
              <w:rPr>
                <w:sz w:val="20"/>
                <w:szCs w:val="20"/>
                <w:color w:val="auto"/>
              </w:rPr>
            </w:pPr>
            <w:r>
              <w:rPr>
                <w:rFonts w:ascii="Arial" w:cs="Arial" w:eastAsia="Arial" w:hAnsi="Arial"/>
                <w:sz w:val="24"/>
                <w:szCs w:val="24"/>
                <w:color w:val="auto"/>
                <w:vertAlign w:val="subscript"/>
              </w:rPr>
              <w:t>9</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660"/>
              <w:spacing w:after="0"/>
              <w:rPr>
                <w:sz w:val="20"/>
                <w:szCs w:val="20"/>
                <w:color w:val="auto"/>
              </w:rPr>
            </w:pPr>
            <w:r>
              <w:rPr>
                <w:rFonts w:ascii="Arial" w:cs="Arial" w:eastAsia="Arial" w:hAnsi="Arial"/>
                <w:sz w:val="18"/>
                <w:szCs w:val="18"/>
                <w:b w:val="1"/>
                <w:bCs w:val="1"/>
                <w:i w:val="1"/>
                <w:iCs w:val="1"/>
                <w:color w:val="auto"/>
              </w:rPr>
              <w:t>DD&amp;A expense.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gridSpan w:val="10"/>
          </w:tcPr>
          <w:p>
            <w:pPr>
              <w:ind w:left="660"/>
              <w:spacing w:after="0"/>
              <w:rPr>
                <w:sz w:val="20"/>
                <w:szCs w:val="20"/>
                <w:color w:val="auto"/>
              </w:rPr>
            </w:pPr>
            <w:r>
              <w:rPr>
                <w:rFonts w:ascii="Arial" w:cs="Arial" w:eastAsia="Arial" w:hAnsi="Arial"/>
                <w:sz w:val="18"/>
                <w:szCs w:val="18"/>
                <w:color w:val="auto"/>
                <w:w w:val="98"/>
              </w:rPr>
              <w:t>DD&amp;A expense and DD&amp;A expense per Boe are as follows (in thousands, except percentages and per Boe amounts):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7"/>
              </w:rPr>
              <w:t>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17,024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DD&amp;A expense per Boe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27.22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(11.53)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DD&amp;A is primarily due to the increased production associated with our successful horizontal drilling program and bolt-on acquisitions and the decrease in rate can be attributed to the same.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 and general and administrative expense per Boe as well as stock-based compensation expense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March</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 per Boe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general and administrative expense for the three months ended March 31, 2022 is primarily as a result of increased salaries and benefits related to the growth of the company. The decrease in the rate per Boe is the result of economies of scale and efficiencies gained as we bring additional wells on production due to our successful horizontal drilling program.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noncash stock-based compensation expense is primarily due to equity-based awards granted in late 2021.</w:t>
      </w:r>
    </w:p>
    <w:p>
      <w:pPr>
        <w:spacing w:after="0" w:line="22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59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Interest expense.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 on Revolving Credit Facility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interest expense can be attributed to the fact that we entered into our Revolving Credit Facility in December 2020 and began drawing on it late in the second quarter of 2021. In addition, we issued $225.0 million of 10.00% senior unsecured notes in February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Derivative gain (loss),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(41,633)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payments on settled derivative instruments,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(24,761)</w:t>
            </w:r>
          </w:p>
        </w:tc>
        <w:tc>
          <w:tcPr>
            <w:tcW w:w="24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(24,761)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(66,394)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primarily utilizes commodity swap contracts, collar contracts, collar contracts with short puts and basis swap contracts to (i) reduce the effect of price volatility on the commodities the Company produces and sells or consumes, (ii) adhere to hedging obligations related to the senior unsecured notes and the Revolving Credit Facility, (iii) support the Company’s annual capital budget and expenditure plans and (iv) reduce commodity price risk associated with certain capital projects. The Company may also, from time to time, utilize interest rate contracts to reduce the effect of interest rate volatility on the Company’s indebtedness. The above mark-to-market loss and cash settlements relate to crude oil derivative swap contracts.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Income tax expense.</w:t>
            </w: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7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7"/>
              </w:rPr>
              <w:t>Three Months Ended March</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Change</w:t>
            </w:r>
          </w:p>
        </w:tc>
        <w:tc>
          <w:tcPr>
            <w:tcW w:w="3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5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(312)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change in income tax expense during the three months ended March 31, 2022, compared with the same period in 2021, was due to the Company realizing a net loss during the three months ended March 31, 2022 compared with net income for the three months ended March 31, 2021. The effective income tax rate differs from the statutory rate primarily due to a revision in the deferred tax asset related to certain stock-based compensation and permanent differences between GAAP income and taxable income. See Note 13 of Notes to Consolidated Financial Statements included in "Item 1. Condensed Consolidated Financial Statements (Unaudited)" for additional information.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Liquidity</w:t>
      </w:r>
      <w:r>
        <w:rPr>
          <w:rFonts w:ascii="Arial" w:cs="Arial" w:eastAsia="Arial" w:hAnsi="Arial"/>
          <w:sz w:val="16"/>
          <w:szCs w:val="16"/>
          <w:color w:val="auto"/>
        </w:rPr>
        <w:t>. The Company's primary sources of short-term liquidity are (i) cash and cash equivalents, (ii) net cash provided by operating activities,</w:t>
      </w:r>
    </w:p>
    <w:p>
      <w:pPr>
        <w:spacing w:after="0" w:line="46" w:lineRule="exact"/>
        <w:rPr>
          <w:sz w:val="20"/>
          <w:szCs w:val="20"/>
          <w:color w:val="auto"/>
        </w:rPr>
      </w:pPr>
    </w:p>
    <w:p>
      <w:pPr>
        <w:jc w:val="both"/>
        <w:ind w:firstLine="8"/>
        <w:spacing w:after="0" w:line="268" w:lineRule="auto"/>
        <w:tabs>
          <w:tab w:leader="none" w:pos="3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unused borrowing capacity under its Revolving Credit Facility, (iv) on an opportunistic basis, issuances of debt or equity securities and (v) other sources, such as sales of nonstrategic assets. In February 2022, the Company entered into the Third Amendment to the Revolving Credit facility simultaneous with the issuance of $225.0 million of two year 10.00% senior unsecured notes (“2024 Notes”) whereby it, among other things, (i) reduced the borrowing base from $195.0 million to $138.8 million and (ii) modified the terms of the Credit Agreement to reduce the aggregate elected commitments from $195.0 million to $138.8 million. As of March 31, 2022, the Company had zero in borrowings and approximately $136.8 million available to borrow under its Revolving Credit Facility. The Company also had unrestricted cash on hand of $35.9 million as of March 31, 2022. In connection with recently closed and recently announced acquisitions and the annual spring redetermination, the Company expects to expand its bank group and substantially increase the aggregate elected commitments and borrowing base on its Revolving Credit Facility.</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primary needs for cash are for (i) capital expenditures, (ii) acquisitions of crude oil and natural gas properties, (iii) payments of contractual obligations, (iv) working capital obligations, and (v) general corporate purposes. Funding for these cash needs may be provided by any combination of the Company's sources of liquidity. Although the Company expects that its sources of funding will be adequate to fund its 2022 planned capital expenditures and provide adequate liquidity to fund other needs, no assurance can be given that such funding sources will be adequate to meet the Company's future needs.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2022 capital budget. </w:t>
      </w:r>
      <w:r>
        <w:rPr>
          <w:rFonts w:ascii="Arial" w:cs="Arial" w:eastAsia="Arial" w:hAnsi="Arial"/>
          <w:sz w:val="18"/>
          <w:szCs w:val="18"/>
          <w:color w:val="auto"/>
        </w:rPr>
        <w:t>The Company’s revised capital budget for 2022 after the announcement of the Hannathon acquisition is expected to be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range of approximately $790 to $860 million for drilling, completion, facilities and equipping crude oil wells plus $35 to $40 million for field infrastructure buildout and other costs. The revised 2022 capital budget excludes acquisitions, asset retirement obligations, geological and geophysical general and administrative expenses and corporate facilities. HighPeak Energy expects to fund its forecasted capital expenditures with cash on its balance sheet, cash generated by operations, through borrowings under the Credit Agreement, proceeds from the issuance and sale of the 2024 Notes and, depending on market circumstances, potential future debt or equity offerings. The Company's capital expenditures for the three months ended March 31, 2022 were $165.1 million, excluding acquisitions.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budget above assumes that the Company will operate six (6) drilling rigs and an average of two (2) to three (3) frac fleets for the remainder of 2022. However, there are many factors and consequences beyond the Company's control, such as policies of the Biden Administration, economic downturn or potential recession, geo-political risks and additional actions by businesses, OPEC and other cooperating countries, and governments in response to the COVID-19 pandemic, that may have an impact on the Company’s future results and drilling plans. Given the dynamic nature of this situation, the Company is maintaining flexibility in its capital plan and will continue to evaluate drilling and completion activity on an economic basis, with future activity levels assessed monthly.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r>
        <w:rPr>
          <w:rFonts w:ascii="Arial" w:cs="Arial" w:eastAsia="Arial" w:hAnsi="Arial"/>
          <w:sz w:val="18"/>
          <w:szCs w:val="18"/>
          <w:color w:val="auto"/>
        </w:rPr>
        <w:t>. 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Three Months Ended March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(150,899)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(31,921)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(118,978)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increase in net cash flow provided by operating activities for the three months ended March 31, 2022,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2021, was primarily related to higher revenues associated with increased production volumes as a result of our successful horizontal drilling program and bolt-on acquisitions and increased realized prices.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in investing activities for the three months ended March 31, 2022, compared with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increases in additions to crude oil and natural gas properties compared with the three months ended March 31, 2021, when the Company had only one rig running compared with an average of four rigs running during the three months ended March 31, 2022, and increases in cash crude oil and natural gas acquisition costs.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Company's significant financing activities are as follows:</w:t>
      </w:r>
    </w:p>
    <w:p>
      <w:pPr>
        <w:spacing w:after="0" w:line="225" w:lineRule="exact"/>
        <w:rPr>
          <w:sz w:val="20"/>
          <w:szCs w:val="20"/>
          <w:color w:val="auto"/>
        </w:rPr>
      </w:pPr>
    </w:p>
    <w:p>
      <w:pPr>
        <w:jc w:val="both"/>
        <w:ind w:left="980" w:hanging="324"/>
        <w:spacing w:after="0" w:line="275"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2022: The Company received $210.2 million in net proceeds from the issuance of the 2024 Notes, borrowed $15.0 million on its Revolving Credit Facility and received $779,000 from the exercise of 67,719 of the Company’s $11.50 warrants and $75,000 from the exercise of 7,500 of stock options by employees of the Company. These cash inflows were partially offset by the Company paying $115.0 million to pay the balance of its Revolving Credit Facility off simultaneously with the issuance of the 2024 Notes and incurring $6.4 million of debt issuance costs primarily related to the 2024 Notes and $2.6 million in dividends and dividend equivalent payments.</w:t>
      </w:r>
    </w:p>
    <w:p>
      <w:pPr>
        <w:spacing w:after="0" w:line="203"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2021: The Company received $9.1 million from the exercise of 788,009 of the Company’s $11.50 warrants and $1.6 million from the exercise of 154,268 of stock options by employees of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Company's contractual obligations include leases (primarily related to contracted drilling rigs, equipment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capital funding obligations, volume commitments, aid-in-construction obligations and other liabilities. Other joint owners in the properties operated by the Company could incur portions of the costs represented by these commitments.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EBITDAX represents net income (loss) before interest expense, interest and other income, income taxes, depletion, depreciation, and amortization, accretion of discount on asset retirement obligations, exploration and abandonment expense, non-cash stock-based compensation expense, derivative gains and losses net of settlements, gains and losses on divestitures and certain other items. EBITDAX excludes certain items that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We are also subject to financial covenants under our Credit Agreement based on EBITDAX ratios as further described in Note 7 of Notes to Consolidated Financial Statements included in “Item 1. Condensed Consolidated Financial Statements (Unaudited).” In addition, EBITDAX is widely used by professional research analysis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(loss), income (loss) from operations, net cash provided by operating activities, or other profitability or liquidity measures prepared under GAAP. Because EBITDAX excludes some, but not all items that affect net income (loss) and may vary among companies, the EBITDAX amounts presented may not be comparable to similar metrics of other companies. Our Revolving Credit Facility provides a material source of liquidity for us. Under the terms of our Credit Agreement, if we failed to comply with the covenants that establish a maximum permitted ratio of total debt, as defined in the Credit Agreement, to EBITDAX, we would be in default, an event that would prevent us from borrowing under our Revolving Credit Facility and would therefore materially limit a significant source of our liquidity. In addition, if we are in default under our Revolving Credit Facility and are unable to obtain a waiver of that default from our lenders, lenders under that facility would be entitled to exercise all of their remedies for default.</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our net income (loss) (GAAP) to EBITDAX (non-GAAP) for the periods presented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(16,510)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Accretion of discount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related noncash activity</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41,633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EBITDAX</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51,076</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20,067</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management’s opinion, the more significant reporting areas impacted by management’s judgments and estimates are the choice of accounting method for crude oil and natural gas activities, crude oil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have been no material changes in our critical accounting policies and procedures during the three months ended March 31, 2022. See our disclosure of critical accounting policies in “Item 7. Management’s Discussion and Analysis of Financial Condition and Results of Operations” and “Item</w:t>
      </w:r>
    </w:p>
    <w:p>
      <w:pPr>
        <w:ind w:firstLine="8"/>
        <w:spacing w:after="0" w:line="260"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Statements and Supplementary Data” of our Annual Report on Form 10-K for the year ended December 31, 2021, filed with the SEC on March 7, 2022.</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New accounting pronouncements issued but not yet adopted. </w:t>
      </w:r>
      <w:r>
        <w:rPr>
          <w:rFonts w:ascii="Arial" w:cs="Arial" w:eastAsia="Arial" w:hAnsi="Arial"/>
          <w:sz w:val="17"/>
          <w:szCs w:val="17"/>
          <w:color w:val="auto"/>
        </w:rPr>
        <w:t>The effects of new accounting pronouncements are discussed in Note 2 of Notes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Condensed Consolidated Financial Statements included in "Item 1. Condensed Consolidated Financial Statements (Unaudited)."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tab/>
        <w:t>QUANTITATIVE AND QUALITATIVE DISCLOSURES ABOUT MARKET RISK</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period from January 1, 2018 through March 31, 2022, the calendar month average NYMEX WTI crude oil price per Bbl ranged from a low of $16.70 to a high of $108.26, and the last trading day NYMEX natural gas price per MMBtu ranged from a low of $1.50 to a high of $6.20. Excluding derivatives, a $1.00 per barrel increase (decrease) in the weighted average crude oil price for the three months ended March 31, 2022 would have increased (decreased) the Company’s revenues by approximately $3.8 million on an annualized basis and a $0.10 per Mcf increase (decrease) in the weighted average natural gas price for the three months ended March 31, 2021 would have increased (decreased) the Company’s revenues by approximately $174,000 on an annualized basis.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this volatility and obligations under the senior unsecured notes and the Revolving Credit Facility, the Company began to use, commodity derivative instruments, such as swaps, collars and puts,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has entered into hedging arrangements to protect its capital expenditure budget and to protect its Revolving Credit Facility borrowing base. The Company does not enter into any commodity derivative instruments, including derivatives, for speculative or trading purposes.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660"/>
              <w:spacing w:after="0"/>
              <w:rPr>
                <w:sz w:val="20"/>
                <w:szCs w:val="20"/>
                <w:color w:val="auto"/>
              </w:rPr>
            </w:pPr>
            <w:r>
              <w:rPr>
                <w:rFonts w:ascii="Arial" w:cs="Arial" w:eastAsia="Arial" w:hAnsi="Arial"/>
                <w:sz w:val="18"/>
                <w:szCs w:val="18"/>
                <w:color w:val="auto"/>
                <w:w w:val="95"/>
              </w:rPr>
              <w:t>The average forward prices based on March 31, 2022 market quotes were as follows: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Remainder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Pr>
          <w:p>
            <w:pPr>
              <w:spacing w:after="0"/>
              <w:rPr>
                <w:sz w:val="20"/>
                <w:szCs w:val="20"/>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83.59</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4.46</w:t>
            </w:r>
          </w:p>
        </w:tc>
      </w:tr>
      <w:tr>
        <w:trPr>
          <w:trHeight w:val="418"/>
        </w:trPr>
        <w:tc>
          <w:tcPr>
            <w:tcW w:w="7180" w:type="dxa"/>
            <w:vAlign w:val="bottom"/>
          </w:tcPr>
          <w:p>
            <w:pPr>
              <w:ind w:left="660"/>
              <w:spacing w:after="0"/>
              <w:rPr>
                <w:sz w:val="20"/>
                <w:szCs w:val="20"/>
                <w:color w:val="auto"/>
              </w:rPr>
            </w:pPr>
            <w:r>
              <w:rPr>
                <w:rFonts w:ascii="Arial" w:cs="Arial" w:eastAsia="Arial" w:hAnsi="Arial"/>
                <w:sz w:val="18"/>
                <w:szCs w:val="18"/>
                <w:color w:val="auto"/>
                <w:w w:val="97"/>
              </w:rPr>
              <w:t>The average forward prices based on May 12, 2022 market quotes were as follows: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Remainder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Pr>
          <w:p>
            <w:pPr>
              <w:spacing w:after="0"/>
              <w:rPr>
                <w:sz w:val="20"/>
                <w:szCs w:val="20"/>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86.92</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5.38</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Counterparty and Customer Credit Risk. </w:t>
      </w:r>
      <w:r>
        <w:rPr>
          <w:rFonts w:ascii="Arial" w:cs="Arial" w:eastAsia="Arial" w:hAnsi="Arial"/>
          <w:sz w:val="18"/>
          <w:szCs w:val="18"/>
          <w:color w:val="auto"/>
        </w:rPr>
        <w:t>The Company’s derivative contracts expose it to credit risk in the event of nonperformance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counterparties. The Company’s collateral for the outstanding borrowings under the Revolving Credit Facility is also collateral for the Company’s commodity derivatives. The Company evaluates the credit standing of its counterparties as it deems appropriate. Counterparties to HighPeak Energy’s derivative contracts have investment grade ratings.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primary concentration of credit risks is associated with (i) the collection of receivables resulting from the sale of crude oil and natural gas production due to the concentration of its crude oil and natural gas receivables with a few significant customers and (ii) the risk of a counterparty’s failure to meet its obligations under derivative contracts with the Company. The inability or failure of the Company’s significant customers and/or counterparties to meet their obligations to the Company or their insolvency or liquidation may adversely affect the Company’s financial results.</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monitors exposure to customers and/or counterparties primarily by reviewing credit ratings, financial criteria and payment history. Where appropriate, the Company obtains assurances of payment, such as a guarantee by the parent company of the customer and/or counterparty or other credit support. The Company's crude oil and natural gas is sold to various purchasers who must be prequalified under the Company's credit risk policies and procedures. Historically, the Company's credit losses on crude oil, NGL and natural gas receivables have not been material. Although the Company does not obtain collateral or otherwise secure the fair value of its derivative instruments, associated credit risk is mitigated by the Company's credit risk policies and procedures.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Report. Based on that evaluation, HighPeak Energy’s principal executive officer and principal financial officer concluded that the Company’s disclosure controls and procedures were effective, as of the end of the period covered by this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under the Exchange Act) that occurred during the three months ended March 31, 2022 that have materially affected or are reasonably likely to materially affect the Company’s internal control over financial reporting.</w:t>
      </w:r>
    </w:p>
    <w:p>
      <w:pPr>
        <w:spacing w:after="0" w:line="18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information set forth in this report, the risks that are discussed in the Company’s Annual Report on Form 10-K for the year ended December 31, 2021,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Except as set forth below, there has been no material change in the Company's risk factors that were described in the Company’s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Political instability or armed conflict in crude oil or natural gas producing regions, such as the ongoing war between Russia and Ukraine, could have a material adverse impact on our business, financial condition or future results.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financial condition and future results are subject to political and economic risks and uncertainties, including instability resulting from civil unrest, political demonstrations, mass strikes or armed conflict or other crises in oil or gas producing areas such as the ongoing war between Russia and Ukraine.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late February 2022, Russian military forces commenced a military operation and invasion against Ukraine. The United States and other countries and certain international organizations have imposed broad-ranging economic sanctions on Russia and certain Russian individuals, banking entities and corporations as a response, and additional sanctions may be imposed in the future. The length, impact, and outcome of the ongoing war between Russia and Ukraine is highly unpredictable, which has created uncertainty for financial and commodity markets. While the Company does not have operations overseas, the conflict elevates the likelihood of supply chain disruptions, heightened volatility in oil and gas prices and negative effects on our ability to raise additional capital when required and could have a material adverse impact on our business, financial condition or future results.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risks are not the only risks facing the Company. Additional risks and uncertainties not currently known to the Company or that it currently deems to be immaterial also may have a material adverse effect on the Company's business, financial condition or future results.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160" w:type="dxa"/>
            <w:vAlign w:val="bottom"/>
          </w:tcPr>
          <w:p>
            <w:pPr>
              <w:ind w:left="2420"/>
              <w:spacing w:after="0"/>
              <w:rPr>
                <w:sz w:val="20"/>
                <w:szCs w:val="20"/>
                <w:color w:val="auto"/>
              </w:rPr>
            </w:pPr>
            <w:r>
              <w:rPr>
                <w:rFonts w:ascii="Arial" w:cs="Arial" w:eastAsia="Arial" w:hAnsi="Arial"/>
                <w:sz w:val="18"/>
                <w:szCs w:val="18"/>
                <w:b w:val="1"/>
                <w:bCs w:val="1"/>
                <w:color w:val="auto"/>
              </w:rPr>
              <w:t>HIGHPEAK ENERGY, INC.</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Pr>
          <w:p>
            <w:pPr>
              <w:spacing w:after="0"/>
              <w:rPr>
                <w:sz w:val="24"/>
                <w:szCs w:val="24"/>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1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160" w:type="dxa"/>
            <w:vAlign w:val="bottom"/>
            <w:vMerge w:val="restart"/>
          </w:tcPr>
          <w:p>
            <w:pPr>
              <w:ind w:left="3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1"/>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w w:val="96"/>
              </w:rPr>
              <w:t>Number</w:t>
            </w:r>
          </w:p>
        </w:tc>
        <w:tc>
          <w:tcPr>
            <w:tcW w:w="42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80" w:right="100" w:hanging="674"/>
        <w:spacing w:after="0" w:line="277"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6">
        <w:r>
          <w:rPr>
            <w:rFonts w:ascii="Arial" w:cs="Arial" w:eastAsia="Arial" w:hAnsi="Arial"/>
            <w:sz w:val="18"/>
            <w:szCs w:val="18"/>
            <w:u w:val="single" w:color="auto"/>
            <w:color w:val="0000EE"/>
          </w:rPr>
          <w:t>Amended and Restated Certificate of Incorporation of HighPeak Energy, Inc. (incorporated by reference to Exhibit 3.1 to the Company’s Current</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Report on Form 8-K (File No. 001-39464) filed with the SEC on August 27, 2020).</w:t>
        </w:r>
      </w:hyperlink>
    </w:p>
    <w:p>
      <w:pPr>
        <w:spacing w:after="0" w:line="170" w:lineRule="exact"/>
        <w:rPr>
          <w:sz w:val="20"/>
          <w:szCs w:val="20"/>
          <w:color w:val="auto"/>
        </w:rPr>
      </w:pPr>
    </w:p>
    <w:p>
      <w:pPr>
        <w:ind w:left="680" w:right="20" w:hanging="674"/>
        <w:spacing w:after="0" w:line="277"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67">
        <w:r>
          <w:rPr>
            <w:rFonts w:ascii="Arial" w:cs="Arial" w:eastAsia="Arial" w:hAnsi="Arial"/>
            <w:sz w:val="18"/>
            <w:szCs w:val="18"/>
            <w:u w:val="single" w:color="auto"/>
            <w:color w:val="0000EE"/>
          </w:rPr>
          <w:t>Amended and Restated Bylaws of HighPeak Energy, Inc. (incorporated by reference to Exhibit 3.1 to the Company’s Current Report on Form 8-K</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(File No. 001-39464) filed with the SEC on November 9, 2020).</w:t>
        </w:r>
      </w:hyperlink>
    </w:p>
    <w:p>
      <w:pPr>
        <w:spacing w:after="0" w:line="170" w:lineRule="exact"/>
        <w:rPr>
          <w:sz w:val="20"/>
          <w:szCs w:val="20"/>
          <w:color w:val="auto"/>
        </w:rPr>
      </w:pPr>
    </w:p>
    <w:p>
      <w:pPr>
        <w:ind w:left="680" w:right="140" w:hanging="674"/>
        <w:spacing w:after="0" w:line="286" w:lineRule="auto"/>
        <w:tabs>
          <w:tab w:leader="none" w:pos="66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68">
        <w:r>
          <w:rPr>
            <w:rFonts w:ascii="Arial" w:cs="Arial" w:eastAsia="Arial" w:hAnsi="Arial"/>
            <w:sz w:val="17"/>
            <w:szCs w:val="17"/>
            <w:u w:val="single" w:color="auto"/>
            <w:color w:val="0000EE"/>
          </w:rPr>
          <w:t>Registration Rights Agreement, dated as of August 21, 2020, by and among HighPeak Energy, Inc., HighPeak Pure Acquisition, LLC, HighPeak</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Energy, LP, HighPeak Energy II, LP, HighPeak Energy III, LP and certain other security holders named therein (incorporated by reference to</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Exhibit 4.4 to the Company’s Current Report on Form 8-K (File No. 001-39464) filed with the SEC on August 27, 2020).</w:t>
        </w:r>
      </w:hyperlink>
    </w:p>
    <w:p>
      <w:pPr>
        <w:spacing w:after="0" w:line="165" w:lineRule="exact"/>
        <w:rPr>
          <w:rFonts w:ascii="Arial" w:cs="Arial" w:eastAsia="Arial" w:hAnsi="Arial"/>
          <w:sz w:val="17"/>
          <w:szCs w:val="17"/>
          <w:u w:val="single" w:color="auto"/>
          <w:color w:val="0000EE"/>
        </w:rPr>
      </w:pPr>
    </w:p>
    <w:p>
      <w:pPr>
        <w:ind w:left="680" w:right="220" w:hanging="674"/>
        <w:spacing w:after="0" w:line="311" w:lineRule="auto"/>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69">
        <w:r>
          <w:rPr>
            <w:rFonts w:ascii="Arial" w:cs="Arial" w:eastAsia="Arial" w:hAnsi="Arial"/>
            <w:sz w:val="16"/>
            <w:szCs w:val="16"/>
            <w:u w:val="single" w:color="auto"/>
            <w:color w:val="0000EE"/>
          </w:rPr>
          <w:t>Stockholders’ Agreement, dated as of August 21, 2020, by and among HighPeak Energy, Inc., HighPeak Pure Acquisition, LLC, HighPeak</w:t>
        </w:r>
      </w:hyperlink>
      <w:r>
        <w:rPr>
          <w:rFonts w:ascii="Arial" w:cs="Arial" w:eastAsia="Arial" w:hAnsi="Arial"/>
          <w:sz w:val="16"/>
          <w:szCs w:val="16"/>
          <w:u w:val="single" w:color="auto"/>
          <w:color w:val="0000EE"/>
        </w:rPr>
        <w:t xml:space="preserve"> </w:t>
      </w:r>
      <w:hyperlink r:id="rId69">
        <w:r>
          <w:rPr>
            <w:rFonts w:ascii="Arial" w:cs="Arial" w:eastAsia="Arial" w:hAnsi="Arial"/>
            <w:sz w:val="16"/>
            <w:szCs w:val="16"/>
            <w:u w:val="single" w:color="auto"/>
            <w:color w:val="0000EE"/>
          </w:rPr>
          <w:t>Energy, LP, HighPeak Energy II, LP, HighPeak Energy III, LP, Jack Hightower and certain directors of Pure Acquisition Corp. (incorporated by</w:t>
        </w:r>
      </w:hyperlink>
      <w:r>
        <w:rPr>
          <w:rFonts w:ascii="Arial" w:cs="Arial" w:eastAsia="Arial" w:hAnsi="Arial"/>
          <w:sz w:val="16"/>
          <w:szCs w:val="16"/>
          <w:u w:val="single" w:color="auto"/>
          <w:color w:val="0000EE"/>
        </w:rPr>
        <w:t xml:space="preserve"> </w:t>
      </w:r>
      <w:hyperlink r:id="rId69">
        <w:r>
          <w:rPr>
            <w:rFonts w:ascii="Arial" w:cs="Arial" w:eastAsia="Arial" w:hAnsi="Arial"/>
            <w:sz w:val="16"/>
            <w:szCs w:val="16"/>
            <w:u w:val="single" w:color="auto"/>
            <w:color w:val="0000EE"/>
          </w:rPr>
          <w:t>reference to Exhibit 4.3 to the Company’s Current Report on Form 8-K (File No. 001-39464) filed with the SEC on August 27, 2020).</w:t>
        </w:r>
      </w:hyperlink>
    </w:p>
    <w:p>
      <w:pPr>
        <w:spacing w:after="0" w:line="149" w:lineRule="exact"/>
        <w:rPr>
          <w:rFonts w:ascii="Arial" w:cs="Arial" w:eastAsia="Arial" w:hAnsi="Arial"/>
          <w:sz w:val="16"/>
          <w:szCs w:val="16"/>
          <w:u w:val="single" w:color="auto"/>
          <w:color w:val="0000EE"/>
        </w:rPr>
      </w:pPr>
    </w:p>
    <w:p>
      <w:pPr>
        <w:jc w:val="both"/>
        <w:ind w:left="680" w:right="420" w:hanging="674"/>
        <w:spacing w:after="0" w:line="263"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70">
        <w:r>
          <w:rPr>
            <w:rFonts w:ascii="Arial" w:cs="Arial" w:eastAsia="Arial" w:hAnsi="Arial"/>
            <w:sz w:val="18"/>
            <w:szCs w:val="18"/>
            <w:u w:val="single" w:color="auto"/>
            <w:color w:val="0000EE"/>
          </w:rPr>
          <w:t>Amendment and Assignment to Warrant Agreement, dated as of August 21, 2020, by and among Pure Acquisition Corp., Continental Stock</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Transfer &amp; Trust Company and HighPeak Energy, Inc. (incorporated by reference to Exhibit 4.2 to the Company’s Registration Statement on</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Form S-4 and Form S-1 (File No. 333-235313) filed with the SEC on August 5, 2020).</w:t>
        </w:r>
      </w:hyperlink>
    </w:p>
    <w:p>
      <w:pPr>
        <w:spacing w:after="0" w:line="184" w:lineRule="exact"/>
        <w:rPr>
          <w:rFonts w:ascii="Arial" w:cs="Arial" w:eastAsia="Arial" w:hAnsi="Arial"/>
          <w:sz w:val="18"/>
          <w:szCs w:val="18"/>
          <w:u w:val="single" w:color="auto"/>
          <w:color w:val="0000EE"/>
        </w:rPr>
      </w:pPr>
    </w:p>
    <w:p>
      <w:pPr>
        <w:ind w:left="680" w:right="20" w:hanging="674"/>
        <w:spacing w:after="0" w:line="263"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71">
        <w:r>
          <w:rPr>
            <w:rFonts w:ascii="Arial" w:cs="Arial" w:eastAsia="Arial" w:hAnsi="Arial"/>
            <w:sz w:val="18"/>
            <w:szCs w:val="18"/>
            <w:u w:val="single" w:color="auto"/>
            <w:color w:val="0000EE"/>
          </w:rPr>
          <w:t>Indenture, dated February 16, 2022, by and among HighPeak Energy, Inc., the guarantors named therein and UMB Bank, National Association, as</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trustee (incorporated by reference to Exhibit 4.1 to the Company’s Current Report on Form 8-K (File No. 001-39464) filed with the SEC on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February 22, 2022).</w:t>
        </w:r>
      </w:hyperlink>
    </w:p>
    <w:p>
      <w:pPr>
        <w:spacing w:after="0" w:line="184" w:lineRule="exact"/>
        <w:rPr>
          <w:rFonts w:ascii="Arial" w:cs="Arial" w:eastAsia="Arial" w:hAnsi="Arial"/>
          <w:sz w:val="18"/>
          <w:szCs w:val="18"/>
          <w:u w:val="single" w:color="auto"/>
          <w:color w:val="0000EE"/>
        </w:rPr>
      </w:pPr>
    </w:p>
    <w:p>
      <w:pPr>
        <w:ind w:left="680" w:right="300" w:hanging="674"/>
        <w:spacing w:after="0" w:line="286" w:lineRule="auto"/>
        <w:tabs>
          <w:tab w:leader="none" w:pos="66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72">
        <w:r>
          <w:rPr>
            <w:rFonts w:ascii="Arial" w:cs="Arial" w:eastAsia="Arial" w:hAnsi="Arial"/>
            <w:sz w:val="17"/>
            <w:szCs w:val="17"/>
            <w:u w:val="single" w:color="auto"/>
            <w:color w:val="0000EE"/>
          </w:rPr>
          <w:t>Contingent Value Rights Agreement, dated as of August 21, 2020, by and among HighPeak Energy, Inc., HighPeak Pure Acquisition, LLC,</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HighPeak Energy, LP, HighPeak Energy II, LP and Continental Stock Transfer &amp; Trust Company, as rights agent (incorporated by reference to</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Exhibit 10.1 to the Company’s Current Report on Form 8-K (File No. 001-39464) filed with the SEC on August 27, 2020).</w:t>
        </w:r>
      </w:hyperlink>
    </w:p>
    <w:p>
      <w:pPr>
        <w:spacing w:after="0" w:line="165" w:lineRule="exact"/>
        <w:rPr>
          <w:rFonts w:ascii="Arial" w:cs="Arial" w:eastAsia="Arial" w:hAnsi="Arial"/>
          <w:sz w:val="17"/>
          <w:szCs w:val="17"/>
          <w:u w:val="single" w:color="auto"/>
          <w:color w:val="0000EE"/>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tcBorders>
              <w:bottom w:val="single" w:sz="8" w:color="0000EE"/>
            </w:tcBorders>
            <w:gridSpan w:val="20"/>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HighPeak Energy, Inc. Amended and Restated Long Term Incentive Plan (incorporated by reference to Exhibit 10.3 to the Company’s Current</w:t>
              </w:r>
            </w:hyperlink>
          </w:p>
        </w:tc>
      </w:tr>
      <w:tr>
        <w:trPr>
          <w:trHeight w:val="196"/>
        </w:trPr>
        <w:tc>
          <w:tcPr>
            <w:tcW w:w="88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Report on Form 8-K (File No. 001-39464) filed with the SEC on August 27, 2020).</w:t>
              </w:r>
            </w:hyperlink>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020" w:type="dxa"/>
            <w:vAlign w:val="bottom"/>
            <w:tcBorders>
              <w:bottom w:val="single" w:sz="8" w:color="0000EE"/>
            </w:tcBorders>
            <w:gridSpan w:val="12"/>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Form of Stock Option Agreement (incorporated by reference to Exhibit 10.4 to the Company’s Current Report on Form 8-K (File No. 001-</w:t>
              </w:r>
            </w:hyperlink>
          </w:p>
        </w:tc>
        <w:tc>
          <w:tcPr>
            <w:tcW w:w="24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39464) filed with the SEC on August 27, 2020).</w:t>
              </w:r>
            </w:hyperlink>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tcBorders>
              <w:bottom w:val="single" w:sz="8" w:color="0000EE"/>
            </w:tcBorders>
            <w:gridSpan w:val="17"/>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Form of Indemnification Agreement (incorporated by reference to Exhibit 10.1 to the Company’s Current Report on Form 8-K (File No. 001-</w:t>
              </w:r>
            </w:hyperlink>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39464) filed with the SEC on November 9, 2020).</w:t>
              </w:r>
            </w:hyperlink>
          </w:p>
        </w:tc>
        <w:tc>
          <w:tcPr>
            <w:tcW w:w="6640" w:type="dxa"/>
            <w:vAlign w:val="bottom"/>
            <w:gridSpan w:val="18"/>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000" w:type="dxa"/>
            <w:vAlign w:val="bottom"/>
            <w:tcBorders>
              <w:bottom w:val="single" w:sz="8" w:color="0000EE"/>
            </w:tcBorders>
            <w:gridSpan w:val="11"/>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Credit Agreement, dated as of December 17, 2020, among HighPeak Energy, Inc., as Borrower, Fifth Third Bank, National Association, as</w:t>
              </w:r>
            </w:hyperlink>
          </w:p>
        </w:tc>
        <w:tc>
          <w:tcPr>
            <w:tcW w:w="26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administrative agent, and the Lenders party thereto (incorporated by reference to Exhibit 10.1 to the Company’s Current Report on Form 8-K</w:t>
              </w:r>
            </w:hyperlink>
          </w:p>
        </w:tc>
      </w:tr>
      <w:tr>
        <w:trPr>
          <w:trHeight w:val="196"/>
        </w:trPr>
        <w:tc>
          <w:tcPr>
            <w:tcW w:w="880" w:type="dxa"/>
            <w:vAlign w:val="bottom"/>
          </w:tcPr>
          <w:p>
            <w:pPr>
              <w:spacing w:after="0"/>
              <w:rPr>
                <w:sz w:val="17"/>
                <w:szCs w:val="17"/>
                <w:color w:val="auto"/>
              </w:rPr>
            </w:pPr>
          </w:p>
        </w:tc>
        <w:tc>
          <w:tcPr>
            <w:tcW w:w="10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(File No. 001-39464) filed with the SEC on December 18, 2020).</w:t>
              </w:r>
            </w:hyperlink>
          </w:p>
        </w:tc>
        <w:tc>
          <w:tcPr>
            <w:tcW w:w="10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9820" w:type="dxa"/>
            <w:vAlign w:val="bottom"/>
            <w:tcBorders>
              <w:bottom w:val="single" w:sz="8" w:color="0000EE"/>
            </w:tcBorders>
            <w:gridSpan w:val="10"/>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First Amendment to Credit Agreement, dated as of June 23, 2021, by and among HighPeak Energy, Inc., as Borrower, Fifth Third Bank,</w:t>
              </w:r>
            </w:hyperlink>
          </w:p>
        </w:tc>
        <w:tc>
          <w:tcPr>
            <w:tcW w:w="44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w w:val="95"/>
              </w:rPr>
            </w:pPr>
            <w:hyperlink r:id="rId78">
              <w:r>
                <w:rPr>
                  <w:rFonts w:ascii="Arial" w:cs="Arial" w:eastAsia="Arial" w:hAnsi="Arial"/>
                  <w:sz w:val="18"/>
                  <w:szCs w:val="18"/>
                  <w:color w:val="0000EE"/>
                  <w:w w:val="95"/>
                </w:rPr>
                <w:t>National Association, as administrative agent, the Guarantors, the Existing Lender and the New Lenders party thereto (incorporated by</w:t>
              </w:r>
            </w:hyperlink>
          </w:p>
        </w:tc>
      </w:tr>
      <w:tr>
        <w:trPr>
          <w:trHeight w:val="196"/>
        </w:trPr>
        <w:tc>
          <w:tcPr>
            <w:tcW w:w="880" w:type="dxa"/>
            <w:vAlign w:val="bottom"/>
          </w:tcPr>
          <w:p>
            <w:pPr>
              <w:spacing w:after="0"/>
              <w:rPr>
                <w:sz w:val="17"/>
                <w:szCs w:val="17"/>
                <w:color w:val="auto"/>
              </w:rPr>
            </w:pPr>
          </w:p>
        </w:tc>
        <w:tc>
          <w:tcPr>
            <w:tcW w:w="970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reference to Exhibit 10.1 to the Company’s Current Report on Form 8-K (File No. 001-39464) filed with the SEC on June 24, 2021).</w:t>
              </w:r>
            </w:hyperlink>
          </w:p>
        </w:tc>
        <w:tc>
          <w:tcPr>
            <w:tcW w:w="560" w:type="dxa"/>
            <w:vAlign w:val="bottom"/>
            <w:gridSpan w:val="11"/>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260" w:type="dxa"/>
            <w:vAlign w:val="bottom"/>
            <w:gridSpan w:val="20"/>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Second amendment to Credit Agreement, dated as of October 1, 2021, by and among HighPeak Energy, Inc., as Borrower, Fifth Third Bank,</w:t>
              </w:r>
            </w:hyperlink>
          </w:p>
        </w:tc>
      </w:tr>
      <w:tr>
        <w:trPr>
          <w:trHeight w:val="20"/>
        </w:trPr>
        <w:tc>
          <w:tcPr>
            <w:tcW w:w="880" w:type="dxa"/>
            <w:vAlign w:val="bottom"/>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National Association, as administrative agent, the Guarantors, and the Lenders party thereto (incorporated by reference to Exhibit 10.1 to the</w:t>
              </w:r>
            </w:hyperlink>
          </w:p>
        </w:tc>
      </w:tr>
      <w:tr>
        <w:trPr>
          <w:trHeight w:val="196"/>
        </w:trPr>
        <w:tc>
          <w:tcPr>
            <w:tcW w:w="88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Company’s Current Report on Form 8-K (File No. 001-39464) filed with the SEC on October 4, 2021).</w:t>
              </w:r>
            </w:hyperlink>
          </w:p>
        </w:tc>
        <w:tc>
          <w:tcPr>
            <w:tcW w:w="2700" w:type="dxa"/>
            <w:vAlign w:val="bottom"/>
            <w:tcBorders>
              <w:top w:val="single" w:sz="8" w:color="0000EE"/>
            </w:tcBorders>
            <w:gridSpan w:val="8"/>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260" w:type="dxa"/>
            <w:vAlign w:val="bottom"/>
            <w:gridSpan w:val="20"/>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Third amendment to Credit Agreement, dated as of February 9, 2022, by and among HighPeak Energy, Inc., as Borrower, Fifth Third Bank,</w:t>
              </w:r>
            </w:hyperlink>
          </w:p>
        </w:tc>
      </w:tr>
      <w:tr>
        <w:trPr>
          <w:trHeight w:val="20"/>
        </w:trPr>
        <w:tc>
          <w:tcPr>
            <w:tcW w:w="880" w:type="dxa"/>
            <w:vAlign w:val="bottom"/>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National Association, as administrative agent, the Guarantors, and the Lenders party thereto (incorporated by reference to Exhibit 10.1 to the</w:t>
              </w:r>
            </w:hyperlink>
          </w:p>
        </w:tc>
      </w:tr>
      <w:tr>
        <w:trPr>
          <w:trHeight w:val="196"/>
        </w:trPr>
        <w:tc>
          <w:tcPr>
            <w:tcW w:w="8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Company’s Current Report on Form 8-K (File No. 001-39464) filed with the SEC on February 14, 2022).</w:t>
              </w:r>
            </w:hyperlink>
          </w:p>
        </w:tc>
        <w:tc>
          <w:tcPr>
            <w:tcW w:w="2540" w:type="dxa"/>
            <w:vAlign w:val="bottom"/>
            <w:tcBorders>
              <w:top w:val="single" w:sz="8" w:color="0000EE"/>
            </w:tcBorders>
            <w:gridSpan w:val="7"/>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240" w:type="dxa"/>
            <w:vAlign w:val="bottom"/>
            <w:tcBorders>
              <w:bottom w:val="single" w:sz="8" w:color="0000EE"/>
            </w:tcBorders>
            <w:gridSpan w:val="19"/>
          </w:tcPr>
          <w:p>
            <w:pPr>
              <w:spacing w:after="0"/>
              <w:rPr>
                <w:rFonts w:ascii="Arial" w:cs="Arial" w:eastAsia="Arial" w:hAnsi="Arial"/>
                <w:sz w:val="18"/>
                <w:szCs w:val="18"/>
                <w:color w:val="0000EE"/>
                <w:w w:val="92"/>
              </w:rPr>
            </w:pPr>
            <w:hyperlink r:id="rId81">
              <w:r>
                <w:rPr>
                  <w:rFonts w:ascii="Arial" w:cs="Arial" w:eastAsia="Arial" w:hAnsi="Arial"/>
                  <w:sz w:val="18"/>
                  <w:szCs w:val="18"/>
                  <w:color w:val="0000EE"/>
                  <w:w w:val="92"/>
                </w:rPr>
                <w:t>Form of Dividend Equivalent Award Agreement (incorporated by reference to Exhibit 10.8 to the Company’s Quarterly Report on Form 10-Q</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(File No. 001-39464) filed with the SEC on August 9, 2021).</w:t>
              </w:r>
            </w:hyperlink>
          </w:p>
        </w:tc>
        <w:tc>
          <w:tcPr>
            <w:tcW w:w="5860" w:type="dxa"/>
            <w:vAlign w:val="bottom"/>
            <w:gridSpan w:val="17"/>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0"/>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of the Company’s Chief Executive Officer Pursuant to Section 302 of the Sarbanes Oxley Act of 2002 (18 U.S.C. Section 7241).</w:t>
              </w:r>
            </w:hyperlink>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the Company’s Chief Financial Officer Pursuant to Section 302 of the Sarbanes Oxley Act of 2002 (18 U.S.C. Section 7241).</w:t>
              </w:r>
            </w:hyperlink>
          </w:p>
        </w:tc>
        <w:tc>
          <w:tcPr>
            <w:tcW w:w="40" w:type="dxa"/>
            <w:vAlign w:val="bottom"/>
            <w:tcBorders>
              <w:top w:val="single" w:sz="8" w:color="0000EE"/>
            </w:tcBorders>
            <w:gridSpan w:val="2"/>
          </w:tcPr>
          <w:p>
            <w:pPr>
              <w:spacing w:after="0"/>
              <w:rPr>
                <w:sz w:val="24"/>
                <w:szCs w:val="24"/>
                <w:color w:val="auto"/>
              </w:rPr>
            </w:pPr>
          </w:p>
        </w:tc>
        <w:tc>
          <w:tcPr>
            <w:tcW w:w="40" w:type="dxa"/>
            <w:vAlign w:val="bottom"/>
            <w:gridSpan w:val="2"/>
          </w:tcPr>
          <w:p>
            <w:pPr>
              <w:spacing w:after="0"/>
              <w:rPr>
                <w:sz w:val="24"/>
                <w:szCs w:val="24"/>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0"/>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of the Company’s Chief Executive Officer Pursuant to Section 906 of the Sarbanes Oxley Act of 2002 (18 U.S.C. Section 1350).</w:t>
              </w:r>
            </w:hyperlink>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1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the Company’s Chief Financial Officer Pursuant to Section 906 of the Sarbanes Oxley Act of 2002 (18 U.S.C. Section 1350).</w:t>
              </w:r>
            </w:hyperlink>
          </w:p>
        </w:tc>
        <w:tc>
          <w:tcPr>
            <w:tcW w:w="40" w:type="dxa"/>
            <w:vAlign w:val="bottom"/>
            <w:tcBorders>
              <w:top w:val="single" w:sz="8" w:color="0000EE"/>
            </w:tcBorders>
            <w:gridSpan w:val="2"/>
          </w:tcPr>
          <w:p>
            <w:pPr>
              <w:spacing w:after="0"/>
              <w:rPr>
                <w:sz w:val="24"/>
                <w:szCs w:val="24"/>
                <w:color w:val="auto"/>
              </w:rPr>
            </w:pPr>
          </w:p>
        </w:tc>
        <w:tc>
          <w:tcPr>
            <w:tcW w:w="4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101.CAL**Inline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101.LAB**Inline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3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10712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right="200" w:hanging="452"/>
        <w:spacing w:after="0" w:line="26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20" w:right="24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7940" w:type="dxa"/>
            <w:vAlign w:val="bottom"/>
            <w:gridSpan w:val="2"/>
          </w:tcPr>
          <w:p>
            <w:pPr>
              <w:ind w:left="2300"/>
              <w:spacing w:after="0"/>
              <w:rPr>
                <w:sz w:val="20"/>
                <w:szCs w:val="20"/>
                <w:color w:val="auto"/>
              </w:rPr>
            </w:pPr>
            <w:r>
              <w:rPr>
                <w:rFonts w:ascii="Arial" w:cs="Arial" w:eastAsia="Arial" w:hAnsi="Arial"/>
                <w:sz w:val="18"/>
                <w:szCs w:val="18"/>
                <w:color w:val="auto"/>
              </w:rPr>
              <w:t>HIGHPEAK ENERGY,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May 16, 2022</w:t>
            </w:r>
          </w:p>
        </w:tc>
        <w:tc>
          <w:tcPr>
            <w:tcW w:w="7940" w:type="dxa"/>
            <w:vAlign w:val="bottom"/>
            <w:gridSpan w:val="2"/>
          </w:tcPr>
          <w:p>
            <w:pPr>
              <w:ind w:left="2300"/>
              <w:spacing w:after="0"/>
              <w:rPr>
                <w:sz w:val="20"/>
                <w:szCs w:val="20"/>
                <w:color w:val="auto"/>
              </w:rPr>
            </w:pPr>
            <w:r>
              <w:rPr>
                <w:rFonts w:ascii="Arial" w:cs="Arial" w:eastAsia="Arial" w:hAnsi="Arial"/>
                <w:sz w:val="18"/>
                <w:szCs w:val="18"/>
                <w:color w:val="auto"/>
              </w:rPr>
              <w:t>By:  /s/ Steven Tholen</w:t>
            </w:r>
          </w:p>
        </w:tc>
      </w:tr>
      <w:tr>
        <w:trPr>
          <w:trHeight w:val="195"/>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3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Steven Tholen</w:t>
            </w:r>
          </w:p>
        </w:tc>
      </w:tr>
      <w:tr>
        <w:trPr>
          <w:trHeight w:val="230"/>
        </w:trPr>
        <w:tc>
          <w:tcPr>
            <w:tcW w:w="3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May 16, 2022</w:t>
            </w:r>
          </w:p>
        </w:tc>
        <w:tc>
          <w:tcPr>
            <w:tcW w:w="7940" w:type="dxa"/>
            <w:vAlign w:val="bottom"/>
            <w:gridSpan w:val="2"/>
          </w:tcPr>
          <w:p>
            <w:pPr>
              <w:ind w:left="2300"/>
              <w:spacing w:after="0"/>
              <w:rPr>
                <w:sz w:val="20"/>
                <w:szCs w:val="20"/>
                <w:color w:val="auto"/>
              </w:rPr>
            </w:pPr>
            <w:r>
              <w:rPr>
                <w:rFonts w:ascii="Arial" w:cs="Arial" w:eastAsia="Arial" w:hAnsi="Arial"/>
                <w:sz w:val="18"/>
                <w:szCs w:val="18"/>
                <w:color w:val="auto"/>
              </w:rPr>
              <w:t>By:  /s/ Keith Forbes</w:t>
            </w:r>
          </w:p>
        </w:tc>
      </w:tr>
      <w:tr>
        <w:trPr>
          <w:trHeight w:val="195"/>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3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Keith Forbes</w:t>
            </w:r>
          </w:p>
        </w:tc>
      </w:tr>
      <w:tr>
        <w:trPr>
          <w:trHeight w:val="230"/>
        </w:trPr>
        <w:tc>
          <w:tcPr>
            <w:tcW w:w="3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Vice President and Chief Accounting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58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Jack Hightower, certify that:</w:t>
      </w:r>
    </w:p>
    <w:p>
      <w:pPr>
        <w:spacing w:after="0" w:line="225"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740" w:right="300" w:hanging="368"/>
        <w:spacing w:after="0" w:line="263"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40" w:right="620" w:hanging="368"/>
        <w:spacing w:after="0" w:line="263"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hanging="368"/>
        <w:spacing w:after="0" w:line="308" w:lineRule="auto"/>
        <w:tabs>
          <w:tab w:leader="none" w:pos="7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40" w:hanging="368"/>
        <w:spacing w:after="0" w:line="263"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200" w:hanging="368"/>
        <w:spacing w:after="0" w:line="277"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160" w:hanging="368"/>
        <w:spacing w:after="0" w:line="277"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36944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420"/>
        <w:spacing w:after="0"/>
        <w:tabs>
          <w:tab w:leader="none" w:pos="6020" w:val="left"/>
        </w:tabs>
        <w:rPr>
          <w:sz w:val="20"/>
          <w:szCs w:val="20"/>
          <w:color w:val="auto"/>
        </w:rPr>
      </w:pPr>
      <w:r>
        <w:rPr>
          <w:rFonts w:ascii="Arial" w:cs="Arial" w:eastAsia="Arial" w:hAnsi="Arial"/>
          <w:sz w:val="18"/>
          <w:szCs w:val="18"/>
          <w:color w:val="auto"/>
        </w:rPr>
        <w:t>Date:</w:t>
        <w:tab/>
        <w:t>May 16, 2022</w:t>
      </w:r>
    </w:p>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Steven Tholen, certify that:</w:t>
      </w:r>
    </w:p>
    <w:p>
      <w:pPr>
        <w:spacing w:after="0" w:line="225"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740" w:right="300" w:hanging="368"/>
        <w:spacing w:after="0" w:line="263" w:lineRule="auto"/>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40" w:right="620" w:hanging="368"/>
        <w:spacing w:after="0" w:line="263" w:lineRule="auto"/>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hanging="368"/>
        <w:spacing w:after="0" w:line="308" w:lineRule="auto"/>
        <w:tabs>
          <w:tab w:leader="none" w:pos="7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40" w:hanging="368"/>
        <w:spacing w:after="0" w:line="263" w:lineRule="auto"/>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200" w:hanging="368"/>
        <w:spacing w:after="0" w:line="277" w:lineRule="auto"/>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160" w:hanging="368"/>
        <w:spacing w:after="0" w:line="277" w:lineRule="auto"/>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36944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20"/>
        <w:spacing w:after="0"/>
        <w:tabs>
          <w:tab w:leader="none" w:pos="6020" w:val="left"/>
        </w:tabs>
        <w:rPr>
          <w:sz w:val="20"/>
          <w:szCs w:val="20"/>
          <w:color w:val="auto"/>
        </w:rPr>
      </w:pPr>
      <w:r>
        <w:rPr>
          <w:rFonts w:ascii="Arial" w:cs="Arial" w:eastAsia="Arial" w:hAnsi="Arial"/>
          <w:sz w:val="18"/>
          <w:szCs w:val="18"/>
          <w:color w:val="auto"/>
        </w:rPr>
        <w:t>Date:</w:t>
        <w:tab/>
        <w:t>May 16, 2022</w:t>
      </w:r>
    </w:p>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CHIEF EXECUTIVE OFFICER</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right="80" w:firstLine="450"/>
        <w:spacing w:after="0" w:line="263" w:lineRule="auto"/>
        <w:rPr>
          <w:sz w:val="20"/>
          <w:szCs w:val="20"/>
          <w:color w:val="auto"/>
        </w:rPr>
      </w:pPr>
      <w:r>
        <w:rPr>
          <w:rFonts w:ascii="Arial" w:cs="Arial" w:eastAsia="Arial" w:hAnsi="Arial"/>
          <w:sz w:val="18"/>
          <w:szCs w:val="18"/>
          <w:color w:val="auto"/>
        </w:rPr>
        <w:t>I, Jack D.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2022:</w:t>
      </w:r>
    </w:p>
    <w:p>
      <w:pPr>
        <w:spacing w:after="0" w:line="184" w:lineRule="exact"/>
        <w:rPr>
          <w:sz w:val="20"/>
          <w:szCs w:val="20"/>
          <w:color w:val="auto"/>
        </w:rPr>
      </w:pPr>
    </w:p>
    <w:p>
      <w:pPr>
        <w:ind w:left="1040" w:hanging="316"/>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1040" w:hanging="316"/>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6944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840"/>
        <w:spacing w:after="0"/>
        <w:tabs>
          <w:tab w:leader="none" w:pos="5440" w:val="left"/>
        </w:tabs>
        <w:rPr>
          <w:sz w:val="20"/>
          <w:szCs w:val="20"/>
          <w:color w:val="auto"/>
        </w:rPr>
      </w:pPr>
      <w:r>
        <w:rPr>
          <w:rFonts w:ascii="Arial" w:cs="Arial" w:eastAsia="Arial" w:hAnsi="Arial"/>
          <w:sz w:val="18"/>
          <w:szCs w:val="18"/>
          <w:color w:val="auto"/>
        </w:rPr>
        <w:t>Date:</w:t>
        <w:tab/>
        <w:t>May 16, 2022</w:t>
      </w:r>
    </w:p>
    <w:p>
      <w:pPr>
        <w:sectPr>
          <w:pgSz w:w="11900" w:h="16838" w:orient="portrait"/>
          <w:cols w:equalWidth="0" w:num="1">
            <w:col w:w="10660"/>
          </w:cols>
          <w:pgMar w:left="90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CHIEF FINANCIAL OFFICER</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right="20" w:firstLine="450"/>
        <w:spacing w:after="0" w:line="286" w:lineRule="auto"/>
        <w:rPr>
          <w:sz w:val="20"/>
          <w:szCs w:val="20"/>
          <w:color w:val="auto"/>
        </w:rPr>
      </w:pPr>
      <w:r>
        <w:rPr>
          <w:rFonts w:ascii="Arial" w:cs="Arial" w:eastAsia="Arial" w:hAnsi="Arial"/>
          <w:sz w:val="17"/>
          <w:szCs w:val="17"/>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2022:</w:t>
      </w:r>
    </w:p>
    <w:p>
      <w:pPr>
        <w:spacing w:after="0" w:line="165" w:lineRule="exact"/>
        <w:rPr>
          <w:sz w:val="20"/>
          <w:szCs w:val="20"/>
          <w:color w:val="auto"/>
        </w:rPr>
      </w:pPr>
    </w:p>
    <w:p>
      <w:pPr>
        <w:ind w:left="1040" w:hanging="316"/>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1040" w:hanging="316"/>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6944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tabs>
          <w:tab w:leader="none" w:pos="5440" w:val="left"/>
        </w:tabs>
        <w:rPr>
          <w:sz w:val="20"/>
          <w:szCs w:val="20"/>
          <w:color w:val="auto"/>
        </w:rPr>
      </w:pPr>
      <w:r>
        <w:rPr>
          <w:rFonts w:ascii="Arial" w:cs="Arial" w:eastAsia="Arial" w:hAnsi="Arial"/>
          <w:sz w:val="18"/>
          <w:szCs w:val="18"/>
          <w:color w:val="auto"/>
        </w:rPr>
        <w:t>Date:</w:t>
        <w:tab/>
        <w:t>May 16, 2022</w:t>
      </w:r>
    </w:p>
    <w:sectPr>
      <w:pgSz w:w="11900" w:h="16838" w:orient="portrait"/>
      <w:cols w:equalWidth="0" w:num="1">
        <w:col w:w="10660"/>
      </w:cols>
      <w:pgMar w:left="90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lvl w:ilvl="1">
      <w:lvlJc w:val="left"/>
      <w:lvlText w:val="(%2)"/>
      <w:numFmt w:val="lowerRoman"/>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lowerRoman"/>
      <w:start w:val="4"/>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
      <w:numFmt w:val="bullet"/>
      <w:start w:val="1"/>
    </w:lvl>
    <w:lvl w:ilvl="1">
      <w:lvlJc w:val="left"/>
      <w:lvlText w:val="•"/>
      <w:numFmt w:val="bullet"/>
      <w:start w:val="1"/>
    </w:lvl>
  </w:abstractNum>
  <w:abstractNum w:abstractNumId="19">
    <w:nsid w:val="79838CB2"/>
    <w:multiLevelType w:val="hybridMultilevel"/>
    <w:lvl w:ilvl="0">
      <w:lvlJc w:val="left"/>
      <w:lvlText w:val="•"/>
      <w:numFmt w:val="bullet"/>
      <w:start w:val="1"/>
    </w:lvl>
    <w:lvl w:ilvl="1">
      <w:lvlJc w:val="left"/>
      <w:lvlText w:val="•"/>
      <w:numFmt w:val="bullet"/>
      <w:start w:val="1"/>
    </w:lvl>
  </w:abstractNum>
  <w:abstractNum w:abstractNumId="20">
    <w:nsid w:val="4353D0CD"/>
    <w:multiLevelType w:val="hybridMultilevel"/>
    <w:lvl w:ilvl="0">
      <w:lvlJc w:val="left"/>
      <w:lvlText w:val="(%1)"/>
      <w:numFmt w:val="lowerRoman"/>
      <w:start w:val="3"/>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8"/>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3"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66" Type="http://schemas.openxmlformats.org/officeDocument/2006/relationships/hyperlink" Target="http://www.sec.gov/Archives/edgar/data/1792849/000143774920018850/ex_201556.htm" TargetMode="External"/><Relationship Id="rId67" Type="http://schemas.openxmlformats.org/officeDocument/2006/relationships/hyperlink" Target="http://www.sec.gov/Archives/edgar/data/1792849/000143774920018850/ex_201557.htm" TargetMode="External"/><Relationship Id="rId68" Type="http://schemas.openxmlformats.org/officeDocument/2006/relationships/hyperlink" Target="http://www.sec.gov/Archives/edgar/data/1792849/000143774920018850/ex_201560.htm" TargetMode="External"/><Relationship Id="rId69" Type="http://schemas.openxmlformats.org/officeDocument/2006/relationships/hyperlink" Target="http://www.sec.gov/Archives/edgar/data/1792849/000143774920018850/ex_201559.htm" TargetMode="External"/><Relationship Id="rId70" Type="http://schemas.openxmlformats.org/officeDocument/2006/relationships/hyperlink" Target="http://www.sec.gov/Archives/edgar/data/1792849/000143774920018850/ex_201558.htm" TargetMode="External"/><Relationship Id="rId71" Type="http://schemas.openxmlformats.org/officeDocument/2006/relationships/hyperlink" Target="http://www.sec.gov/Archives/edgar/data/1792849/000143774922004067/ex_338990.htm" TargetMode="External"/><Relationship Id="rId72" Type="http://schemas.openxmlformats.org/officeDocument/2006/relationships/hyperlink" Target="http://www.sec.gov/Archives/edgar/data/1792849/000143774920018850/ex_201561.htm" TargetMode="External"/><Relationship Id="rId74" Type="http://schemas.openxmlformats.org/officeDocument/2006/relationships/hyperlink" Target="http://www.sec.gov/Archives/edgar/data/1792849/000143774920018850/ex_201562.htm" TargetMode="External"/><Relationship Id="rId75" Type="http://schemas.openxmlformats.org/officeDocument/2006/relationships/hyperlink" Target="http://www.sec.gov/Archives/edgar/data/1792849/000143774920018850/ex_201563.htm" TargetMode="External"/><Relationship Id="rId76" Type="http://schemas.openxmlformats.org/officeDocument/2006/relationships/hyperlink" Target="http://www.sec.gov/Archives/edgar/data/1792849/000143774920023072/ex_212714.htm" TargetMode="External"/><Relationship Id="rId77" Type="http://schemas.openxmlformats.org/officeDocument/2006/relationships/hyperlink" Target="http://www.sec.gov/Archives/edgar/data/1792849/000143774920025626/ex_218259.htm" TargetMode="External"/><Relationship Id="rId78" Type="http://schemas.openxmlformats.org/officeDocument/2006/relationships/hyperlink" Target="http://www.sec.gov/Archives/edgar/data/1792849/000143774921015514/ex_259439.htm" TargetMode="External"/><Relationship Id="rId79" Type="http://schemas.openxmlformats.org/officeDocument/2006/relationships/hyperlink" Target="http://www.sec.gov/Archives/edgar/data/1792849/000143774921023239/ex_288604.htm" TargetMode="External"/><Relationship Id="rId80" Type="http://schemas.openxmlformats.org/officeDocument/2006/relationships/hyperlink" Target="http://www.sec.gov/Archives/edgar/data/1792849/000143774922003178/ex_335022.htm" TargetMode="External"/><Relationship Id="rId81" Type="http://schemas.openxmlformats.org/officeDocument/2006/relationships/hyperlink" Target="http://www.sec.gov/Archives/edgar/data/1792849/000143774921019137/ex_26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2022-05-16T15:52:58Z</dcterms:created>
  <dcterms:modified xsi:type="dcterms:W3CDTF">2022-05-16T15:52:58Z</dcterms:modified>
</cp:coreProperties>
</file>