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pe20230930_10q.htm"/>
      <w:bookmarkStart w:id="1" w:name="kshpe202309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60"/>
        <w:gridCol w:w="3560"/>
        <w:gridCol w:w="60"/>
      </w:tblGrid>
      <w:tr>
        <w:trPr/>
        <w:tc>
          <w:tcPr>
            <w:tcW w:w="60" w:type="dxa"/>
            <w:tcBorders/>
            <w:vAlign w:val="center"/>
          </w:tcPr>
          <w:p>
            <w:pPr>
              <w:pStyle w:val="TableContents"/>
              <w:bidi w:val="0"/>
              <w:spacing w:before="0" w:after="283"/>
              <w:jc w:val="left"/>
              <w:rPr/>
            </w:pPr>
            <w:r>
              <w:rPr/>
              <w:t> </w:t>
            </w:r>
          </w:p>
        </w:tc>
        <w:tc>
          <w:tcPr>
            <w:tcW w:w="3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280"/>
        <w:gridCol w:w="251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428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76102</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Fort Worth, Texas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w:t>
      </w:r>
      <w:r>
        <w:rPr>
          <w:rFonts w:ascii="Times New Roman" w:hAnsi="Times New Roman"/>
          <w:caps w:val="false"/>
          <w:smallCaps w:val="false"/>
          <w:sz w:val="20"/>
        </w:rPr>
        <w:t xml:space="preserve">t </w:t>
      </w:r>
      <w:r>
        <w:rPr>
          <w:rFonts w:ascii="Times New Roman" w:hAnsi="Times New Roman"/>
          <w:b/>
          <w:caps w:val="false"/>
          <w:smallCaps w:val="false"/>
          <w:sz w:val="20"/>
        </w:rPr>
        <w:t>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605"/>
        <w:gridCol w:w="60"/>
        <w:gridCol w:w="1415"/>
        <w:gridCol w:w="60"/>
        <w:gridCol w:w="27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HPKEW</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70"/>
        <w:gridCol w:w="230"/>
        <w:gridCol w:w="2375"/>
        <w:gridCol w:w="230"/>
      </w:tblGrid>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Yes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2, 2023, there were 128,420,923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875"/>
        <w:gridCol w:w="7250"/>
        <w:gridCol w:w="410"/>
      </w:tblGrid>
      <w:tr>
        <w:trPr/>
        <w:tc>
          <w:tcPr>
            <w:tcW w:w="8125" w:type="dxa"/>
            <w:gridSpan w:val="2"/>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812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of Certain Terms and Conventions Used Herein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8125"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Statement Concerning Forward-Looking Statements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8535"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 FINANCIAL INFORMATION</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Financial Statements (Unaudited)</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87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tc>
      </w:tr>
      <w:tr>
        <w:trPr/>
        <w:tc>
          <w:tcPr>
            <w:tcW w:w="875"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tc>
      </w:tr>
      <w:tr>
        <w:trPr/>
        <w:tc>
          <w:tcPr>
            <w:tcW w:w="875"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3.</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4.</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8535"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 OTHER INFORMATION</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1A.</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5.</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6.</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725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of Certain Terms and Conventions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Within this Quarterly Report on Form 10-Q (this “Quarterly Report”), the following terms and conventions have specific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10.000% Senior Notes</w:t>
            </w:r>
            <w:r>
              <w:rPr>
                <w:rFonts w:ascii="Times New Roman;Times;serif" w:hAnsi="Times New Roman;Times;serif"/>
                <w:caps w:val="false"/>
                <w:smallCaps w:val="false"/>
                <w:sz w:val="20"/>
              </w:rPr>
              <w:t>” means the $225.0 million aggregate principal amount of our 10.000% Senior Notes due 2024, which were issued pursuant to an indenture in February 2022.</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10.625% Senior Notes</w:t>
            </w:r>
            <w:r>
              <w:rPr>
                <w:rFonts w:ascii="Times New Roman;Times;serif" w:hAnsi="Times New Roman;Times;serif"/>
                <w:caps w:val="false"/>
                <w:smallCaps w:val="false"/>
                <w:sz w:val="20"/>
              </w:rPr>
              <w:t>” means the $250.0 million aggregate principal amount of our 10.625% Senior Notes due 2024, $225.0 million of which were issued pursuant to an indenture in November 2022 and $25.0 million of which were issued pursuant to an indenture in December 2022.</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3-D seismic</w:t>
            </w:r>
            <w:r>
              <w:rPr>
                <w:rFonts w:ascii="Times New Roman;Times;serif" w:hAnsi="Times New Roman;Times;serif"/>
                <w:caps w:val="false"/>
                <w:smallCaps w:val="false"/>
                <w:sz w:val="20"/>
              </w:rPr>
              <w:t>” means three-dimensional seismic data which is geophysical data that depicts the subsurface strata in three dimensions. 3-D seismic data typically provides a more detailed and accurate interpretation of the subsurface strata than two-dimensional data.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Alamo Acquisitions</w:t>
            </w:r>
            <w:r>
              <w:rPr>
                <w:rFonts w:ascii="Times New Roman;Times;serif" w:hAnsi="Times New Roman;Times;serif"/>
                <w:caps w:val="false"/>
                <w:smallCaps w:val="false"/>
                <w:sz w:val="20"/>
              </w:rPr>
              <w:t>” means the acquisitions of certain crude oil and natural gas properties in Borden County, Texas, collectively, from (i) Alamo Borden County II, LLC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ASC</w:t>
            </w:r>
            <w:r>
              <w:rPr>
                <w:rFonts w:ascii="Times New Roman;Times;serif" w:hAnsi="Times New Roman;Times;serif"/>
                <w:caps w:val="false"/>
                <w:smallCaps w:val="false"/>
                <w:sz w:val="20"/>
              </w:rPr>
              <w:t>” means Accounting Standards Codification.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ASU</w:t>
            </w:r>
            <w:r>
              <w:rPr>
                <w:rFonts w:ascii="Times New Roman;Times;serif" w:hAnsi="Times New Roman;Times;serif"/>
                <w:caps w:val="false"/>
                <w:smallCaps w:val="false"/>
                <w:sz w:val="20"/>
              </w:rPr>
              <w:t>” means Accounting Standards Update.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Basin</w:t>
            </w:r>
            <w:r>
              <w:rPr>
                <w:rFonts w:ascii="Times New Roman;Times;serif" w:hAnsi="Times New Roman;Times;serif"/>
                <w:caps w:val="false"/>
                <w:smallCaps w:val="false"/>
                <w:sz w:val="20"/>
              </w:rPr>
              <w:t>” means a large natural depression on the earth’s surface in which sediments generally brought by water accumulate.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Bbl</w:t>
            </w:r>
            <w:r>
              <w:rPr>
                <w:rFonts w:ascii="Times New Roman;Times;serif" w:hAnsi="Times New Roman;Times;serif"/>
                <w:caps w:val="false"/>
                <w:smallCaps w:val="false"/>
                <w:sz w:val="20"/>
              </w:rPr>
              <w:t>” means a standard barrel containing 42 United States gallons.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Bcf</w:t>
            </w:r>
            <w:r>
              <w:rPr>
                <w:rFonts w:ascii="Times New Roman;Times;serif" w:hAnsi="Times New Roman;Times;serif"/>
                <w:caps w:val="false"/>
                <w:smallCaps w:val="false"/>
                <w:sz w:val="20"/>
              </w:rPr>
              <w:t>” means one billion cubic feet.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Boe</w:t>
            </w:r>
            <w:r>
              <w:rPr>
                <w:rFonts w:ascii="Times New Roman;Times;serif" w:hAnsi="Times New Roman;Times;serif"/>
                <w:caps w:val="false"/>
                <w:smallCaps w:val="false"/>
                <w:sz w:val="20"/>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Boepd</w:t>
            </w:r>
            <w:r>
              <w:rPr>
                <w:rFonts w:ascii="Times New Roman;Times;serif" w:hAnsi="Times New Roman;Times;serif"/>
                <w:caps w:val="false"/>
                <w:smallCaps w:val="false"/>
                <w:sz w:val="20"/>
              </w:rPr>
              <w:t>” means Boe per day.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Bopd</w:t>
            </w:r>
            <w:r>
              <w:rPr>
                <w:rFonts w:ascii="Times New Roman;Times;serif" w:hAnsi="Times New Roman;Times;serif"/>
                <w:caps w:val="false"/>
                <w:smallCaps w:val="false"/>
                <w:sz w:val="20"/>
              </w:rPr>
              <w:t>” means one barrel of crude oil per day.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Btu</w:t>
            </w:r>
            <w:r>
              <w:rPr>
                <w:rFonts w:ascii="Times New Roman;Times;serif" w:hAnsi="Times New Roman;Times;serif"/>
                <w:caps w:val="false"/>
                <w:smallCaps w:val="false"/>
                <w:sz w:val="20"/>
              </w:rPr>
              <w:t>” means British thermal unit, which is a measure of the amount of energy required to raise the temperature of one pound of water one degree Fahrenheit.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Collateral Agency Agreement</w:t>
            </w:r>
            <w:r>
              <w:rPr>
                <w:rFonts w:ascii="Times New Roman;Times;serif" w:hAnsi="Times New Roman;Times;serif"/>
                <w:caps w:val="false"/>
                <w:smallCaps w:val="false"/>
                <w:sz w:val="20"/>
              </w:rPr>
              <w:t>” means the Company’s Collateral Agency Agreement, dated as of September 12, 2023, by and between HighPeak Energy, Inc., Texas Capital Bank, as collateral agent, Chambers Energy Management, LP, as term representative, and Mercuria Energy Trading SA, as first-out representative.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HighPeak Energy common stock</w:t>
            </w:r>
            <w:r>
              <w:rPr>
                <w:rFonts w:ascii="Times New Roman;Times;serif" w:hAnsi="Times New Roman;Times;serif"/>
                <w:caps w:val="false"/>
                <w:smallCaps w:val="false"/>
                <w:sz w:val="20"/>
              </w:rPr>
              <w:t>” means the Company’s common stock, par value $0.0001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Completion</w:t>
            </w:r>
            <w:r>
              <w:rPr>
                <w:rFonts w:ascii="Times New Roman;Times;serif" w:hAnsi="Times New Roman;Times;serif"/>
                <w:caps w:val="false"/>
                <w:smallCaps w:val="false"/>
                <w:sz w:val="20"/>
              </w:rPr>
              <w:t>” The process of treating a drilled well followed by the installation of permanent equipment for the production of crude oil and natural gas, or in the case of a dry hole, the reporting of abandonment to the appropriate agency.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DD&amp;A</w:t>
            </w:r>
            <w:r>
              <w:rPr>
                <w:rFonts w:ascii="Times New Roman;Times;serif" w:hAnsi="Times New Roman;Times;serif"/>
                <w:caps w:val="false"/>
                <w:smallCaps w:val="false"/>
                <w:sz w:val="20"/>
              </w:rPr>
              <w:t>” means depletion, depreciation and amortization.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costs</w:t>
            </w:r>
            <w:r>
              <w:rPr>
                <w:rFonts w:ascii="Times New Roman;Times;serif" w:hAnsi="Times New Roman;Times;serif"/>
                <w:caps w:val="false"/>
                <w:smallCaps w:val="false"/>
                <w:sz w:val="20"/>
              </w:rPr>
              <w:t>” Costs incurred to obtain access to proved reserves and to provide facilities for extracting, treating, gathering and storing the crude oil and natural gas. For a complete definition of development costs, refer to the SEC’s Regulation S-X, Rule 4-10(a)(7).</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project</w:t>
            </w:r>
            <w:r>
              <w:rPr>
                <w:rFonts w:ascii="Times New Roman;Times;serif" w:hAnsi="Times New Roman;Times;serif"/>
                <w:caps w:val="false"/>
                <w:smallCaps w:val="false"/>
                <w:sz w:val="20"/>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Development well</w:t>
            </w:r>
            <w:r>
              <w:rPr>
                <w:rFonts w:ascii="Times New Roman;Times;serif" w:hAnsi="Times New Roman;Times;serif"/>
                <w:caps w:val="false"/>
                <w:smallCaps w:val="false"/>
                <w:sz w:val="20"/>
              </w:rPr>
              <w:t>” A well drilled within the proved area of a crude oil or natural gas reservoir to the depth of a stratigraphic horizon known to be productive.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Differential</w:t>
            </w:r>
            <w:r>
              <w:rPr>
                <w:rFonts w:ascii="Times New Roman;Times;serif" w:hAnsi="Times New Roman;Times;serif"/>
                <w:caps w:val="false"/>
                <w:smallCaps w:val="false"/>
                <w:sz w:val="20"/>
              </w:rPr>
              <w:t>” An adjustment to the price of crude oil, NGL or natural gas from an established spot market price to reflect differences in the quality and/or location of crude oil, NGL or natural gas.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Dry hole</w:t>
            </w:r>
            <w:r>
              <w:rPr>
                <w:rFonts w:ascii="Times New Roman;Times;serif" w:hAnsi="Times New Roman;Times;serif"/>
                <w:caps w:val="false"/>
                <w:smallCaps w:val="false"/>
                <w:sz w:val="20"/>
              </w:rPr>
              <w:t>” or “</w:t>
            </w:r>
            <w:r>
              <w:rPr>
                <w:rFonts w:ascii="Times New Roman;Times;serif" w:hAnsi="Times New Roman;Times;serif"/>
                <w:b/>
                <w:i/>
                <w:caps w:val="false"/>
                <w:smallCaps w:val="false"/>
                <w:sz w:val="20"/>
              </w:rPr>
              <w:t>dry well</w:t>
            </w:r>
            <w:r>
              <w:rPr>
                <w:rFonts w:ascii="Times New Roman;Times;serif" w:hAnsi="Times New Roman;Times;serif"/>
                <w:caps w:val="false"/>
                <w:smallCaps w:val="false"/>
                <w:sz w:val="20"/>
              </w:rPr>
              <w:t>” A well found to be incapable of producing hydrocarbons in sufficient quantities such that proceeds from the sale of such production exceed production expenses and taxes.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Economically producible</w:t>
            </w:r>
            <w:r>
              <w:rPr>
                <w:rFonts w:ascii="Times New Roman;Times;serif" w:hAnsi="Times New Roman;Times;serif"/>
                <w:caps w:val="false"/>
                <w:smallCaps w:val="false"/>
                <w:sz w:val="20"/>
              </w:rPr>
              <w:t>” The term economically producible, as it relates to a resource, means a resource which generates revenue that exceeds, or is reasonably expected to exceed, the costs of the operation.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Eighth Amendment</w:t>
            </w:r>
            <w:r>
              <w:rPr>
                <w:rFonts w:ascii="Times New Roman;Times;serif" w:hAnsi="Times New Roman;Times;serif"/>
                <w:caps w:val="false"/>
                <w:smallCaps w:val="false"/>
                <w:sz w:val="20"/>
              </w:rPr>
              <w:t>” means the Eighth Amendment to Prior Credit Agreement, dated as of March 14, 2023, by and among HighPeak Energy, Inc., as Borrower, Wells Fargo Bank, National Association, as administrative agent, the guarantors party thereto and the lenders party thereto.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EUR</w:t>
            </w:r>
            <w:r>
              <w:rPr>
                <w:rFonts w:ascii="Times New Roman" w:hAnsi="Times New Roman"/>
                <w:caps w:val="false"/>
                <w:smallCaps w:val="false"/>
                <w:sz w:val="20"/>
              </w:rPr>
              <w:t>” or “</w:t>
            </w:r>
            <w:r>
              <w:rPr>
                <w:rFonts w:ascii="Times New Roman" w:hAnsi="Times New Roman"/>
                <w:b/>
                <w:i/>
                <w:caps w:val="false"/>
                <w:smallCaps w:val="false"/>
                <w:sz w:val="20"/>
              </w:rPr>
              <w:t>Estimated ultimate recovery</w:t>
            </w:r>
            <w:r>
              <w:rPr>
                <w:rFonts w:ascii="Times New Roman" w:hAnsi="Times New Roman"/>
                <w:caps w:val="false"/>
                <w:smallCaps w:val="false"/>
                <w:sz w:val="20"/>
              </w:rPr>
              <w:t>” The sum of reserves remaining as of a given date and cumulative production as of that date.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Exploratory well</w:t>
            </w:r>
            <w:r>
              <w:rPr>
                <w:rFonts w:ascii="Times New Roman" w:hAnsi="Times New Roman"/>
                <w:caps w:val="false"/>
                <w:smallCaps w:val="false"/>
                <w:sz w:val="20"/>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Extension well</w:t>
            </w:r>
            <w:r>
              <w:rPr>
                <w:rFonts w:ascii="Times New Roman" w:hAnsi="Times New Roman"/>
                <w:caps w:val="false"/>
                <w:smallCaps w:val="false"/>
                <w:sz w:val="20"/>
              </w:rPr>
              <w:t>” An extension well is a well drilled to extend the limits of a known reservoir.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FASB</w:t>
            </w:r>
            <w:r>
              <w:rPr>
                <w:rFonts w:ascii="Times New Roman" w:hAnsi="Times New Roman"/>
                <w:caps w:val="false"/>
                <w:smallCaps w:val="false"/>
                <w:sz w:val="20"/>
              </w:rPr>
              <w:t>” Financial Accounting Standards Board.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Field</w:t>
            </w:r>
            <w:r>
              <w:rPr>
                <w:rFonts w:ascii="Times New Roman" w:hAnsi="Times New Roman"/>
                <w:caps w:val="false"/>
                <w:smallCaps w:val="false"/>
                <w:sz w:val="20"/>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Fifth Amendment</w:t>
            </w:r>
            <w:r>
              <w:rPr>
                <w:rFonts w:ascii="Times New Roman" w:hAnsi="Times New Roman"/>
                <w:caps w:val="false"/>
                <w:smallCaps w:val="false"/>
                <w:sz w:val="20"/>
              </w:rPr>
              <w:t>” means the Fifth Amendment to Prior Credit Agreement, dated as of October 14, 2022, by and among HighPeak Energy, Inc., as Borrower, Fifth Third Bank, National Association, as the existing administrative agent, Wells Fargo Bank, National Association, as the new administrative agent, the guarantors party thereto and the lenders party thereto.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Formation</w:t>
            </w:r>
            <w:r>
              <w:rPr>
                <w:rFonts w:ascii="Times New Roman" w:hAnsi="Times New Roman"/>
                <w:caps w:val="false"/>
                <w:smallCaps w:val="false"/>
                <w:sz w:val="20"/>
              </w:rPr>
              <w:t>” A layer of rock which has distinct characteristics that differs from nearby rocks.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Fourth Amendment</w:t>
            </w:r>
            <w:r>
              <w:rPr>
                <w:rFonts w:ascii="Times New Roman" w:hAnsi="Times New Roman"/>
                <w:caps w:val="false"/>
                <w:smallCaps w:val="false"/>
                <w:sz w:val="20"/>
              </w:rPr>
              <w:t>” means the Fourth Amendment to Prior Credit Agreement, dated as of June 27, 2022, among HighPeak Energy, Inc., as Borrower, Fifth Third Bank, National Association, as administrative agent, and the guarantors party thereto and lenders party thereto.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accounting principles generally accepted in the United States of America.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Gross wells</w:t>
            </w:r>
            <w:r>
              <w:rPr>
                <w:rFonts w:ascii="Times New Roman" w:hAnsi="Times New Roman"/>
                <w:caps w:val="false"/>
                <w:smallCaps w:val="false"/>
                <w:sz w:val="20"/>
              </w:rPr>
              <w:t>” means the total wells in which a working interest is owned.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Hannathon Acquisition</w:t>
            </w:r>
            <w:r>
              <w:rPr>
                <w:rFonts w:ascii="Times New Roman" w:hAnsi="Times New Roman"/>
                <w:caps w:val="false"/>
                <w:smallCaps w:val="false"/>
                <w:sz w:val="20"/>
              </w:rPr>
              <w:t>” means the acquisition of various crude oil and natural gas properties largely contiguous to the Company’s Signal Peak operating area in Howard County, Texas pursuant to that certain Purchase and Sale Agreement dated as of April 26, 2022, with Hannathon Petroleum, LLC and certain other third-party private sellers set forth therein.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Held by production</w:t>
            </w:r>
            <w:r>
              <w:rPr>
                <w:rFonts w:ascii="Times New Roman" w:hAnsi="Times New Roman"/>
                <w:caps w:val="false"/>
                <w:smallCaps w:val="false"/>
                <w:sz w:val="20"/>
              </w:rPr>
              <w:t>” Acreage covered by a mineral lease that perpetuates a company’s right to operate a property as long as the property produces a minimum paying quantity of crude oil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HH</w:t>
            </w:r>
            <w:r>
              <w:rPr>
                <w:rFonts w:ascii="Times New Roman" w:hAnsi="Times New Roman"/>
                <w:caps w:val="false"/>
                <w:smallCaps w:val="false"/>
                <w:sz w:val="20"/>
              </w:rPr>
              <w:t>” means Henry Hub, a distribution hub in Louisiana that serves as the delivery location for natural gas futures contracts on the NYMEX.</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HighPeak Energy</w:t>
            </w:r>
            <w:r>
              <w:rPr>
                <w:rFonts w:ascii="Times New Roman" w:hAnsi="Times New Roman"/>
                <w:caps w:val="false"/>
                <w:smallCaps w:val="false"/>
                <w:sz w:val="20"/>
              </w:rPr>
              <w:t>” or the “</w:t>
            </w:r>
            <w:r>
              <w:rPr>
                <w:rFonts w:ascii="Times New Roman" w:hAnsi="Times New Roman"/>
                <w:b/>
                <w:i/>
                <w:caps w:val="false"/>
                <w:smallCaps w:val="false"/>
                <w:sz w:val="20"/>
              </w:rPr>
              <w:t>Company</w:t>
            </w:r>
            <w:r>
              <w:rPr>
                <w:rFonts w:ascii="Times New Roman" w:hAnsi="Times New Roman"/>
                <w:caps w:val="false"/>
                <w:smallCaps w:val="false"/>
                <w:sz w:val="20"/>
              </w:rPr>
              <w:t>” means HighPeak Energy, Inc. and its subsidiaries.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Horizontal drilling</w:t>
            </w:r>
            <w:r>
              <w:rPr>
                <w:rFonts w:ascii="Times New Roman" w:hAnsi="Times New Roman"/>
                <w:caps w:val="false"/>
                <w:smallCaps w:val="false"/>
                <w:sz w:val="20"/>
              </w:rPr>
              <w:t>” A drilling technique used in certain formations where a well is drilled vertically to a certain depth and then drilled at a right angle within a specified interval.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Hydraulic fracturing</w:t>
            </w:r>
            <w:r>
              <w:rPr>
                <w:rFonts w:ascii="Times New Roman" w:hAnsi="Times New Roman"/>
                <w:caps w:val="false"/>
                <w:smallCaps w:val="false"/>
                <w:sz w:val="20"/>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Lease operating expenses</w:t>
            </w:r>
            <w:r>
              <w:rPr>
                <w:rFonts w:ascii="Times New Roman" w:hAnsi="Times New Roman"/>
                <w:caps w:val="false"/>
                <w:smallCaps w:val="false"/>
                <w:sz w:val="20"/>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MBbl</w:t>
            </w:r>
            <w:r>
              <w:rPr>
                <w:rFonts w:ascii="Times New Roman" w:hAnsi="Times New Roman"/>
                <w:caps w:val="false"/>
                <w:smallCaps w:val="false"/>
                <w:sz w:val="20"/>
              </w:rPr>
              <w:t>” means one thousand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MBoe</w:t>
            </w:r>
            <w:r>
              <w:rPr>
                <w:rFonts w:ascii="Times New Roman" w:hAnsi="Times New Roman"/>
                <w:caps w:val="false"/>
                <w:smallCaps w:val="false"/>
                <w:sz w:val="20"/>
              </w:rPr>
              <w:t>” means one thousand Boes.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Mcf</w:t>
            </w:r>
            <w:r>
              <w:rPr>
                <w:rFonts w:ascii="Times New Roman" w:hAnsi="Times New Roman"/>
                <w:caps w:val="false"/>
                <w:smallCaps w:val="false"/>
                <w:sz w:val="20"/>
              </w:rPr>
              <w:t>” means one thousand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MMBbl</w:t>
            </w:r>
            <w:r>
              <w:rPr>
                <w:rFonts w:ascii="Times New Roman" w:hAnsi="Times New Roman"/>
                <w:caps w:val="false"/>
                <w:smallCaps w:val="false"/>
                <w:sz w:val="20"/>
              </w:rPr>
              <w:t>” means one million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MMBtu</w:t>
            </w:r>
            <w:r>
              <w:rPr>
                <w:rFonts w:ascii="Times New Roman" w:hAnsi="Times New Roman"/>
                <w:caps w:val="false"/>
                <w:smallCaps w:val="false"/>
                <w:sz w:val="20"/>
              </w:rPr>
              <w:t>” means one million Btus.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MMcf</w:t>
            </w:r>
            <w:r>
              <w:rPr>
                <w:rFonts w:ascii="Times New Roman" w:hAnsi="Times New Roman"/>
                <w:caps w:val="false"/>
                <w:smallCaps w:val="false"/>
                <w:sz w:val="20"/>
              </w:rPr>
              <w:t>” means one million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acres</w:t>
            </w:r>
            <w:r>
              <w:rPr>
                <w:rFonts w:ascii="Times New Roman" w:hAnsi="Times New Roman"/>
                <w:caps w:val="false"/>
                <w:smallCaps w:val="false"/>
                <w:sz w:val="20"/>
              </w:rPr>
              <w:t>” The percentage of total acres an owner has out of a particular number of gross acres or a specified tract. As an example. an owner who has 50% interest in 100 gross acres owns 50 net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production</w:t>
            </w:r>
            <w:r>
              <w:rPr>
                <w:rFonts w:ascii="Times New Roman" w:hAnsi="Times New Roman"/>
                <w:caps w:val="false"/>
                <w:smallCaps w:val="false"/>
                <w:sz w:val="20"/>
              </w:rPr>
              <w:t>” Production that is owned by us, less royalties and production due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NGL</w:t>
            </w:r>
            <w:r>
              <w:rPr>
                <w:rFonts w:ascii="Times New Roman" w:hAnsi="Times New Roman"/>
                <w:caps w:val="false"/>
                <w:smallCaps w:val="false"/>
                <w:sz w:val="20"/>
              </w:rPr>
              <w:t>” means natural gas liquids, which are the heavier hydrocarbon liquids that are separated from the natural gas stream; such liquids include ethane, propane, isobutane, normal butane and gasoline.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Ninth Amendment</w:t>
            </w:r>
            <w:r>
              <w:rPr>
                <w:rFonts w:ascii="Times New Roman" w:hAnsi="Times New Roman"/>
                <w:caps w:val="false"/>
                <w:smallCaps w:val="false"/>
                <w:sz w:val="20"/>
              </w:rPr>
              <w:t>” means the Ninth Amendment to Prior Credit Agreement, dated as of July 12, 2023,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NYMEX</w:t>
            </w:r>
            <w:r>
              <w:rPr>
                <w:rFonts w:ascii="Times New Roman" w:hAnsi="Times New Roman"/>
                <w:caps w:val="false"/>
                <w:smallCaps w:val="false"/>
                <w:sz w:val="20"/>
              </w:rPr>
              <w:t>” means the New York Mercantile Exchange.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OPEC</w:t>
            </w:r>
            <w:r>
              <w:rPr>
                <w:rFonts w:ascii="Times New Roman" w:hAnsi="Times New Roman"/>
                <w:caps w:val="false"/>
                <w:smallCaps w:val="false"/>
                <w:sz w:val="20"/>
              </w:rPr>
              <w:t>” means the Organization of Petroleum Exporting Countries.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Operator</w:t>
            </w:r>
            <w:r>
              <w:rPr>
                <w:rFonts w:ascii="Times New Roman" w:hAnsi="Times New Roman"/>
                <w:caps w:val="false"/>
                <w:smallCaps w:val="false"/>
                <w:sz w:val="20"/>
              </w:rPr>
              <w:t>” The individual or company responsible for the exploration and/or production of a crude oil or natural gas well or lease.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Plugging</w:t>
            </w:r>
            <w:r>
              <w:rPr>
                <w:rFonts w:ascii="Times New Roman" w:hAnsi="Times New Roman"/>
                <w:caps w:val="false"/>
                <w:smallCaps w:val="false"/>
                <w:sz w:val="20"/>
              </w:rPr>
              <w:t>” A downhole tool that is set inside the casing to isolate the lower part of the wellbore.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Pooling</w:t>
            </w:r>
            <w:r>
              <w:rPr>
                <w:rFonts w:ascii="Times New Roman" w:hAnsi="Times New Roman"/>
                <w:caps w:val="false"/>
                <w:smallCaps w:val="false"/>
                <w:sz w:val="20"/>
              </w:rPr>
              <w:t>” The bringing together of small tracts or fractional mineral interests in one or more tracts to form a drilling and production unit for a well under applicable spacing rules.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Predecessor</w:t>
            </w:r>
            <w:r>
              <w:rPr>
                <w:rFonts w:ascii="Times New Roman" w:hAnsi="Times New Roman"/>
                <w:caps w:val="false"/>
                <w:smallCaps w:val="false"/>
                <w:sz w:val="20"/>
              </w:rPr>
              <w:t>” refers to HPK LP for the period from January 1, 2020 to August 20, 2020.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Prior Credit Agreement</w:t>
            </w:r>
            <w:r>
              <w:rPr>
                <w:rFonts w:ascii="Times New Roman" w:hAnsi="Times New Roman"/>
                <w:caps w:val="false"/>
                <w:smallCaps w:val="false"/>
                <w:sz w:val="20"/>
              </w:rPr>
              <w:t>” means the Company’s Credit Agreement, dated as of December 17, 2020, as amended from time to time, among HighPeak Energy, Inc., as Borrower, Wells Fargo Bank, National Association, as administrative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Production costs</w:t>
            </w:r>
            <w:r>
              <w:rPr>
                <w:rFonts w:ascii="Times New Roman" w:hAnsi="Times New Roman"/>
                <w:caps w:val="false"/>
                <w:smallCaps w:val="false"/>
                <w:sz w:val="20"/>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Productive well</w:t>
            </w:r>
            <w:r>
              <w:rPr>
                <w:rFonts w:ascii="Times New Roman" w:hAnsi="Times New Roman"/>
                <w:caps w:val="false"/>
                <w:smallCaps w:val="false"/>
                <w:sz w:val="20"/>
              </w:rPr>
              <w:t>” A well that is found to be capable of producing hydrocarbons in sufficient quantities such that proceeds from the sale of the production exceed production expenses and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Proration unit</w:t>
            </w:r>
            <w:r>
              <w:rPr>
                <w:rFonts w:ascii="Times New Roman" w:hAnsi="Times New Roman"/>
                <w:caps w:val="false"/>
                <w:smallCaps w:val="false"/>
                <w:sz w:val="20"/>
              </w:rPr>
              <w:t>” A unit that can be effectively and efficiently drained by one well, as allocated by a governmental agency having regulatory jurisdiction.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Prospect</w:t>
            </w:r>
            <w:r>
              <w:rPr>
                <w:rFonts w:ascii="Times New Roman" w:hAnsi="Times New Roman"/>
                <w:caps w:val="false"/>
                <w:smallCaps w:val="false"/>
                <w:sz w:val="20"/>
              </w:rPr>
              <w:t>” 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nonproducing reserves</w:t>
            </w:r>
            <w:r>
              <w:rPr>
                <w:rFonts w:ascii="Times New Roman" w:hAnsi="Times New Roman"/>
                <w:caps w:val="false"/>
                <w:smallCaps w:val="false"/>
                <w:sz w:val="20"/>
              </w:rPr>
              <w:t>” or “</w:t>
            </w:r>
            <w:r>
              <w:rPr>
                <w:rFonts w:ascii="Times New Roman" w:hAnsi="Times New Roman"/>
                <w:b/>
                <w:i/>
                <w:caps w:val="false"/>
                <w:smallCaps w:val="false"/>
                <w:sz w:val="20"/>
              </w:rPr>
              <w:t>PDNP</w:t>
            </w:r>
            <w:r>
              <w:rPr>
                <w:rFonts w:ascii="Times New Roman" w:hAnsi="Times New Roman"/>
                <w:caps w:val="false"/>
                <w:smallCaps w:val="false"/>
                <w:sz w:val="20"/>
              </w:rPr>
              <w:t>” means proved reserves that are developed nonproducing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producing reserves</w:t>
            </w:r>
            <w:r>
              <w:rPr>
                <w:rFonts w:ascii="Times New Roman" w:hAnsi="Times New Roman"/>
                <w:caps w:val="false"/>
                <w:smallCaps w:val="false"/>
                <w:sz w:val="20"/>
              </w:rPr>
              <w:t>” or “</w:t>
            </w:r>
            <w:r>
              <w:rPr>
                <w:rFonts w:ascii="Times New Roman" w:hAnsi="Times New Roman"/>
                <w:b/>
                <w:i/>
                <w:caps w:val="false"/>
                <w:smallCaps w:val="false"/>
                <w:sz w:val="20"/>
              </w:rPr>
              <w:t>PDP</w:t>
            </w:r>
            <w:r>
              <w:rPr>
                <w:rFonts w:ascii="Times New Roman" w:hAnsi="Times New Roman"/>
                <w:caps w:val="false"/>
                <w:smallCaps w:val="false"/>
                <w:sz w:val="20"/>
              </w:rPr>
              <w:t>” means proved reserves that are developed 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reserves</w:t>
            </w:r>
            <w:r>
              <w:rPr>
                <w:rFonts w:ascii="Times New Roman" w:hAnsi="Times New Roman"/>
                <w:caps w:val="false"/>
                <w:smallCaps w:val="false"/>
                <w:sz w:val="20"/>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reserves</w:t>
            </w:r>
            <w:r>
              <w:rPr>
                <w:rFonts w:ascii="Times New Roman" w:hAnsi="Times New Roman"/>
                <w:caps w:val="false"/>
                <w:smallCaps w:val="false"/>
                <w:sz w:val="20"/>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  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  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  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undeveloped reserves</w:t>
            </w:r>
            <w:r>
              <w:rPr>
                <w:rFonts w:ascii="Times New Roman" w:hAnsi="Times New Roman"/>
                <w:caps w:val="false"/>
                <w:smallCaps w:val="false"/>
                <w:sz w:val="20"/>
              </w:rPr>
              <w:t>” or “</w:t>
            </w:r>
            <w:r>
              <w:rPr>
                <w:rFonts w:ascii="Times New Roman" w:hAnsi="Times New Roman"/>
                <w:b/>
                <w:i/>
                <w:caps w:val="false"/>
                <w:smallCaps w:val="false"/>
                <w:sz w:val="20"/>
              </w:rPr>
              <w:t>PUD</w:t>
            </w:r>
            <w:r>
              <w:rPr>
                <w:rFonts w:ascii="Times New Roman" w:hAnsi="Times New Roman"/>
                <w:caps w:val="false"/>
                <w:smallCaps w:val="false"/>
                <w:sz w:val="20"/>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PV-10</w:t>
            </w:r>
            <w:r>
              <w:rPr>
                <w:rFonts w:ascii="Times New Roman" w:hAnsi="Times New Roman"/>
                <w:caps w:val="false"/>
                <w:smallCaps w:val="false"/>
                <w:sz w:val="20"/>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Realized price</w:t>
            </w:r>
            <w:r>
              <w:rPr>
                <w:rFonts w:ascii="Times New Roman" w:hAnsi="Times New Roman"/>
                <w:caps w:val="false"/>
                <w:smallCaps w:val="false"/>
                <w:sz w:val="20"/>
              </w:rPr>
              <w:t>” The cash market price less all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Recompletion</w:t>
            </w:r>
            <w:r>
              <w:rPr>
                <w:rFonts w:ascii="Times New Roman" w:hAnsi="Times New Roman"/>
                <w:caps w:val="false"/>
                <w:smallCaps w:val="false"/>
                <w:sz w:val="20"/>
              </w:rPr>
              <w:t>” The process of re-entering an existing wellbore that is either producing or not producing and completing new reservoirs or enhancing existing reservoirs in an attempt to establish or increase existing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Reserves</w:t>
            </w:r>
            <w:r>
              <w:rPr>
                <w:rFonts w:ascii="Times New Roman" w:hAnsi="Times New Roman"/>
                <w:caps w:val="false"/>
                <w:smallCaps w:val="false"/>
                <w:sz w:val="20"/>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Reservoir</w:t>
            </w:r>
            <w:r>
              <w:rPr>
                <w:rFonts w:ascii="Times New Roman" w:hAnsi="Times New Roman"/>
                <w:caps w:val="false"/>
                <w:smallCaps w:val="false"/>
                <w:sz w:val="20"/>
              </w:rPr>
              <w:t>” A porous and permeable underground formation containing a natural accumulation of producible crude oil and/or natural gas that is confined by impermeable rock or water barriers and is separate from other reservoirs.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Resources</w:t>
            </w:r>
            <w:r>
              <w:rPr>
                <w:rFonts w:ascii="Times New Roman" w:hAnsi="Times New Roman"/>
                <w:caps w:val="false"/>
                <w:smallCaps w:val="false"/>
                <w:sz w:val="20"/>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royalty</w:t>
            </w:r>
            <w:r>
              <w:rPr>
                <w:rFonts w:ascii="Times New Roman" w:hAnsi="Times New Roman"/>
                <w:caps w:val="false"/>
                <w:smallCaps w:val="false"/>
                <w:sz w:val="20"/>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United States Securities and Exchange Commission.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Senior Credit Facility Agreement</w:t>
            </w:r>
            <w:r>
              <w:rPr>
                <w:rFonts w:ascii="Times New Roman" w:hAnsi="Times New Roman"/>
                <w:caps w:val="false"/>
                <w:smallCaps w:val="false"/>
                <w:sz w:val="20"/>
              </w:rPr>
              <w:t>” means the Company’s Credit Agreement, dated as of November 1, 2023, among HighPeak Energy, Inc., as Borrower, Fifth Third Bank, National Association, as administrative agent and collateral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Service well</w:t>
            </w:r>
            <w:r>
              <w:rPr>
                <w:rFonts w:ascii="Times New Roman" w:hAnsi="Times New Roman"/>
                <w:caps w:val="false"/>
                <w:smallCaps w:val="false"/>
                <w:sz w:val="20"/>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Seventh Amendment</w:t>
            </w:r>
            <w:r>
              <w:rPr>
                <w:rFonts w:ascii="Times New Roman" w:hAnsi="Times New Roman"/>
                <w:caps w:val="false"/>
                <w:smallCaps w:val="false"/>
                <w:sz w:val="20"/>
              </w:rPr>
              <w:t>” means the Seventh Amendment to Prior Credit Agreement, dated as of December 9, 2022,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Sixth Amendment</w:t>
            </w:r>
            <w:r>
              <w:rPr>
                <w:rFonts w:ascii="Times New Roman" w:hAnsi="Times New Roman"/>
                <w:caps w:val="false"/>
                <w:smallCaps w:val="false"/>
                <w:sz w:val="20"/>
              </w:rPr>
              <w:t>” means the Sixth Amendment to Prior Credit Agreement, dated as of October 31, 2022, by and among HighPeak Energy, Inc., as Borrower, Wells Fargo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Spacing</w:t>
            </w:r>
            <w:r>
              <w:rPr>
                <w:rFonts w:ascii="Times New Roman" w:hAnsi="Times New Roman"/>
                <w:caps w:val="false"/>
                <w:smallCaps w:val="false"/>
                <w:sz w:val="20"/>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Spot market price</w:t>
            </w:r>
            <w:r>
              <w:rPr>
                <w:rFonts w:ascii="Times New Roman" w:hAnsi="Times New Roman"/>
                <w:caps w:val="false"/>
                <w:smallCaps w:val="false"/>
                <w:sz w:val="20"/>
              </w:rPr>
              <w:t>” The cash market price without reduction for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Standardized measure</w:t>
            </w:r>
            <w:r>
              <w:rPr>
                <w:rFonts w:ascii="Times New Roman" w:hAnsi="Times New Roman"/>
                <w:caps w:val="false"/>
                <w:smallCaps w:val="false"/>
                <w:sz w:val="20"/>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Stratigraphic test well</w:t>
            </w:r>
            <w:r>
              <w:rPr>
                <w:rFonts w:ascii="Times New Roman" w:hAnsi="Times New Roman"/>
                <w:caps w:val="false"/>
                <w:smallCaps w:val="false"/>
                <w:sz w:val="20"/>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Term Loan Credit Agreement</w:t>
            </w:r>
            <w:r>
              <w:rPr>
                <w:rFonts w:ascii="Times New Roman" w:hAnsi="Times New Roman"/>
                <w:caps w:val="false"/>
                <w:smallCaps w:val="false"/>
                <w:sz w:val="20"/>
              </w:rPr>
              <w:t>” means the Company’s Term Loan Credit Agreement, dated as of September 12, 2023, by and between HighPeak Energy, Inc., as borrower, Texas Capital Bank, as administrative agent, Chambers Energy Management, LP, as collateral agent, and the lenders from time-to-time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Third Amendment</w:t>
            </w:r>
            <w:r>
              <w:rPr>
                <w:rFonts w:ascii="Times New Roman" w:hAnsi="Times New Roman"/>
                <w:caps w:val="false"/>
                <w:smallCaps w:val="false"/>
                <w:sz w:val="20"/>
              </w:rPr>
              <w:t>” means the Third Amendment to Prior Credit Agreement, dated as of February 9, 2022, among HighPeak Energy, Inc., as Borrower, Fifth Third Bank, National Association, as administrative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Undeveloped acreage</w:t>
            </w:r>
            <w:r>
              <w:rPr>
                <w:rFonts w:ascii="Times New Roman" w:hAnsi="Times New Roman"/>
                <w:caps w:val="false"/>
                <w:smallCaps w:val="false"/>
                <w:sz w:val="20"/>
              </w:rPr>
              <w:t>” Lease acreage on which wells have not been drilled or completed to a point that would permit the production of commercial quantities of crude oil and natural gas regardless of whether such acreage contains proved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Unit</w:t>
            </w:r>
            <w:r>
              <w:rPr>
                <w:rFonts w:ascii="Times New Roman" w:hAnsi="Times New Roman"/>
                <w:caps w:val="false"/>
                <w:smallCaps w:val="false"/>
                <w:sz w:val="20"/>
              </w:rPr>
              <w:t>” The joining of all or substantially all interests in a reservoir or field, rather than a single tract, to provide for development and operation without regard to separate property interests. Also, the area covered by a unitization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caps w:val="false"/>
                <w:smallCaps w:val="false"/>
                <w:sz w:val="20"/>
              </w:rPr>
              <w:t>” means the United States.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warrants</w:t>
            </w:r>
            <w:r>
              <w:rPr>
                <w:rFonts w:ascii="Times New Roman" w:hAnsi="Times New Roman"/>
                <w:caps w:val="false"/>
                <w:smallCaps w:val="false"/>
                <w:sz w:val="20"/>
              </w:rPr>
              <w:t>” means warrants to purchase one share of HighPeak Energy common stock at a price of $11.50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Wellbore</w:t>
            </w:r>
            <w:r>
              <w:rPr>
                <w:rFonts w:ascii="Times New Roman" w:hAnsi="Times New Roman"/>
                <w:caps w:val="false"/>
                <w:smallCaps w:val="false"/>
                <w:sz w:val="20"/>
              </w:rPr>
              <w:t>” The hole drilled by the bit that is equipped for crude oil and natural gas production on a completed well. Also called well or borehole.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Working interes</w:t>
            </w:r>
            <w:r>
              <w:rPr>
                <w:rFonts w:ascii="Times New Roman" w:hAnsi="Times New Roman"/>
                <w:caps w:val="false"/>
                <w:smallCaps w:val="false"/>
                <w:sz w:val="20"/>
              </w:rPr>
              <w:t>t” The right granted to the lessee of a property to explore for and to produce and own crude oil, natural gas or other minerals. The working interest owners bear the exploration, development and operating costs on either a cash, penalty or carried basis.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Workover</w:t>
            </w:r>
            <w:r>
              <w:rPr>
                <w:rFonts w:ascii="Times New Roman" w:hAnsi="Times New Roman"/>
                <w:caps w:val="false"/>
                <w:smallCaps w:val="false"/>
                <w:sz w:val="20"/>
              </w:rPr>
              <w:t>” Operations on a producing well to restore or increase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WTI</w:t>
            </w:r>
            <w:r>
              <w:rPr>
                <w:rFonts w:ascii="Times New Roman" w:hAnsi="Times New Roman"/>
                <w:caps w:val="false"/>
                <w:smallCaps w:val="false"/>
                <w:sz w:val="20"/>
              </w:rPr>
              <w:t>” means West Texas Intermediate, a light sweet blend of crude oil produced from fields in western Texas and is a grade of crude oil used as a benchmark in crude oil pricing.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information on the working interest in wells and acreage, “</w:t>
            </w:r>
            <w:r>
              <w:rPr>
                <w:rFonts w:ascii="Times New Roman" w:hAnsi="Times New Roman"/>
                <w:b/>
                <w:i/>
                <w:caps w:val="false"/>
                <w:smallCaps w:val="false"/>
                <w:sz w:val="20"/>
              </w:rPr>
              <w:t>net</w:t>
            </w:r>
            <w:r>
              <w:rPr>
                <w:rFonts w:ascii="Times New Roman" w:hAnsi="Times New Roman"/>
                <w:caps w:val="false"/>
                <w:smallCaps w:val="false"/>
                <w:sz w:val="20"/>
              </w:rPr>
              <w:t>” wells and acres are determined by multiplying “</w:t>
            </w:r>
            <w:r>
              <w:rPr>
                <w:rFonts w:ascii="Times New Roman" w:hAnsi="Times New Roman"/>
                <w:b/>
                <w:i/>
                <w:caps w:val="false"/>
                <w:smallCaps w:val="false"/>
                <w:sz w:val="20"/>
              </w:rPr>
              <w:t>gross</w:t>
            </w:r>
            <w:r>
              <w:rPr>
                <w:rFonts w:ascii="Times New Roman" w:hAnsi="Times New Roman"/>
                <w:caps w:val="false"/>
                <w:smallCaps w:val="false"/>
                <w:sz w:val="20"/>
              </w:rPr>
              <w:t>” wells and acres by the Company’s working interest in such wells or acres. Unless otherwise specified, wells and acreage statistics quoted herein represent gross wells or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currency amounts are expressed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refinance or pay, when due, the principal of, interest or other amounts due in respect of our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liquidity, cash flow and access to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supply and demand for and market prices of crude oil, NGL, natural gas and other products or services, and the associated impact of our hedging policies relating thereto;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and other contractual obligations, including our obligations under our Term Loan Credit Agreement and Senior Credit Facility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results of our ongoing strategic alternatives review process;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political instability or armed conflict in crude oil or natural gas producing regions, such as the ongoing war between Russia and Ukraine and the Israel-Hamas conflict;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integration of acquisitions, including the Alamo Acquisitions and the Hannathon Acquisition;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availability of capital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reserve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drilling and completion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 rates and the impacts of associated monetary policy responses, including increased interest rates and resulting pressures on economic growth;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economic and competitive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impacts of the transition to an anticipated three-rig development program for the remainder of 2023;</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weather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availability of goods and services and supply chain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legislative, regulatory or policy changes;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cyber-attacks;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occurrence of property acquisitions or divestitures;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securities or capital markets and our ability to access such markets on attractive terms or at all, and related risks such as general credit, liquidity, market and interest-rate risks;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for the year ended December 31, 2022 filed with the SEC on March 6, 2023 (“Annual Report”) our Quarterly Reports on Form 10-Q for the quarters ended March 31, 2023, filed with the SEC on May 10, 2023, June 30, 2023, filed with the SEC on August 7, 2023, and this Quarterly Report, under “Part I, Item 2. Management’s Discussion and Analysis of Financial Condition and Results of Operations,” “Part II, Item 1A. Risk Factors” and “Part I, Item 3. 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43"/>
        <w:gridCol w:w="60"/>
        <w:gridCol w:w="141"/>
        <w:gridCol w:w="958"/>
        <w:gridCol w:w="80"/>
        <w:gridCol w:w="60"/>
        <w:gridCol w:w="139"/>
        <w:gridCol w:w="941"/>
        <w:gridCol w:w="83"/>
      </w:tblGrid>
      <w:tr>
        <w:trPr/>
        <w:tc>
          <w:tcPr>
            <w:tcW w:w="7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ind w:left="0" w:right="0" w:hanging="0"/>
              <w:jc w:val="left"/>
              <w:rPr/>
            </w:pPr>
            <w:r>
              <w:rPr/>
              <w:t> </w:t>
            </w:r>
          </w:p>
        </w:tc>
      </w:tr>
      <w:tr>
        <w:trPr/>
        <w:tc>
          <w:tcPr>
            <w:tcW w:w="7743" w:type="dxa"/>
            <w:tcBorders/>
            <w:shd w:fill="CCEE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30,504</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96,596</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13,275</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Prepaid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900" w:right="0" w:hanging="0"/>
              <w:jc w:val="left"/>
              <w:rPr/>
            </w:pPr>
            <w:r>
              <w:rPr/>
              <w:t> </w:t>
            </w:r>
          </w:p>
        </w:tc>
      </w:tr>
      <w:tr>
        <w:trPr/>
        <w:tc>
          <w:tcPr>
            <w:tcW w:w="7743" w:type="dxa"/>
            <w:tcBorders/>
            <w:shd w:fill="FFFF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297,892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144,525</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7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properties, using the successful efforts method of accounting: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Proved properties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3,151,619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2,270,236</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Unproved properties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114,665</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Accumulated 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(551,373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(259,962</w:t>
            </w:r>
          </w:p>
        </w:tc>
        <w:tc>
          <w:tcPr>
            <w:tcW w:w="83" w:type="dxa"/>
            <w:tcBorders>
              <w:bottom w:val="single" w:sz="2" w:space="0" w:color="000000"/>
            </w:tcBorders>
            <w:shd w:fill="FFFFFF" w:val="clear"/>
            <w:tcMar>
              <w:bottom w:w="28" w:type="dxa"/>
            </w:tcM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43" w:type="dxa"/>
            <w:tcBorders/>
            <w:shd w:fill="CCEE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Total crude oil and natural gas properties, net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2,680,207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2,124,939</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3,587</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74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Total assets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2,988,867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2,279,482</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743"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Current maturities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Accrued capital expenditures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91,842</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 trade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105,565</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Revenues and royalties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15,623</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15,600</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13,152</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Advances from joint interest owners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7,302</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900" w:right="0" w:hanging="0"/>
              <w:jc w:val="left"/>
              <w:rPr/>
            </w:pPr>
            <w:r>
              <w:rPr/>
              <w:t> </w:t>
            </w:r>
          </w:p>
        </w:tc>
      </w:tr>
      <w:tr>
        <w:trPr/>
        <w:tc>
          <w:tcPr>
            <w:tcW w:w="7743" w:type="dxa"/>
            <w:tcBorders/>
            <w:shd w:fill="FFFF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266,129</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131,164</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7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720" w:right="0" w:hanging="0"/>
              <w:jc w:val="left"/>
              <w:rPr/>
            </w:pPr>
            <w:r>
              <w:rPr/>
              <w:t> </w:t>
            </w:r>
          </w:p>
        </w:tc>
      </w:tr>
      <w:tr>
        <w:trPr/>
        <w:tc>
          <w:tcPr>
            <w:tcW w:w="7743" w:type="dxa"/>
            <w:tcBorders/>
            <w:shd w:fill="CCEEFF" w:val="clear"/>
            <w:vAlign w:val="center"/>
          </w:tcPr>
          <w:p>
            <w:pPr>
              <w:pStyle w:val="TableContents"/>
              <w:bidi w:val="0"/>
              <w:spacing w:before="0" w:after="0"/>
              <w:ind w:left="14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$0.0001 par value, 10,000,000 shares authorized, none issued and outstanding at September 30, 2023 and December 31, 2022</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ind w:left="720" w:right="0" w:hanging="0"/>
              <w:jc w:val="left"/>
              <w:rPr/>
            </w:pPr>
            <w:r>
              <w:rPr/>
              <w:t> </w:t>
            </w:r>
          </w:p>
        </w:tc>
      </w:tr>
      <w:tr>
        <w:trPr/>
        <w:tc>
          <w:tcPr>
            <w:tcW w:w="7743" w:type="dxa"/>
            <w:tcBorders/>
            <w:shd w:fill="FFFFFF" w:val="clear"/>
            <w:vAlign w:val="center"/>
          </w:tcPr>
          <w:p>
            <w:pPr>
              <w:pStyle w:val="TableContents"/>
              <w:bidi w:val="0"/>
              <w:spacing w:before="0" w:after="0"/>
              <w:ind w:left="14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600,000,000 shares authorized, 128,220,923 and 113,165,027 shares issued and outstanding at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3" w:type="dxa"/>
            <w:tcBorders/>
            <w:shd w:fill="FFFFFF" w:val="clear"/>
            <w:vAlign w:val="center"/>
          </w:tcPr>
          <w:p>
            <w:pPr>
              <w:pStyle w:val="TableContents"/>
              <w:bidi w:val="0"/>
              <w:spacing w:before="0" w:after="283"/>
              <w:ind w:left="540" w:right="0" w:hanging="0"/>
              <w:jc w:val="left"/>
              <w:rPr/>
            </w:pPr>
            <w:r>
              <w:rPr/>
              <w:t> </w:t>
            </w:r>
          </w:p>
        </w:tc>
      </w:tr>
      <w:tr>
        <w:trPr/>
        <w:tc>
          <w:tcPr>
            <w:tcW w:w="774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1,008,896</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4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271,827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160,740</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900" w:right="0" w:hanging="0"/>
              <w:jc w:val="left"/>
              <w:rPr/>
            </w:pPr>
            <w:r>
              <w:rPr/>
              <w:t> </w:t>
            </w:r>
          </w:p>
        </w:tc>
      </w:tr>
      <w:tr>
        <w:trPr/>
        <w:tc>
          <w:tcPr>
            <w:tcW w:w="7743" w:type="dxa"/>
            <w:tcBorders/>
            <w:shd w:fill="CCEE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1,455,102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1,169,647</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7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Total 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2,988,867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2,279,482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593" w:type="dxa"/>
        <w:jc w:val="left"/>
        <w:tblInd w:w="0" w:type="dxa"/>
        <w:tblLayout w:type="fixed"/>
        <w:tblCellMar>
          <w:top w:w="0" w:type="dxa"/>
          <w:left w:w="0" w:type="dxa"/>
          <w:bottom w:w="0" w:type="dxa"/>
          <w:right w:w="0" w:type="dxa"/>
        </w:tblCellMar>
      </w:tblPr>
      <w:tblGrid>
        <w:gridCol w:w="3365"/>
        <w:gridCol w:w="60"/>
        <w:gridCol w:w="213"/>
        <w:gridCol w:w="1185"/>
        <w:gridCol w:w="136"/>
        <w:gridCol w:w="102"/>
        <w:gridCol w:w="213"/>
        <w:gridCol w:w="1185"/>
        <w:gridCol w:w="80"/>
        <w:gridCol w:w="60"/>
        <w:gridCol w:w="198"/>
        <w:gridCol w:w="1196"/>
        <w:gridCol w:w="126"/>
        <w:gridCol w:w="95"/>
        <w:gridCol w:w="198"/>
        <w:gridCol w:w="1101"/>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6"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338,372</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790,458</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467,305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and natural gas sales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7,214</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19,682</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30,466</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3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345,586</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810,140</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497,771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39,820</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107,696</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45,748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18,839</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44,395</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117,420</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291,562</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94,531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11,952</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14,057</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22,095</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29,210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198,920</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482,432</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202,083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8,042</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146,126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319,666</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295,688</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(37,022</w:t>
            </w:r>
          </w:p>
        </w:tc>
        <w:tc>
          <w:tcPr>
            <w:tcW w:w="1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(103,278</w:t>
            </w:r>
          </w:p>
        </w:tc>
        <w:tc>
          <w:tcPr>
            <w:tcW w:w="1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(29,142</w:t>
            </w:r>
          </w:p>
        </w:tc>
        <w:tc>
          <w:tcPr>
            <w:tcW w:w="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(loss) on derivative instruments,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(29,655</w:t>
            </w:r>
          </w:p>
        </w:tc>
        <w:tc>
          <w:tcPr>
            <w:tcW w:w="1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(30,898</w:t>
            </w:r>
          </w:p>
        </w:tc>
        <w:tc>
          <w:tcPr>
            <w:tcW w:w="1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(42,487</w:t>
            </w:r>
          </w:p>
        </w:tc>
        <w:tc>
          <w:tcPr>
            <w:tcW w:w="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(27,300</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(27,300</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52,879</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159,113</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224,312</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14,100</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38,779</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107,904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120,862</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168,955</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0.94</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123,159</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115,164</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102,614</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127,006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120,531</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109,144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0.025</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0.075</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tbl>
      <w:tblPr>
        <w:tblW w:w="10205" w:type="dxa"/>
        <w:jc w:val="left"/>
        <w:tblInd w:w="0" w:type="dxa"/>
        <w:tblLayout w:type="fixed"/>
        <w:tblCellMar>
          <w:top w:w="0" w:type="dxa"/>
          <w:left w:w="0" w:type="dxa"/>
          <w:bottom w:w="0" w:type="dxa"/>
          <w:right w:w="0" w:type="dxa"/>
        </w:tblCellMar>
      </w:tblPr>
      <w:tblGrid>
        <w:gridCol w:w="4225"/>
        <w:gridCol w:w="60"/>
        <w:gridCol w:w="89"/>
        <w:gridCol w:w="906"/>
        <w:gridCol w:w="60"/>
        <w:gridCol w:w="60"/>
        <w:gridCol w:w="220"/>
        <w:gridCol w:w="520"/>
        <w:gridCol w:w="60"/>
        <w:gridCol w:w="60"/>
        <w:gridCol w:w="155"/>
        <w:gridCol w:w="1050"/>
        <w:gridCol w:w="80"/>
        <w:gridCol w:w="60"/>
        <w:gridCol w:w="111"/>
        <w:gridCol w:w="614"/>
        <w:gridCol w:w="80"/>
        <w:gridCol w:w="60"/>
        <w:gridCol w:w="212"/>
        <w:gridCol w:w="1428"/>
        <w:gridCol w:w="95"/>
      </w:tblGrid>
      <w:tr>
        <w:trPr/>
        <w:tc>
          <w:tcPr>
            <w:tcW w:w="6140"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Three and Nine Months Ended September 30, 2023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Paid-in-Capital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Retained</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 Equity</w:t>
            </w:r>
          </w:p>
        </w:tc>
        <w:tc>
          <w:tcPr>
            <w:tcW w:w="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2022</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1,008,896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1,169,647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(2,829</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Exercise of warrants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42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upon options being exercised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42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50,257</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2023</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1,013,100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1,220,991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(2,830</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Exercise of warrants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1,726</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42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shares issued to outside directors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42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31,826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31,826</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2023</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1,018,810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1,255,410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(3,205</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issued in public offering</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155,768</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issuance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(5,371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(5,371</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42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14,057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38,779</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September 30, 2023</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128,221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1,183,262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271,827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1,455,102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1"/>
        <w:gridCol w:w="60"/>
        <w:gridCol w:w="89"/>
        <w:gridCol w:w="906"/>
        <w:gridCol w:w="60"/>
        <w:gridCol w:w="60"/>
        <w:gridCol w:w="220"/>
        <w:gridCol w:w="520"/>
        <w:gridCol w:w="60"/>
        <w:gridCol w:w="60"/>
        <w:gridCol w:w="155"/>
        <w:gridCol w:w="1050"/>
        <w:gridCol w:w="80"/>
        <w:gridCol w:w="60"/>
        <w:gridCol w:w="256"/>
        <w:gridCol w:w="1412"/>
        <w:gridCol w:w="80"/>
        <w:gridCol w:w="60"/>
        <w:gridCol w:w="212"/>
        <w:gridCol w:w="1428"/>
        <w:gridCol w:w="96"/>
      </w:tblGrid>
      <w:tr>
        <w:trPr/>
        <w:tc>
          <w:tcPr>
            <w:tcW w:w="5196"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Three and Nine Months Ended September 30, 2022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r>
      <w:tr>
        <w:trPr/>
        <w:tc>
          <w:tcPr>
            <w:tcW w:w="3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Paid-in-Capital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Retained Earnings</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 Equity</w:t>
            </w:r>
          </w:p>
        </w:tc>
        <w:tc>
          <w:tcPr>
            <w:tcW w:w="9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2021</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(64,436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553,063</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(2,434</w:t>
            </w:r>
          </w:p>
        </w:tc>
        <w:tc>
          <w:tcPr>
            <w:tcW w:w="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issued for acquisition</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156,599</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issuance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Exercise of warrants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779</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180" w:right="0" w:hanging="0"/>
              <w:jc w:val="left"/>
              <w:rPr/>
            </w:pPr>
            <w:r>
              <w:rPr/>
              <w:t> </w:t>
            </w:r>
          </w:p>
        </w:tc>
      </w:tr>
      <w:tr>
        <w:trPr/>
        <w:tc>
          <w:tcPr>
            <w:tcW w:w="328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upon options being exercised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w:t>
            </w:r>
          </w:p>
        </w:tc>
        <w:tc>
          <w:tcPr>
            <w:tcW w:w="96" w:type="dxa"/>
            <w:tcBorders/>
            <w:shd w:fill="FFFFFF" w:val="clear"/>
            <w:vAlign w:val="center"/>
          </w:tcPr>
          <w:p>
            <w:pPr>
              <w:pStyle w:val="TableContents"/>
              <w:bidi w:val="0"/>
              <w:spacing w:before="0" w:after="283"/>
              <w:ind w:left="180" w:right="0" w:hanging="0"/>
              <w:jc w:val="left"/>
              <w:rPr/>
            </w:pPr>
            <w:r>
              <w:rPr/>
              <w:t> </w:t>
            </w:r>
          </w:p>
        </w:tc>
      </w:tr>
      <w:tr>
        <w:trPr/>
        <w:tc>
          <w:tcPr>
            <w:tcW w:w="328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2,614</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(16,510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(16,510</w:t>
            </w:r>
          </w:p>
        </w:tc>
        <w:tc>
          <w:tcPr>
            <w:tcW w:w="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2022</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777,501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(83,630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693,881</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(2,630</w:t>
            </w:r>
          </w:p>
        </w:tc>
        <w:tc>
          <w:tcPr>
            <w:tcW w:w="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issued for acquisitions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108,383</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issuance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Exercise of warrants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6,971</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180" w:right="0" w:hanging="0"/>
              <w:jc w:val="left"/>
              <w:rPr/>
            </w:pPr>
            <w:r>
              <w:rPr/>
              <w:t> </w:t>
            </w:r>
          </w:p>
        </w:tc>
      </w:tr>
      <w:tr>
        <w:trPr/>
        <w:tc>
          <w:tcPr>
            <w:tcW w:w="328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upon options being exercised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96" w:type="dxa"/>
            <w:tcBorders/>
            <w:shd w:fill="FFFFFF" w:val="clear"/>
            <w:vAlign w:val="center"/>
          </w:tcPr>
          <w:p>
            <w:pPr>
              <w:pStyle w:val="TableContents"/>
              <w:bidi w:val="0"/>
              <w:spacing w:before="0" w:after="283"/>
              <w:ind w:left="180" w:right="0" w:hanging="0"/>
              <w:jc w:val="left"/>
              <w:rPr/>
            </w:pPr>
            <w:r>
              <w:rPr/>
              <w:t> </w:t>
            </w:r>
          </w:p>
        </w:tc>
      </w:tr>
      <w:tr>
        <w:trPr/>
        <w:tc>
          <w:tcPr>
            <w:tcW w:w="328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shares issued to outside directors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ind w:left="180" w:right="0" w:hanging="0"/>
              <w:jc w:val="left"/>
              <w:rPr/>
            </w:pPr>
            <w:r>
              <w:rPr/>
              <w:t> </w:t>
            </w:r>
          </w:p>
        </w:tc>
      </w:tr>
      <w:tr>
        <w:trPr/>
        <w:tc>
          <w:tcPr>
            <w:tcW w:w="328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shares issued to employees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ind w:left="180" w:right="0" w:hanging="0"/>
              <w:jc w:val="left"/>
              <w:rPr/>
            </w:pPr>
            <w:r>
              <w:rPr/>
              <w:t> </w:t>
            </w:r>
          </w:p>
        </w:tc>
      </w:tr>
      <w:tr>
        <w:trPr/>
        <w:tc>
          <w:tcPr>
            <w:tcW w:w="328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16,429</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77,561</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2022</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909,325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(8,948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900,388</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($0.025 per share)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(2,730</w:t>
            </w:r>
          </w:p>
        </w:tc>
        <w:tc>
          <w:tcPr>
            <w:tcW w:w="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 declared on outstanding stock options ($0.025 per share)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issued in private placement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85,000</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issuance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Exercise of warrants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180" w:right="0" w:hanging="0"/>
              <w:jc w:val="left"/>
              <w:rPr/>
            </w:pPr>
            <w:r>
              <w:rPr/>
              <w:t> </w:t>
            </w:r>
          </w:p>
        </w:tc>
      </w:tr>
      <w:tr>
        <w:trPr/>
        <w:tc>
          <w:tcPr>
            <w:tcW w:w="328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costs included in net income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2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107,904</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2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September 30, 2022</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113,163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1,004,778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95,956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1,100,745</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260" w:type="dxa"/>
        <w:jc w:val="left"/>
        <w:tblInd w:w="0" w:type="dxa"/>
        <w:tblLayout w:type="fixed"/>
        <w:tblCellMar>
          <w:top w:w="0" w:type="dxa"/>
          <w:left w:w="0" w:type="dxa"/>
          <w:bottom w:w="0" w:type="dxa"/>
          <w:right w:w="0" w:type="dxa"/>
        </w:tblCellMar>
      </w:tblPr>
      <w:tblGrid>
        <w:gridCol w:w="7130"/>
        <w:gridCol w:w="60"/>
        <w:gridCol w:w="125"/>
        <w:gridCol w:w="845"/>
        <w:gridCol w:w="80"/>
        <w:gridCol w:w="60"/>
        <w:gridCol w:w="125"/>
        <w:gridCol w:w="755"/>
        <w:gridCol w:w="8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13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13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42,487</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Cash paid on settlement of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(21,032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(64,143</w:t>
            </w:r>
          </w:p>
        </w:tc>
        <w:tc>
          <w:tcPr>
            <w:tcW w:w="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3,261</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discounts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4,609</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13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29,210</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Accretion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Depletion, 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94,531</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(43,822</w:t>
            </w:r>
          </w:p>
        </w:tc>
        <w:tc>
          <w:tcPr>
            <w:tcW w:w="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inventory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(7,148</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19,130</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1080" w:right="0" w:hanging="0"/>
              <w:jc w:val="left"/>
              <w:rPr/>
            </w:pPr>
            <w:r>
              <w:rPr/>
              <w:t> </w:t>
            </w:r>
          </w:p>
        </w:tc>
      </w:tr>
      <w:tr>
        <w:trPr/>
        <w:tc>
          <w:tcPr>
            <w:tcW w:w="7130" w:type="dxa"/>
            <w:tcBorders/>
            <w:shd w:fill="FFFFFF" w:val="clear"/>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302,806</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Additions to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(840,663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(725,107</w:t>
            </w:r>
          </w:p>
        </w:tc>
        <w:tc>
          <w:tcPr>
            <w:tcW w:w="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Changes in working capital associated with crude oil and natural gas property additions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(86,468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142,299</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Acquisitions of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(258,385</w:t>
            </w:r>
          </w:p>
        </w:tc>
        <w:tc>
          <w:tcPr>
            <w:tcW w:w="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Deposit and other costs related to pending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 property additions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(937,245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(843,351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Term Loan Credit Agreement, net of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Borrowings under Prior Credit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450,000</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Proceeds from issuance of 10.000% Senior Notes, net of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210,179</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Repayments under Prior Credit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(195,000</w:t>
            </w:r>
          </w:p>
        </w:tc>
        <w:tc>
          <w:tcPr>
            <w:tcW w:w="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Repayments of 10.000% Senior Notes and 10.625%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(475,000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Premium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85,000</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exercises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7,780</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Proceeds from exercises of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(9,221</w:t>
            </w:r>
          </w:p>
        </w:tc>
        <w:tc>
          <w:tcPr>
            <w:tcW w:w="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 offering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Dividends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(8,706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(7,636</w:t>
            </w:r>
          </w:p>
        </w:tc>
        <w:tc>
          <w:tcPr>
            <w:tcW w:w="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Dividend equivalents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540,024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900" w:right="0" w:hanging="0"/>
              <w:jc w:val="left"/>
              <w:rPr/>
            </w:pPr>
            <w:r>
              <w:rPr/>
              <w:t> </w:t>
            </w:r>
          </w:p>
        </w:tc>
      </w:tr>
      <w:tr>
        <w:trPr/>
        <w:tc>
          <w:tcPr>
            <w:tcW w:w="7130" w:type="dxa"/>
            <w:tcBorders/>
            <w:shd w:fill="CCEEFF" w:val="clear"/>
            <w:vAlign w:val="center"/>
          </w:tcPr>
          <w:p>
            <w:pPr>
              <w:pStyle w:val="TableContents"/>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34,869</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18,318</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 issued for acquisition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264,982</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Additions to asset retirement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("HighPeak Energy" or the "Company,") is a Delaware corporation, formed in October 2019. See the Company’s Annual Report on Form 10-K for the year ended December 31, 2022, filed with the U.S. Securities and Exchange Commission (“SEC”) on March 6, 2023, for further information regarding the 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Presentation. </w:t>
      </w:r>
      <w:r>
        <w:rPr>
          <w:rFonts w:ascii="Times New Roman" w:hAnsi="Times New Roman"/>
          <w:caps w:val="false"/>
          <w:smallCaps w:val="false"/>
          <w:sz w:val="20"/>
        </w:rPr>
        <w:t>In the opinion of management, the unaudited interim condensed consolidated financial statements of the Company as of September 30, 2023 and for the three and nine months ended September 30, 2023 and 2022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nine months ended September 30, 2023 are not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2022. 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accompanying unaudited interim condensed consolidated financial statements have been prepared assuming that the Company will continue as a going concern and contemplate the realization of assets and the satisfaction of liabilities in the normal course of business.  During the three months ended September 30, 2023, the Company was successful in refinancing its current and long-term debt, specifically extending all near term maturities to late 2026, which is further discussed in Note 7.  This debt refinancing also allowed the Company to eliminate its working capital deficits.  As a result of the effectiveness and implementation of the refinancing, there is no longer substantial doubt about the Company’s ability to continue as a going concern.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The consolidated financial statements include the accounts of the Company and its wholly owned subsidiaries since their acquisition or formation. All material intercompany balances and transactions have been eliminated. Certain reclassifications have been made to prior period amounts to conform to the current period’s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Use of estimates in the preparation of financial statements. </w:t>
      </w:r>
      <w:r>
        <w:rPr>
          <w:rFonts w:ascii="Times New Roman" w:hAnsi="Times New Roman"/>
          <w:caps w:val="false"/>
          <w:smallCaps w:val="false"/>
          <w:sz w:val="20"/>
        </w:rPr>
        <w:t>Preparation of the Company's consolidated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The Company’s cash and cash equivalents include depository accounts held by banks with original issuance 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As of September 30, 2023 and December 31, 2022, the Company’s accounts receivables primarily consist of amounts due from the sale of crude oil, NGL and natural gas of $116.3 million and $81.6 million, respectively, and are based on estimates of sales volumes and realized prices the Company anticipates it will receive, joint interest receivables of $6.5 million and $2.2 million, respectively, current U.S. federal income tax receivables of $3.2 million and $3.2 million, respectively, zero and $4.9 million, respectively, related to receivables from electric power infrastructure installed throughout Flat Top by the Company that it was reimbursed for, and receivables related to settlements of derivative contracts of zero and $4.7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adopted ASU 2016-13 and the subsequent applicable modifications to the rule on January 1, 2023. 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September 30, 2023 and December 31, 2022, the Company had no allowance for credit losses related to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Concentration of credit risk. </w:t>
      </w:r>
      <w:r>
        <w:rPr>
          <w:rFonts w:ascii="Times New Roman" w:hAnsi="Times New Roman"/>
          <w:caps w:val="false"/>
          <w:smallCaps w:val="false"/>
          <w:sz w:val="20"/>
        </w:rPr>
        <w:t>The Company is subject to credit risk resulting from the concentration of its crude oil and natural gas receivables with significant purchasers. For the nine months ended September 30, 2023 and the year ended December 31, 2022, sales to the Company’s two largest purchasers accounted for approximately 96% and 94%,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Inventory is comprised primarily of crude oil and natural gas drilling and completion or repair items such as pumps, tubing, casing, 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September 30, 2023 and December 31, 2022 is $15.1 million and $13.3 million, respectively, and the Company has not recognized any valuation allowance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Prepaid expenses. </w:t>
      </w:r>
      <w:r>
        <w:rPr>
          <w:rFonts w:ascii="Times New Roman" w:hAnsi="Times New Roman"/>
          <w:caps w:val="false"/>
          <w:smallCaps w:val="false"/>
          <w:sz w:val="20"/>
        </w:rPr>
        <w:t>Prepaid expenses are comprised primarily of prepaid insurance costs that will be amortized over the life of the policies, caliche that will be used on future locations and roads in our development areas, tubulars and proppant that the Company has prepaid the suppliers to guarantee their availability when needed for our current drilling program, a deposit on a small property acquisition that is expected to close in the fourth quarter of 2023, prepaid agency fees and software maintenance fees that will be amortized over the life of the contracts. Prepaid expenses as of September 30, 2023 and December 31, 2022 are $1.7 million and $4.1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and natural gas properties.</w:t>
      </w:r>
      <w:r>
        <w:rPr>
          <w:rFonts w:ascii="Times New Roman" w:hAnsi="Times New Roman"/>
          <w:caps w:val="false"/>
          <w:smallCaps w:val="false"/>
          <w:sz w:val="20"/>
        </w:rPr>
        <w:t xml:space="preserve"> The Company utilizes the successful efforts method of accounting for its crude oil and natural gas properties. Under this method, all costs associated with productive wells and nonproductive development wells are capitalized while nonproductive exploration costs and geological and geophysical expenditures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Other property and equipment, net. </w:t>
      </w:r>
      <w:r>
        <w:rPr>
          <w:rFonts w:ascii="Times New Roman" w:hAnsi="Times New Roman"/>
          <w:caps w:val="false"/>
          <w:smallCaps w:val="false"/>
          <w:sz w:val="20"/>
        </w:rPr>
        <w:t>Other property and equipment is recorded at cost. The carrying values of other property and equipment, net of accumulated depreciation of $847,000 and $696,000 as of September 30, 2023 and December 31, 2022, respectively,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3260"/>
        <w:gridCol w:w="60"/>
        <w:gridCol w:w="249"/>
        <w:gridCol w:w="970"/>
        <w:gridCol w:w="60"/>
        <w:gridCol w:w="60"/>
        <w:gridCol w:w="240"/>
        <w:gridCol w:w="934"/>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Field equipment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Aid-in-construction assets. </w:t>
      </w:r>
      <w:r>
        <w:rPr>
          <w:rFonts w:ascii="Times New Roman" w:hAnsi="Times New Roman"/>
          <w:caps w:val="false"/>
          <w:smallCaps w:val="false"/>
          <w:sz w:val="20"/>
        </w:rPr>
        <w:t>As of September 30, 2023 and December 31, 2022, the Company had aid-in-construction assets totaling $5.6 million and $6.1 million, respectively, included in other noncurrent assets. The Company is receiving and will continue to receive payments based on gross system throughput, including any third-party natural gas that is potentially tied into the Flat Top gathering system in the future. The contract calls for future aid-in-construction fundings if expansions of the system are necessary as determined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enters into leases for drilling rigs, storage tanks, equipment and buildings and recognizes lease expense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Current liabilities. </w:t>
      </w:r>
      <w:r>
        <w:rPr>
          <w:rFonts w:ascii="Times New Roman" w:hAnsi="Times New Roman"/>
          <w:caps w:val="false"/>
          <w:smallCaps w:val="false"/>
          <w:sz w:val="20"/>
        </w:rPr>
        <w:t>Current maturities of long-term debt, accounts payable, accrued liabilities and derivative liabilities included in current liabilities as of September 30, 2023 and December 31, 2022 totaled approximately $294.6 million and $266.1 million, respectively, including current maturities of long-term debt, accrued capital expenditures, trade accounts payable, revenues and royalties payable, derivative liabilities and accruals for operating and general and administrative expenses, interest expense, operating leases, dividends and dividend equivalents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issuance costs and original issue discount. </w:t>
      </w:r>
      <w:r>
        <w:rPr>
          <w:rFonts w:ascii="Times New Roman" w:hAnsi="Times New Roman"/>
          <w:caps w:val="false"/>
          <w:smallCaps w:val="false"/>
          <w:sz w:val="20"/>
        </w:rPr>
        <w:t>The Company has paid a total of $46.1 million in debt issuance costs, $26.4 million of which was incurred during the nine months ended September 30, 2023 primarily related to the completion of the Term Loan Credit Agreement and amendments to the Prior Credit Agreement. Amortization based on the straight-line method over the terms of the Term Loan Credit Agreement, Prior Credit Agreement, 10.000% Senior Notes and 10.625% Senior Notes which approximates the effective interest method was $9.4 million and $3.3 million during the nine months ended September 30, 2023 and 2022,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$12.7 million and $4.6 million during the nine months ended September 30, 2023 and 2022,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accompanying consolidated financial statements. See Note 7 for more information. As of September 30, 2023 and December 31, 2022, the remaining net debt issuance costs and discounts related to the Term Loan Credit Agreement are netted against the outstanding long-term debt on the accompanying consolidated balance sheets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 retirement obligations. </w:t>
      </w:r>
      <w:r>
        <w:rPr>
          <w:rFonts w:ascii="Times New Roman" w:hAnsi="Times New Roman"/>
          <w:caps w:val="false"/>
          <w:smallCaps w:val="false"/>
          <w:sz w:val="20"/>
        </w:rPr>
        <w:t>The Company records a liability for the fair value of an asset retirement obligation in the period in which the 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b/>
          <w:caps w:val="false"/>
          <w:smallCaps w:val="false"/>
          <w:sz w:val="20"/>
        </w:rPr>
        <w:t xml:space="preserve">. </w:t>
      </w:r>
      <w:r>
        <w:rPr>
          <w:rFonts w:ascii="Times New Roman" w:hAnsi="Times New Roman"/>
          <w:caps w:val="false"/>
          <w:smallCaps w:val="false"/>
          <w:sz w:val="20"/>
        </w:rPr>
        <w:t>The Company follows FASB ASC 606, “Revenue from Contracts with Customers,” (“ASC 606”) whereby the Company recognizes revenues from the sales of crude oil, NGL and natural gas to its purchasers and presents them disaggregated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September 30, 2023 and December 31, 2022, the Company had receivables related to contracts with purchasers of approximately $116.3 million and $81.6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Crude Oil Contracts. </w:t>
      </w:r>
      <w:r>
        <w:rPr>
          <w:rFonts w:ascii="Times New Roman" w:hAnsi="Times New Roman"/>
          <w:caps w:val="false"/>
          <w:smallCaps w:val="false"/>
          <w:sz w:val="20"/>
        </w:rPr>
        <w:t>The Company’s crude oil marketing contracts transfer physical custody and title at or near the wellhead, which is generally 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Natural Gas Contracts. </w:t>
      </w:r>
      <w:r>
        <w:rPr>
          <w:rFonts w:ascii="Times New Roman" w:hAnsi="Times New Roman"/>
          <w:caps w:val="false"/>
          <w:smallCaps w:val="false"/>
          <w:sz w:val="20"/>
        </w:rPr>
        <w:t>The majority of the Company’s natural gas is sold at the lease location, which is generally when control of the natural gas 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Derivatives. </w:t>
      </w:r>
      <w:r>
        <w:rPr>
          <w:rFonts w:ascii="Times New Roman" w:hAnsi="Times New Roman"/>
          <w:caps w:val="false"/>
          <w:smallCaps w:val="false"/>
          <w:sz w:val="20"/>
        </w:rPr>
        <w:t>All the Company’s derivatives are accounted for as non-hedge derivatives and are recorded at estimated fair value in the 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The provision for income taxes is determined using the asset and liability approach of accounting for income taxes. Under this 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September 30, 2023 and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Tax-related interest charges are recorded as interest expense and any tax-related penalties as other expense in the consolidated statements of operations of which there have been none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no current Texas Margin Tax in the accompanying consolidated financial statements as we do not anticipate owing any Texas Margin Tax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Stock-based compensation expense for stock option awards is measured at the grant date or modification date, as 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Segments. </w:t>
      </w:r>
      <w:r>
        <w:rPr>
          <w:rFonts w:ascii="Times New Roman" w:hAnsi="Times New Roman"/>
          <w:caps w:val="false"/>
          <w:smallCaps w:val="false"/>
          <w:sz w:val="20"/>
        </w:rPr>
        <w:t>Based on the Company’s organizational structure, the Company has one operating segment, which is crude oil and natural gas development, exploration and production. In addition, the Company has a single, company-wide management team that allocates capital resources to maximize profitability and measures financial performance as a single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Recently adopted accounting pronouncements. </w:t>
      </w:r>
      <w:r>
        <w:rPr>
          <w:rFonts w:ascii="Times New Roman" w:hAnsi="Times New Roman"/>
          <w:caps w:val="false"/>
          <w:smallCaps w:val="false"/>
          <w:sz w:val="20"/>
        </w:rPr>
        <w:t>In June 2016, the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New accounting pronouncements not yet adopted.</w:t>
      </w:r>
      <w:r>
        <w:rPr>
          <w:rFonts w:ascii="Times New Roman" w:hAnsi="Times New Roman"/>
          <w:caps w:val="false"/>
          <w:smallCaps w:val="false"/>
          <w:sz w:val="20"/>
        </w:rPr>
        <w:t xml:space="preserve"> The Company considers the applicability and the impact of all ASUs. ASUs were assessed and determined to be either not applicable, the effects of adoption are not expected to be material or are clarifications of ASUs previously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Hannathon Acquisition. </w:t>
      </w:r>
      <w:r>
        <w:rPr>
          <w:rFonts w:ascii="Times New Roman" w:hAnsi="Times New Roman"/>
          <w:caps w:val="false"/>
          <w:smallCaps w:val="false"/>
          <w:sz w:val="20"/>
        </w:rPr>
        <w:t>In June 2022, the Company closed the Hannathon Acquisition for total net consideration of $337.2 million after normal and customary closing adjustments, including 3,522,117 shares of HighPeak Energy common stock valued at $97.2 million at closing to acquire various crude oil and natural gas properties largely contiguous to its Signal Peak operating area in Howard County, including associated producing properties, water system infrastructure and in-field fluid gathering pipelines. The Hannathon Acquisition was accounted for as an asset acquisition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Hannathon Acquisition were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Alamo Acquisitions.</w:t>
      </w:r>
      <w:r>
        <w:rPr>
          <w:rFonts w:ascii="Times New Roman" w:hAnsi="Times New Roman"/>
          <w:caps w:val="false"/>
          <w:smallCaps w:val="false"/>
          <w:sz w:val="20"/>
        </w:rPr>
        <w:t xml:space="preserve"> In March and June 2022, the Company closed the Alamo Acquisitions in two separate deals for total net consideration of $156.1 million and $11.0 million, respectively, after normal and customary closing adjustments, including 6,960,000 and 371,517 shares of HighPeak Energy common stock valued at $156.6 million and $11.2 million, respectively,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acquisitions.</w:t>
      </w:r>
      <w:r>
        <w:rPr>
          <w:rFonts w:ascii="Times New Roman" w:hAnsi="Times New Roman"/>
          <w:caps w:val="false"/>
          <w:smallCaps w:val="false"/>
          <w:sz w:val="20"/>
        </w:rPr>
        <w:t xml:space="preserve"> During the nine months ended September 30, 2023 and 2022, the Company incurred a total of $9.6 million and $19.2 million, respectively, in acquisition costs to acquire various undeveloped crude oil and natural gas properties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three input levels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1 – quoted prices for identical assets or liabilities in active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recurring basis. </w:t>
      </w:r>
      <w:r>
        <w:rPr>
          <w:rFonts w:ascii="Times New Roman" w:hAnsi="Times New Roman"/>
          <w:caps w:val="false"/>
          <w:smallCaps w:val="false"/>
          <w:sz w:val="20"/>
        </w:rPr>
        <w:t>Assets and liabilities measured at fair value on a recurring basis as of September 30, 2023 and December 31, 2022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779" w:type="dxa"/>
        <w:jc w:val="left"/>
        <w:tblInd w:w="0" w:type="dxa"/>
        <w:tblLayout w:type="fixed"/>
        <w:tblCellMar>
          <w:top w:w="0" w:type="dxa"/>
          <w:left w:w="0" w:type="dxa"/>
          <w:bottom w:w="0" w:type="dxa"/>
          <w:right w:w="0" w:type="dxa"/>
        </w:tblCellMar>
      </w:tblPr>
      <w:tblGrid>
        <w:gridCol w:w="3485"/>
        <w:gridCol w:w="60"/>
        <w:gridCol w:w="264"/>
        <w:gridCol w:w="550"/>
        <w:gridCol w:w="60"/>
        <w:gridCol w:w="60"/>
        <w:gridCol w:w="160"/>
        <w:gridCol w:w="835"/>
        <w:gridCol w:w="80"/>
        <w:gridCol w:w="60"/>
        <w:gridCol w:w="386"/>
        <w:gridCol w:w="804"/>
        <w:gridCol w:w="60"/>
        <w:gridCol w:w="60"/>
        <w:gridCol w:w="125"/>
        <w:gridCol w:w="650"/>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5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September 30,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Quoted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Active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Identical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3,247</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4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4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27,776</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4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4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31,519</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(27,242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(27,242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79" w:type="dxa"/>
        <w:jc w:val="left"/>
        <w:tblInd w:w="0" w:type="dxa"/>
        <w:tblLayout w:type="fixed"/>
        <w:tblCellMar>
          <w:top w:w="0" w:type="dxa"/>
          <w:left w:w="0" w:type="dxa"/>
          <w:bottom w:w="0" w:type="dxa"/>
          <w:right w:w="0" w:type="dxa"/>
        </w:tblCellMar>
      </w:tblPr>
      <w:tblGrid>
        <w:gridCol w:w="3485"/>
        <w:gridCol w:w="60"/>
        <w:gridCol w:w="264"/>
        <w:gridCol w:w="550"/>
        <w:gridCol w:w="60"/>
        <w:gridCol w:w="60"/>
        <w:gridCol w:w="160"/>
        <w:gridCol w:w="835"/>
        <w:gridCol w:w="80"/>
        <w:gridCol w:w="60"/>
        <w:gridCol w:w="386"/>
        <w:gridCol w:w="804"/>
        <w:gridCol w:w="60"/>
        <w:gridCol w:w="60"/>
        <w:gridCol w:w="125"/>
        <w:gridCol w:w="650"/>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5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December 31, 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Quoted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Active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Identical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Unobservable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Inputs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34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16,702</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34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4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Commodity price derivatives. </w:t>
      </w:r>
      <w:r>
        <w:rPr>
          <w:rFonts w:ascii="Times New Roman" w:hAnsi="Times New Roman"/>
          <w:caps w:val="false"/>
          <w:smallCaps w:val="false"/>
          <w:sz w:val="20"/>
        </w:rPr>
        <w:t>The Company’s commodity price derivatives are currently made up of crude oil swap contracts and deferred premium collars and deferred 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nonrecurring basis. </w:t>
      </w:r>
      <w:r>
        <w:rPr>
          <w:rFonts w:ascii="Times New Roman" w:hAnsi="Times New Roman"/>
          <w:caps w:val="false"/>
          <w:smallCaps w:val="false"/>
          <w:sz w:val="20"/>
        </w:rPr>
        <w:t>Certain assets and liabilities are measured at fair value on a nonrecurring 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Financial instruments not carried at fair value.</w:t>
      </w:r>
      <w:r>
        <w:rPr>
          <w:rFonts w:ascii="Times New Roman" w:hAnsi="Times New Roman"/>
          <w:caps w:val="false"/>
          <w:smallCaps w:val="false"/>
          <w:sz w:val="20"/>
        </w:rPr>
        <w:t xml:space="preserve"> Carrying values and fair values of financial instruments that are not carried at fair value in the consolidating balance sheets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697" w:type="dxa"/>
        <w:jc w:val="left"/>
        <w:tblInd w:w="0" w:type="dxa"/>
        <w:tblLayout w:type="fixed"/>
        <w:tblCellMar>
          <w:top w:w="0" w:type="dxa"/>
          <w:left w:w="0" w:type="dxa"/>
          <w:bottom w:w="0" w:type="dxa"/>
          <w:right w:w="0" w:type="dxa"/>
        </w:tblCellMar>
      </w:tblPr>
      <w:tblGrid>
        <w:gridCol w:w="2090"/>
        <w:gridCol w:w="60"/>
        <w:gridCol w:w="307"/>
        <w:gridCol w:w="639"/>
        <w:gridCol w:w="147"/>
        <w:gridCol w:w="147"/>
        <w:gridCol w:w="316"/>
        <w:gridCol w:w="663"/>
        <w:gridCol w:w="60"/>
        <w:gridCol w:w="60"/>
        <w:gridCol w:w="152"/>
        <w:gridCol w:w="849"/>
        <w:gridCol w:w="73"/>
        <w:gridCol w:w="73"/>
        <w:gridCol w:w="152"/>
        <w:gridCol w:w="849"/>
        <w:gridCol w:w="6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of September 30, 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of December 31, 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Carrying</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Carrying</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w:t>
            </w:r>
          </w:p>
        </w:tc>
        <w:tc>
          <w:tcPr>
            <w:tcW w:w="147" w:type="dxa"/>
            <w:tcBorders>
              <w:bottom w:val="single" w:sz="2" w:space="0" w:color="000000"/>
            </w:tcBorders>
            <w:tcMar>
              <w:bottom w:w="28"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Fair Value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Long-term debt:</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60" w:right="0" w:hanging="0"/>
              <w:jc w:val="left"/>
              <w:rPr/>
            </w:pPr>
            <w:r>
              <w:rPr/>
              <w:t> </w:t>
            </w:r>
          </w:p>
        </w:tc>
      </w:tr>
      <w:tr>
        <w:trPr/>
        <w:tc>
          <w:tcPr>
            <w:tcW w:w="209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 (a)</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9" w:type="dxa"/>
            <w:tcBorders/>
            <w:shd w:fill="CCEEFF" w:val="clear"/>
            <w:vAlign w:val="center"/>
          </w:tcPr>
          <w:p>
            <w:pPr>
              <w:pStyle w:val="TableContents"/>
              <w:bidi w:val="0"/>
              <w:spacing w:before="0" w:after="283"/>
              <w:ind w:left="0" w:right="0" w:hanging="0"/>
              <w:jc w:val="right"/>
              <w:rPr/>
            </w:pPr>
            <w:r>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CCEEFF" w:val="clear"/>
            <w:vAlign w:val="center"/>
          </w:tcPr>
          <w:p>
            <w:pPr>
              <w:pStyle w:val="TableContents"/>
              <w:bidi w:val="0"/>
              <w:spacing w:before="0" w:after="283"/>
              <w:ind w:left="360" w:right="0" w:hanging="0"/>
              <w:jc w:val="left"/>
              <w:rPr/>
            </w:pPr>
            <w:r>
              <w:rPr/>
              <w:t> </w:t>
            </w:r>
          </w:p>
        </w:tc>
      </w:tr>
      <w:tr>
        <w:trPr/>
        <w:tc>
          <w:tcPr>
            <w:tcW w:w="209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 (a)</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9" w:type="dxa"/>
            <w:tcBorders/>
            <w:shd w:fill="FFFFFF" w:val="clear"/>
            <w:vAlign w:val="center"/>
          </w:tcPr>
          <w:p>
            <w:pPr>
              <w:pStyle w:val="TableContents"/>
              <w:bidi w:val="0"/>
              <w:spacing w:before="0" w:after="283"/>
              <w:ind w:left="0" w:right="0" w:hanging="0"/>
              <w:jc w:val="right"/>
              <w:rPr/>
            </w:pPr>
            <w:r>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1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is determined using Level 2 inputs. The Company’s senior unsecured notes are quoted, but not actively traded, on major exchanges; therefore, fair value is based on periodic values as quoted on major exchanges. See Note 7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other financial instruments consisting primarily of cash and cash equivalents, accounts receivable, accounts payable, long-term debt (specifically the Term Loan Credit Agreement, Senior Credit Facility Agreement and the Prior Credit Agreement), and other current assets and liabilities that approximate fair value due to the nature of the instrument and their relatively short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deferred premium put options and deferred premium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effect of derivative instruments on the Company’s consolidated statements of operations (in thousands):</w:t>
      </w:r>
    </w:p>
    <w:p>
      <w:pPr>
        <w:pStyle w:val="TextBody"/>
        <w:bidi w:val="0"/>
        <w:spacing w:before="0" w:after="0"/>
        <w:ind w:left="0" w:right="0" w:firstLine="720"/>
        <w:jc w:val="both"/>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4385"/>
        <w:gridCol w:w="60"/>
        <w:gridCol w:w="137"/>
        <w:gridCol w:w="713"/>
        <w:gridCol w:w="87"/>
        <w:gridCol w:w="65"/>
        <w:gridCol w:w="137"/>
        <w:gridCol w:w="647"/>
        <w:gridCol w:w="80"/>
        <w:gridCol w:w="60"/>
        <w:gridCol w:w="125"/>
        <w:gridCol w:w="650"/>
        <w:gridCol w:w="80"/>
        <w:gridCol w:w="60"/>
        <w:gridCol w:w="125"/>
        <w:gridCol w:w="650"/>
        <w:gridCol w:w="8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(15,883</w:t>
            </w:r>
          </w:p>
        </w:tc>
        <w:tc>
          <w:tcPr>
            <w:tcW w:w="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on settlement of derivative instruments, net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(13,772</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(21,032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(64,143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3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(29,655</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(30,898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(42,487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production derivatives. </w:t>
      </w:r>
      <w:r>
        <w:rPr>
          <w:rFonts w:ascii="Times New Roman" w:hAnsi="Times New Roman"/>
          <w:caps w:val="false"/>
          <w:smallCaps w:val="false"/>
          <w:sz w:val="20"/>
        </w:rPr>
        <w:t>The Company sells its crude oil production at the lease and the sales contracts governing such crude oil production are tied directly to, or are correlated with, NYMEX WTI crude oil prices. As such, the Company uses NYMEX WTI derivative contracts to manage future crude oil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crude oil derivative instruments as of September 30, 2023 and the weighted average crude oil prices and premiums payable per barrel for those contracts are as follows:</w:t>
      </w:r>
    </w:p>
    <w:p>
      <w:pPr>
        <w:pStyle w:val="TextBody"/>
        <w:bidi w:val="0"/>
        <w:spacing w:before="0" w:after="0"/>
        <w:ind w:left="0" w:right="0" w:firstLine="720"/>
        <w:jc w:val="both"/>
        <w:rPr>
          <w:caps w:val="false"/>
          <w:smallCaps w:val="false"/>
        </w:rPr>
      </w:pPr>
      <w:r>
        <w:rPr>
          <w:caps w:val="false"/>
          <w:smallCaps w:val="false"/>
        </w:rPr>
        <w:t> </w:t>
      </w:r>
    </w:p>
    <w:tbl>
      <w:tblPr>
        <w:tblW w:w="8976" w:type="dxa"/>
        <w:jc w:val="left"/>
        <w:tblInd w:w="0" w:type="dxa"/>
        <w:tblLayout w:type="fixed"/>
        <w:tblCellMar>
          <w:top w:w="0" w:type="dxa"/>
          <w:left w:w="0" w:type="dxa"/>
          <w:bottom w:w="28" w:type="dxa"/>
          <w:right w:w="0" w:type="dxa"/>
        </w:tblCellMar>
      </w:tblPr>
      <w:tblGrid>
        <w:gridCol w:w="935"/>
        <w:gridCol w:w="60"/>
        <w:gridCol w:w="950"/>
        <w:gridCol w:w="60"/>
        <w:gridCol w:w="1460"/>
        <w:gridCol w:w="60"/>
        <w:gridCol w:w="60"/>
        <w:gridCol w:w="590"/>
        <w:gridCol w:w="60"/>
        <w:gridCol w:w="500"/>
        <w:gridCol w:w="60"/>
        <w:gridCol w:w="125"/>
        <w:gridCol w:w="485"/>
        <w:gridCol w:w="60"/>
        <w:gridCol w:w="60"/>
        <w:gridCol w:w="201"/>
        <w:gridCol w:w="781"/>
        <w:gridCol w:w="96"/>
        <w:gridCol w:w="96"/>
        <w:gridCol w:w="201"/>
        <w:gridCol w:w="950"/>
        <w:gridCol w:w="96"/>
        <w:gridCol w:w="96"/>
        <w:gridCol w:w="212"/>
        <w:gridCol w:w="647"/>
        <w:gridCol w:w="75"/>
      </w:tblGrid>
      <w:tr>
        <w:trPr/>
        <w:tc>
          <w:tcPr>
            <w:tcW w:w="9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4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Swaps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376"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Deferred Premium Collars &amp; 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Premium Puts</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Strike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96"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96"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Deferred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Premium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781"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75.50</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69.46</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66.44</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69.73</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65.68</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90.32</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pPr>
            <w:r>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90.08</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ind w:left="0" w:right="0" w:hanging="0"/>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Collar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90.08</w:t>
            </w:r>
          </w:p>
        </w:tc>
        <w:tc>
          <w:tcPr>
            <w:tcW w:w="96"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46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derivative liabilities associated with the Company’s open commodity derivative instruments by counterparty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34" w:type="dxa"/>
        <w:jc w:val="left"/>
        <w:tblInd w:w="0" w:type="dxa"/>
        <w:tblLayout w:type="fixed"/>
        <w:tblCellMar>
          <w:top w:w="0" w:type="dxa"/>
          <w:left w:w="0" w:type="dxa"/>
          <w:bottom w:w="0" w:type="dxa"/>
          <w:right w:w="0" w:type="dxa"/>
        </w:tblCellMar>
      </w:tblPr>
      <w:tblGrid>
        <w:gridCol w:w="3275"/>
        <w:gridCol w:w="60"/>
        <w:gridCol w:w="196"/>
        <w:gridCol w:w="1023"/>
        <w:gridCol w:w="8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of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Macquarie Bank Limited</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National Association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Mercuria Energy Trading SA</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Fifth Third Bank, National Association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(27,242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6. Exploratory/Extension Well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changes in capitalized exploratory/extension well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6785"/>
        <w:gridCol w:w="60"/>
        <w:gridCol w:w="172"/>
        <w:gridCol w:w="1047"/>
        <w:gridCol w:w="80"/>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186,427</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78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Additions to exploratory/extension well costs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416,091</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78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to proved properties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(551,217</w:t>
            </w:r>
          </w:p>
        </w:tc>
        <w:tc>
          <w:tcPr>
            <w:tcW w:w="8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78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Exploratory/extension well costs charged to exploration and abandonment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exploratory/extension well costs have been capitalized for less than one year based on the date of drilling.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7.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long-term debt, including the effects of debt issuance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3515"/>
        <w:gridCol w:w="60"/>
        <w:gridCol w:w="163"/>
        <w:gridCol w:w="1101"/>
        <w:gridCol w:w="80"/>
        <w:gridCol w:w="60"/>
        <w:gridCol w:w="178"/>
        <w:gridCol w:w="996"/>
        <w:gridCol w:w="8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Loan Credit Agreement due 2026</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Credit Facility Agreement due 2026</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Credit Agreement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Discounts, net (a)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(29,542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costs, net (b)</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(22,655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1,147,803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current maturities of long-term debt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1,057,803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704,349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(a)</w:t>
            </w:r>
          </w:p>
        </w:tc>
        <w:tc>
          <w:tcPr>
            <w:tcW w:w="9942"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Discounts as of September 30, 2023 and December 31, 2022 consisted of $30.0 million and $34.8 million, respectively, in discounts less accumulated amortization of $458,000 and $7.7 million, respectively.</w:t>
            </w:r>
          </w:p>
        </w:tc>
      </w:tr>
    </w:tbl>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Debt issuance costs as of September 30, 2023 and December 31, 2022 consisted of $23.0 million and $19.7 million, respectively, in costs less accumulated amortization of $351,000 and $6.1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Term Loan Credit Agreement.</w:t>
      </w:r>
      <w:r>
        <w:rPr>
          <w:rFonts w:ascii="Times New Roman" w:hAnsi="Times New Roman"/>
          <w:caps w:val="false"/>
          <w:smallCaps w:val="false"/>
          <w:sz w:val="20"/>
        </w:rPr>
        <w:t xml:space="preserve"> On September 12, 2023, the Company entered into a Term Loan Credit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$23.0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contains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Collateral Agency Agreement. </w:t>
      </w:r>
      <w:r>
        <w:rPr>
          <w:rFonts w:ascii="Times New Roman" w:hAnsi="Times New Roman"/>
          <w:caps w:val="false"/>
          <w:smallCaps w:val="false"/>
          <w:sz w:val="20"/>
        </w:rPr>
        <w:t>On September 12, 2023, the Company entered into a collateral agency agreement (the “Collateral Agency Agreement”) among the Company, Texas Capital, as collateral agent, Chambers, as term representative, and Mercuria Energy Trading SA as first-out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Capitol or the subject of the Security Documents (as defined in the Collateral Agency Agreement) and to enforce the Security Documents and all interests, rights, powers and remedies of Texas Capital with respect thereto or thereunder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Senior Credit Facility Agreement.</w:t>
      </w:r>
      <w:r>
        <w:rPr>
          <w:rFonts w:ascii="Times New Roman" w:hAnsi="Times New Roman"/>
          <w:caps w:val="false"/>
          <w:smallCaps w:val="false"/>
          <w:sz w:val="20"/>
        </w:rPr>
        <w:t xml:space="preserve"> Subsequent to quarter end, on November 1, 2023, the Company entered into a Credit Agreement with Fifth Third Bank, National 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 borrowing capacity of $100.0 million with elected commitments of $75.0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Prior Credit Agreement</w:t>
      </w:r>
      <w:r>
        <w:rPr>
          <w:rFonts w:ascii="Times New Roman" w:hAnsi="Times New Roman"/>
          <w:caps w:val="false"/>
          <w:smallCaps w:val="false"/>
          <w:sz w:val="20"/>
        </w:rPr>
        <w:t>. In December 2020, the Company entered into a Credit Agreement with Fifth Third as the administrative agent and sole lender to establish a revolving credit facility (the “Prior Credit Agreement”) that was set to mature on June 17, 2024. In February 2022, the Company entered into the Third Amendment to, among other things, (i) reduce the borrowing base from $195.0 million to $138.8 million, (ii) modify the terms of the Prior Credit Agreement to reduce the aggregate elected commitments from $195.0 million to $138.8 million, (iii) update the maturity date to a springing maturity date, which caused the Prior Credit Agreement to mature on October 1, 2023 if the 10.000% Senior Notes are not redeemed or refinanced by that date or the terms of the 10.000% Senior Notes have not been amended to extend the scheduled repayment thereof to no earlier than October 1, 2024, (iv) allow the Company to redeem the 10.000% Senior Notes with proceeds of a refinancing, with proceeds of an equity offering or with cash, in each case, subject to certain customary conditions and (v) replace the USD LIBOR rates with Term SOFR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events of default existing with the Prior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and the Specified Senior Notes,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2022, the Company entered into the Seventh Amendment to, among other things, increase the amount of Specified Senior Notes from $225.0 million to $250.0 million.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entry into the aforementioned Term Loan Credit Agreement, the Prior Credit Agreement was terminated, all outstanding obligations for principal, interest and fees were paid off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the accompanying consolidated financial statements in loss on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10.000% Senior Notes. </w:t>
      </w:r>
      <w:r>
        <w:rPr>
          <w:rFonts w:ascii="Times New Roman" w:hAnsi="Times New Roman"/>
          <w:caps w:val="false"/>
          <w:smallCaps w:val="false"/>
          <w:sz w:val="20"/>
        </w:rPr>
        <w:t>In February 2022, the Company issued $225.0 million aggregate principal amount of its 10.000% Senior Notes due 2024 (“10.000%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the accompanying consolidated financial statements in loss on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10.625% Senior Notes.</w:t>
      </w:r>
      <w:r>
        <w:rPr>
          <w:rFonts w:ascii="Times New Roman" w:hAnsi="Times New Roman"/>
          <w:caps w:val="false"/>
          <w:smallCaps w:val="false"/>
          <w:sz w:val="20"/>
        </w:rPr>
        <w:t xml:space="preserve"> In November 2022 and December 2022, the Company issued $225.0 million and $25.0 million, respectively, under 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the accompanying consolidated financial statements in loss on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and the Senior Credit Facility Agreement have hedging requirements to which the Company adheres.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 8. Asset Retirement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retirement obligations activity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3170"/>
        <w:gridCol w:w="60"/>
        <w:gridCol w:w="249"/>
        <w:gridCol w:w="970"/>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7,502</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317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Liabilities incurred from new wells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317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Dispositions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7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2023 and December 31, 2022, all asset retirement obligations are considered noncurrent and classified as such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9.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401(k) Plan. </w:t>
      </w:r>
      <w:r>
        <w:rPr>
          <w:rFonts w:ascii="Times New Roman" w:hAnsi="Times New Roman"/>
          <w:caps w:val="false"/>
          <w:smallCaps w:val="false"/>
          <w:sz w:val="20"/>
        </w:rPr>
        <w:t>The HighPeak Energy Employees, Inc 401(k) Plan (the “401(k) Plan”) is a defined contribution plan established under Section 401 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nine months ended September 30, 2023 and 2022, the Company contributed $176,000 and $210,000 to the 401(k) Plan,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Long-Term Incentive Plan. </w:t>
      </w:r>
      <w:r>
        <w:rPr>
          <w:rFonts w:ascii="Times New Roman" w:hAnsi="Times New Roman"/>
          <w:caps w:val="false"/>
          <w:smallCaps w:val="false"/>
          <w:sz w:val="20"/>
        </w:rPr>
        <w:t>The Company’s Second Amended &amp; Restated Long Term Incentive Plan (“LTIP”) provides for the grant of stock options, restricted stock, stock awards, dividend equivalents, cash awards and substitute awards to officers, employees, directors and consultants of the Company. The number of shares available for grant pursuant to awards under the LTIP as of September 30, 2023 and December 31, 2022 are as follows:</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455"/>
        <w:gridCol w:w="60"/>
        <w:gridCol w:w="68"/>
        <w:gridCol w:w="1151"/>
        <w:gridCol w:w="80"/>
        <w:gridCol w:w="60"/>
        <w:gridCol w:w="65"/>
        <w:gridCol w:w="1109"/>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Approved and authorized shares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16,388,015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14,340,324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subject to awards issued under plan</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(15,759,791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(13,769,191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available for future grant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628,224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 awards were granted to employees on August 24, 2020, November 4, 2021, May 4, 2022, August 15, 2022 and July 21, 2023. Stock-based compensation expense related to the Company’s stock option awards for the nine months ended September 30, 2023 and 2022 was $10.9 million and $17.7 million, respectively, and as of September 30, 2023 and December 31, 2022 there was $261,000 and $1.1 million, respectively, of unrecognized stock-based compensation expense related to unvested stock option awards. The unrecognized compensation expense will be recognized on a straight-line basis over the remaining vesting periods of the awards, which is a period of less than one year.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pStyle w:val="TextBody"/>
        <w:bidi w:val="0"/>
        <w:spacing w:before="0" w:after="0"/>
        <w:ind w:left="0" w:right="0" w:hanging="0"/>
        <w:jc w:val="left"/>
        <w:rPr>
          <w:caps w:val="false"/>
          <w:smallCaps w:val="false"/>
        </w:rPr>
      </w:pPr>
      <w:r>
        <w:rPr>
          <w:caps w:val="false"/>
          <w:smallCaps w:val="false"/>
        </w:rPr>
        <w:t> </w:t>
      </w:r>
    </w:p>
    <w:tbl>
      <w:tblPr>
        <w:tblW w:w="7107" w:type="dxa"/>
        <w:jc w:val="left"/>
        <w:tblInd w:w="0" w:type="dxa"/>
        <w:tblLayout w:type="fixed"/>
        <w:tblCellMar>
          <w:top w:w="0" w:type="dxa"/>
          <w:left w:w="0" w:type="dxa"/>
          <w:bottom w:w="0" w:type="dxa"/>
          <w:right w:w="0" w:type="dxa"/>
        </w:tblCellMar>
      </w:tblPr>
      <w:tblGrid>
        <w:gridCol w:w="2885"/>
        <w:gridCol w:w="60"/>
        <w:gridCol w:w="60"/>
        <w:gridCol w:w="950"/>
        <w:gridCol w:w="80"/>
        <w:gridCol w:w="60"/>
        <w:gridCol w:w="163"/>
        <w:gridCol w:w="636"/>
        <w:gridCol w:w="60"/>
        <w:gridCol w:w="60"/>
        <w:gridCol w:w="178"/>
        <w:gridCol w:w="816"/>
        <w:gridCol w:w="60"/>
        <w:gridCol w:w="60"/>
        <w:gridCol w:w="140"/>
        <w:gridCol w:w="779"/>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Average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Exercise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Remaining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in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Intrinsic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Value (in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9,983,727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44,395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(18,999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11,517,228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128,429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13,449,061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160,724</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127,591</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13,301,247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157,820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11,352,247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137,356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employee members of the Board and certain employees. </w:t>
      </w:r>
      <w:r>
        <w:rPr>
          <w:rFonts w:ascii="Times New Roman" w:hAnsi="Times New Roman"/>
          <w:caps w:val="false"/>
          <w:smallCaps w:val="false"/>
          <w:sz w:val="20"/>
        </w:rPr>
        <w:t>A total of 1,500,500 shares of restricted stock was approved 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$5.4 million and $5.4 million was recognized during the nine months ended September 30, 2023 and 2022, respectively, and the remaining $7.8 million as of September 30, 2023 will be recognized over the remaining restricted period,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$5.3 million and $5.0 million was recognized during the nine months ended September 30, 2023 and 2022, respectively, and the remaining $7.6 million as of September 30, 2023 will be recognized over the remaining restricted period,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issued to outside directors. </w:t>
      </w:r>
      <w:r>
        <w:rPr>
          <w:rFonts w:ascii="Times New Roman" w:hAnsi="Times New Roman"/>
          <w:caps w:val="false"/>
          <w:smallCaps w:val="false"/>
          <w:sz w:val="20"/>
        </w:rPr>
        <w:t>A total of 58,767 shares of restricted stock was approved by the Board to be granted to the outside directors of the Company on June 1, 2023, which will vest at the next annual meeting, assuming the Board members maintain their positions on the Board. Therefore, stock-based compensation expense of $253,000 was recognized during the nine months ended September 30, 2023 and the remaining $505,000 will be recognized between October 2023 and June 2024,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2022. Therefore, stock-based compensation expense of $305,000 and $244,000 was recognized during the nine months ended September 30, 2023 and 2022, respectively, which was based upon the closing price of the stock on the date of the restricted stock issuance. Finally, a total of 67,779 shares of restricted stock was approved by the Board to be granted to the outside directors of the Company on June 1, 2021, which vested in January 2022. Therefore, the remaining stock-based compensation expense of $284,000 was recognized during the nine months ended September 30, 2022,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follows ASC Topic 842, “Leases” to account for its operating and finance leases. Therefore, as of September 30, 2023 the Company had right-of-use assets totaling $637,000 included in other noncurrent assets and operating lease liabilities totaling $653,000, $517,000 of which are included in other current liabilities and $136,000 of which are included in other noncurrent liabilities, and as of December 31, 2022 the Company had right-of-use assets totaling $333,000 included in other noncurrent assets and operating lease liabilities totaling $343,000, included in other current liabilities on the accompanying consolidated balance sheets. The Company does not currently have any finance right-of-use leases. Maturities of the operating lease obligations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44" w:type="dxa"/>
        <w:jc w:val="left"/>
        <w:tblInd w:w="0" w:type="dxa"/>
        <w:tblLayout w:type="fixed"/>
        <w:tblCellMar>
          <w:top w:w="0" w:type="dxa"/>
          <w:left w:w="0" w:type="dxa"/>
          <w:bottom w:w="0" w:type="dxa"/>
          <w:right w:w="0" w:type="dxa"/>
        </w:tblCellMar>
      </w:tblPr>
      <w:tblGrid>
        <w:gridCol w:w="2585"/>
        <w:gridCol w:w="60"/>
        <w:gridCol w:w="331"/>
        <w:gridCol w:w="888"/>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2023</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25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Less present value discount</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Legal actions. </w:t>
      </w: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Indemnifications. </w:t>
      </w:r>
      <w:r>
        <w:rPr>
          <w:rFonts w:ascii="Times New Roman" w:hAnsi="Times New Roman"/>
          <w:caps w:val="false"/>
          <w:smallCaps w:val="false"/>
          <w:sz w:val="20"/>
        </w:rPr>
        <w:t>The Company has agreed to indemnify its directors, officers and certain employees and agents with respect to claims and damages arising from acts or omissions taken in such capacity, as well as with respect to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Environmental. </w:t>
      </w:r>
      <w:r>
        <w:rPr>
          <w:rFonts w:ascii="Times New Roman" w:hAnsi="Times New Roman"/>
          <w:caps w:val="false"/>
          <w:smallCaps w:val="false"/>
          <w:sz w:val="20"/>
        </w:rPr>
        <w:t>Environmental expenditures that relate to an existing condition caused by past operations and have no future economic benefits 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delivery commitments.</w:t>
      </w:r>
      <w:r>
        <w:rPr>
          <w:rFonts w:ascii="Times New Roman" w:hAnsi="Times New Roman"/>
          <w:caps w:val="false"/>
          <w:smallCaps w:val="false"/>
          <w:sz w:val="20"/>
        </w:rPr>
        <w:t xml:space="preserve"> In May 2021, the Company entered into a crude oil marketing contract with DK Trading &amp; Supply, LLC (“Delek”)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September 30, 2023, the Company has delivered approximately 28,008 Bopd under the contract which is approximately 61 percent of the contracted volume for the life of the contract. The monetary commitment for the remaining 13.3 MMBbl as of September 30, 2023, if the Company never delivers any additional volumes under the agreement, is approximately $10.9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Natural gas purchasing replacement contract.</w:t>
      </w:r>
      <w:r>
        <w:rPr>
          <w:rFonts w:ascii="Times New Roman" w:hAnsi="Times New Roman"/>
          <w:caps w:val="false"/>
          <w:smallCaps w:val="false"/>
          <w:sz w:val="20"/>
        </w:rPr>
        <w:t xml:space="preserve"> In May 2021, the Company entered into a replacement natural gas purchase contract with WTG Gas Processing, L.P. (“WTG”) as the gatherer, processor and purchaser of the Company’s current and future gross natural gas production in Flat Top. The replacement contract provides the Company with improved natural gas and NGL pricing and required WTG to expand its current low-pressure gathering system, which eliminates the need for in-field compression in Flat Top to accommodate the Company’s increased natural gas production volumes based on the current plan of development. The Company provides WTG with certain aid-in-construction payments to be reimbursed over time based on throughput through the system. The replacement contract does not contain any minimum volume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Connection fee commitments.</w:t>
      </w:r>
      <w:r>
        <w:rPr>
          <w:rFonts w:ascii="Times New Roman" w:hAnsi="Times New Roman"/>
          <w:b/>
          <w:caps w:val="false"/>
          <w:smallCaps w:val="false"/>
          <w:sz w:val="20"/>
        </w:rPr>
        <w:t xml:space="preserve"> </w:t>
      </w:r>
      <w:r>
        <w:rPr>
          <w:rFonts w:ascii="Times New Roman" w:hAnsi="Times New Roman"/>
          <w:caps w:val="false"/>
          <w:smallCaps w:val="false"/>
          <w:sz w:val="20"/>
        </w:rPr>
        <w:t>As a result of the Hannathon Acquisition, the Company assumed a connection fee commitment related to a natural gas contract on certain properties whereby a minimum volume must be delivered, or the Company is obligated to reimburse WTG any shortfall by May 2025. If the Company fails to deliver any future volumes to the delivery point, the monetary commitment that remains as of September 30, 2023 would be approximately $526,000.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Power contracts.</w:t>
      </w:r>
      <w:r>
        <w:rPr>
          <w:rFonts w:ascii="Times New Roman" w:hAnsi="Times New Roman"/>
          <w:caps w:val="false"/>
          <w:smallCaps w:val="false"/>
          <w:sz w:val="20"/>
        </w:rPr>
        <w:t xml:space="preserve"> In June 2022, the Company entered into a contract with TXU Energy Retail Company LLC (“TXU”) to provide a block of electric power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Sand commitments.</w:t>
      </w:r>
      <w:r>
        <w:rPr>
          <w:rFonts w:ascii="Times New Roman" w:hAnsi="Times New Roman"/>
          <w:caps w:val="false"/>
          <w:smallCaps w:val="false"/>
          <w:sz w:val="20"/>
        </w:rPr>
        <w:t xml:space="preserve"> The Company is party to an amended agreement whereby it has agreed to purchase at least 1.6 million tons of sand over a two-year period beginning July 1, 2022. There are stipulations in the agreement that reduce this commitment should there be a downturn in crude oil prices. As of September 30, 2023, the Company has purchased approximately 988,000 tons of sand under the contract. However, generally if the Company never takes delivery of any additional sand under the agreement, the monetary commitment that remains as of September 30, 2023 is approximately $14.5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11.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Underwritten Equity Offering. </w:t>
      </w:r>
      <w:r>
        <w:rPr>
          <w:rFonts w:ascii="Times New Roman" w:hAnsi="Times New Roman"/>
          <w:caps w:val="false"/>
          <w:smallCaps w:val="false"/>
          <w:sz w:val="20"/>
        </w:rPr>
        <w:t>In connection with the Company’s underwritten equity offering in July 2023, certain of the Company’s existing 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 or entities compared with other shares sold to the public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Water Treatment.</w:t>
      </w:r>
      <w:r>
        <w:rPr>
          <w:rFonts w:ascii="Times New Roman" w:hAnsi="Times New Roman"/>
          <w:caps w:val="false"/>
          <w:smallCaps w:val="false"/>
          <w:sz w:val="20"/>
        </w:rPr>
        <w:t xml:space="preserve"> In September 2021, the Company entered into a contract with Pilot Exploration, Inc., (“Pilot”), whose President and CEO was 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nine months ended September 30, 2023 and the year ended December 31, 2022, the Company paid $1.5 million and $1.6 million, respectively, to Pilot for such services. In April 2023, the Company terminated the contract with Pilot in exchange for $6.5 million that was charged to other expense in the accompanying consolidated financial statements during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12.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Delek accounted for approximately 73% and 88% during the nine months ended September 30, 2023 and 2022, respectively, and Energy Transfer Crude Marketing, LLC (“ETC”) accounted for approximately 23% and less than 10% of the Company’s revenues during the nine months ended September 30, 2023 and 2022,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13.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Enactment of the Inflation Reduction Act of 2022.</w:t>
      </w:r>
      <w:r>
        <w:rPr>
          <w:rFonts w:ascii="Times New Roman" w:hAnsi="Times New Roman"/>
          <w:caps w:val="false"/>
          <w:smallCaps w:val="false"/>
          <w:sz w:val="20"/>
        </w:rPr>
        <w:t xml:space="preserve"> On August 16, 2022, President Biden signed into law the Inflation Reduction Act of 2022 (“IRA 2022”). The IRA 2022, among other tax provisions, imposes a 15 percent corporate alternative minimum tax on corporations with book financial statement income in excess of $1.0 billion, effective for tax years beginning after December 31, 2022. The IRA 2022 also establishes a one percent excise tax on stock repurchases made by publicly traded U.S. corporations, effective for stock repurchases in excess of an annual limit of $1.0 million after December 31, 2022. The IRA 2022 did not impact the Company’s current year tax provision or the Company’s consolidated financial statements. The Company is evaluating the accounting and disclosure implications of the IRA 2022 on its future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provision for income taxes attributable to income before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059" w:type="dxa"/>
        <w:jc w:val="left"/>
        <w:tblInd w:w="0" w:type="dxa"/>
        <w:tblLayout w:type="fixed"/>
        <w:tblCellMar>
          <w:top w:w="0" w:type="dxa"/>
          <w:left w:w="0" w:type="dxa"/>
          <w:bottom w:w="0" w:type="dxa"/>
          <w:right w:w="0" w:type="dxa"/>
        </w:tblCellMar>
      </w:tblPr>
      <w:tblGrid>
        <w:gridCol w:w="3365"/>
        <w:gridCol w:w="60"/>
        <w:gridCol w:w="144"/>
        <w:gridCol w:w="681"/>
        <w:gridCol w:w="69"/>
        <w:gridCol w:w="69"/>
        <w:gridCol w:w="144"/>
        <w:gridCol w:w="681"/>
        <w:gridCol w:w="60"/>
        <w:gridCol w:w="60"/>
        <w:gridCol w:w="134"/>
        <w:gridCol w:w="635"/>
        <w:gridCol w:w="64"/>
        <w:gridCol w:w="64"/>
        <w:gridCol w:w="134"/>
        <w:gridCol w:w="635"/>
        <w:gridCol w:w="6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Provision for current income taxes: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540" w:right="0" w:hanging="0"/>
              <w:jc w:val="left"/>
              <w:rPr/>
            </w:pPr>
            <w:r>
              <w:rPr/>
              <w:t> </w:t>
            </w:r>
          </w:p>
        </w:tc>
      </w:tr>
      <w:tr>
        <w:trPr/>
        <w:tc>
          <w:tcPr>
            <w:tcW w:w="336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540" w:right="0" w:hanging="0"/>
              <w:jc w:val="left"/>
              <w:rPr/>
            </w:pPr>
            <w:r>
              <w:rPr/>
              <w:t> </w:t>
            </w:r>
          </w:p>
        </w:tc>
      </w:tr>
      <w:tr>
        <w:trPr/>
        <w:tc>
          <w:tcPr>
            <w:tcW w:w="336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1080" w:right="0" w:hanging="0"/>
              <w:jc w:val="left"/>
              <w:rPr/>
            </w:pPr>
            <w:r>
              <w:rPr/>
              <w:t> </w:t>
            </w:r>
          </w:p>
        </w:tc>
      </w:tr>
      <w:tr>
        <w:trPr/>
        <w:tc>
          <w:tcPr>
            <w:tcW w:w="3365" w:type="dxa"/>
            <w:tcBorders/>
            <w:shd w:fill="FFFFFF" w:val="clear"/>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Total provision for current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Provision for deferred income taxes: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540" w:right="0" w:hanging="0"/>
              <w:jc w:val="left"/>
              <w:rPr/>
            </w:pPr>
            <w:r>
              <w:rPr/>
              <w:t> </w:t>
            </w:r>
          </w:p>
        </w:tc>
      </w:tr>
      <w:tr>
        <w:trPr/>
        <w:tc>
          <w:tcPr>
            <w:tcW w:w="336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36,388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53,726</w:t>
            </w:r>
          </w:p>
        </w:tc>
        <w:tc>
          <w:tcPr>
            <w:tcW w:w="60" w:type="dxa"/>
            <w:tcBorders/>
            <w:shd w:fill="FFFFFF" w:val="clear"/>
            <w:vAlign w:val="center"/>
          </w:tcPr>
          <w:p>
            <w:pPr>
              <w:pStyle w:val="TableContents"/>
              <w:bidi w:val="0"/>
              <w:spacing w:before="0" w:after="283"/>
              <w:ind w:left="540" w:right="0" w:hanging="0"/>
              <w:jc w:val="left"/>
              <w:rPr/>
            </w:pPr>
            <w:r>
              <w:rPr/>
              <w:t> </w:t>
            </w:r>
          </w:p>
        </w:tc>
      </w:tr>
      <w:tr>
        <w:trPr/>
        <w:tc>
          <w:tcPr>
            <w:tcW w:w="336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1080" w:right="0" w:hanging="0"/>
              <w:jc w:val="left"/>
              <w:rPr/>
            </w:pPr>
            <w:r>
              <w:rPr/>
              <w:t> </w:t>
            </w:r>
          </w:p>
        </w:tc>
      </w:tr>
      <w:tr>
        <w:trPr/>
        <w:tc>
          <w:tcPr>
            <w:tcW w:w="3365" w:type="dxa"/>
            <w:tcBorders/>
            <w:shd w:fill="FFFFFF" w:val="clear"/>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Total provision for deferred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14,100</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14,100</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reconciliation between the provision for income taxes computed by multiplying pre-tax income by the U.S. federal statutory rate and the reported amounts of provision for income taxes is as follows (in thousands, except rate):</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4460"/>
        <w:gridCol w:w="60"/>
        <w:gridCol w:w="136"/>
        <w:gridCol w:w="646"/>
        <w:gridCol w:w="202"/>
        <w:gridCol w:w="65"/>
        <w:gridCol w:w="136"/>
        <w:gridCol w:w="646"/>
        <w:gridCol w:w="185"/>
        <w:gridCol w:w="60"/>
        <w:gridCol w:w="127"/>
        <w:gridCol w:w="604"/>
        <w:gridCol w:w="189"/>
        <w:gridCol w:w="61"/>
        <w:gridCol w:w="127"/>
        <w:gridCol w:w="604"/>
        <w:gridCol w:w="18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 at U.S.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11,105</w:t>
            </w:r>
          </w:p>
        </w:tc>
        <w:tc>
          <w:tcPr>
            <w:tcW w:w="2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33,414</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47,106</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tax benefit due to stock-based compensation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2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6,128</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deferred income taxes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w:t>
            </w:r>
          </w:p>
        </w:tc>
        <w:tc>
          <w:tcPr>
            <w:tcW w:w="2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1,723</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14,100</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2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tax effects of temporary differences that give rise to significant portions of the deferred tax assets and liabilities were as follows as of September 30, 2023 and December 31, 2022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9"/>
        <w:gridCol w:w="60"/>
        <w:gridCol w:w="154"/>
        <w:gridCol w:w="939"/>
        <w:gridCol w:w="80"/>
        <w:gridCol w:w="60"/>
        <w:gridCol w:w="148"/>
        <w:gridCol w:w="902"/>
        <w:gridCol w:w="83"/>
      </w:tblGrid>
      <w:tr>
        <w:trPr/>
        <w:tc>
          <w:tcPr>
            <w:tcW w:w="7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779"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779"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limitations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10,623</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779"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5,496</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779"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4,102</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779"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Unrecognized derivative losses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3,756</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779"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779"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Less: Valuation allowance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720" w:right="0" w:hanging="0"/>
              <w:jc w:val="left"/>
              <w:rPr/>
            </w:pPr>
            <w:r>
              <w:rPr/>
              <w:t> </w:t>
            </w:r>
          </w:p>
        </w:tc>
      </w:tr>
      <w:tr>
        <w:trPr/>
        <w:tc>
          <w:tcPr>
            <w:tcW w:w="7779"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24,009</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779"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540" w:right="0" w:hanging="0"/>
              <w:jc w:val="left"/>
              <w:rPr/>
            </w:pPr>
            <w:r>
              <w:rPr/>
              <w:t> </w:t>
            </w:r>
          </w:p>
        </w:tc>
      </w:tr>
      <w:tr>
        <w:trPr/>
        <w:tc>
          <w:tcPr>
            <w:tcW w:w="7779"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Crude oil and natural gas properties, principally due to differences in basis and depreciation and the deduction of intangible drilling costs for tax purposes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(226,270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(155,169</w:t>
            </w:r>
          </w:p>
        </w:tc>
        <w:tc>
          <w:tcPr>
            <w:tcW w:w="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79"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Unrecognized derivative gains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3" w:type="dxa"/>
            <w:tcBorders>
              <w:bottom w:val="single" w:sz="2" w:space="0" w:color="000000"/>
            </w:tcBorders>
            <w:shd w:fill="CCEEFF" w:val="clear"/>
            <w:tcMar>
              <w:bottom w:w="28" w:type="dxa"/>
            </w:tcM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79"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(226,270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(155,173</w:t>
            </w:r>
          </w:p>
        </w:tc>
        <w:tc>
          <w:tcPr>
            <w:tcW w:w="83" w:type="dxa"/>
            <w:tcBorders>
              <w:bottom w:val="single" w:sz="2" w:space="0" w:color="000000"/>
            </w:tcBorders>
            <w:shd w:fill="FFFFFF" w:val="clear"/>
            <w:tcMar>
              <w:bottom w:w="28" w:type="dxa"/>
            </w:tcM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779" w:type="dxa"/>
            <w:tcBorders/>
            <w:shd w:fill="CCEEFF" w:val="clear"/>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(169,414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(131,164</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September 30, 2023 and December 31, 2022,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expense realized during the nine months ended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no current Texas Margin Tax in the accompanying consolidated financial statements as we do not anticipate owing any Texas Margin Tax for 2023 or 2022. However, the Company has recognized a net deferred Texas Margin Tax liability of $6.0 million and $4.1 million as of September 30, 2023 and December 31, 2022, respectively,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14.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the two-class method of calculating earnings per share because certain of the Company’s stock-based awards qualify as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Company’s earnings from operations and earnings attributable to common stockholders to the basic and diluted earnings used to determine the Company’s earnings per share amounts for the three and nine months ended September 30, 2023 and 2022 under the two-class method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7"/>
        <w:gridCol w:w="60"/>
        <w:gridCol w:w="205"/>
        <w:gridCol w:w="1141"/>
        <w:gridCol w:w="131"/>
        <w:gridCol w:w="97"/>
        <w:gridCol w:w="205"/>
        <w:gridCol w:w="1141"/>
        <w:gridCol w:w="80"/>
        <w:gridCol w:w="60"/>
        <w:gridCol w:w="197"/>
        <w:gridCol w:w="1100"/>
        <w:gridCol w:w="126"/>
        <w:gridCol w:w="94"/>
        <w:gridCol w:w="197"/>
        <w:gridCol w:w="1100"/>
        <w:gridCol w:w="84"/>
      </w:tblGrid>
      <w:tr>
        <w:trPr/>
        <w:tc>
          <w:tcPr>
            <w:tcW w:w="4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September 30, </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6" w:type="dxa"/>
            <w:tcBorders>
              <w:bottom w:val="single" w:sz="2"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1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as reported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38,779</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120,862</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168,955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1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Participating basic earnings (a)</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(3,771</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(12,413</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(16,718</w:t>
            </w:r>
          </w:p>
        </w:tc>
        <w:tc>
          <w:tcPr>
            <w:tcW w:w="84"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1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 earnings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35,008</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108,449</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152,237</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1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Reallocation of participating earnings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41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 net income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35,062</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108,641</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152,537</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1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123,159</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115,164</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102,614</w:t>
            </w:r>
          </w:p>
        </w:tc>
        <w:tc>
          <w:tcPr>
            <w:tcW w:w="84" w:type="dxa"/>
            <w:tcBorders/>
            <w:shd w:fill="CCEEFF" w:val="clear"/>
            <w:vAlign w:val="center"/>
          </w:tcPr>
          <w:p>
            <w:pPr>
              <w:pStyle w:val="TableContents"/>
              <w:bidi w:val="0"/>
              <w:spacing w:before="0" w:after="283"/>
              <w:ind w:left="180" w:right="0" w:hanging="0"/>
              <w:jc w:val="left"/>
              <w:rPr/>
            </w:pPr>
            <w:r>
              <w:rPr/>
              <w:t> </w:t>
            </w:r>
          </w:p>
        </w:tc>
      </w:tr>
      <w:tr>
        <w:trPr/>
        <w:tc>
          <w:tcPr>
            <w:tcW w:w="41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Dilutive warrants and unvested stock options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1,688</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3,208</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4,408</w:t>
            </w:r>
          </w:p>
        </w:tc>
        <w:tc>
          <w:tcPr>
            <w:tcW w:w="84" w:type="dxa"/>
            <w:tcBorders/>
            <w:shd w:fill="FFFFFF" w:val="clear"/>
            <w:vAlign w:val="center"/>
          </w:tcPr>
          <w:p>
            <w:pPr>
              <w:pStyle w:val="TableContents"/>
              <w:bidi w:val="0"/>
              <w:spacing w:before="0" w:after="283"/>
              <w:ind w:left="180" w:right="0" w:hanging="0"/>
              <w:jc w:val="left"/>
              <w:rPr/>
            </w:pPr>
            <w:r>
              <w:rPr/>
              <w:t> </w:t>
            </w:r>
          </w:p>
        </w:tc>
      </w:tr>
      <w:tr>
        <w:trPr/>
        <w:tc>
          <w:tcPr>
            <w:tcW w:w="41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Dilutive unvested restricted stock</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2,122</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1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127,006</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120,531</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109,144</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calculation for weighted average shares reflects shares outstanding over the reporting period based on the actual number of days the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15.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Issuance of common stock. </w:t>
      </w:r>
      <w:r>
        <w:rPr>
          <w:rFonts w:ascii="Times New Roman" w:hAnsi="Times New Roman"/>
          <w:caps w:val="false"/>
          <w:smallCaps w:val="false"/>
          <w:sz w:val="20"/>
        </w:rPr>
        <w:t>On July 19, 2023, the Company closed an aggregate $155.8 million public stock offering of 14,835,000 newly issued shares of HighPeak Energy common stock in an underwritten public offering at a price per share of $10.50. The remaining 220,896 shares of HighPeak Energy common stock issued during the nine months ended September 30, 2023 were the result of warrants (150,295 shares) being exercised, the issuance of restricted stock (58,767 shares) to outside directors and stock options (11,834 shares) being exercised. On March 25, 2022, June 21, 2022 and June 27, 2022, respectively, the Company issued 6,960,000, 371,517 and 3,522,117 shares of HighPeak Energy common stock related to the aforementioned Alamo Acquisitions and Hannathon Acquisition. On June 1, 2022, the Company issued 21,184 and 600,000 shares of restricted stock to outside directors and certain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980,488 shares of HighPeak Energy common stock issued during the nine months ended September 30, 2022 were the result of warrants (968,448 shares) and stock options (12,000 shares)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Dividends and Dividend Equivalents</w:t>
      </w:r>
      <w:r>
        <w:rPr>
          <w:rFonts w:ascii="Times New Roman" w:hAnsi="Times New Roman"/>
          <w:caps w:val="false"/>
          <w:smallCaps w:val="false"/>
          <w:sz w:val="20"/>
        </w:rPr>
        <w:t>. In July 2023, the Board declared a quarterly dividend of $0.025 per share of common stock outstanding which resulted in a total of $3.2 million in dividends being paid on August 25, 2023. In addition, under the terms of the LTIP, the Company paid a dividend equivalent per share to all vested stock option holders of $333,000 in August 2023 and accrued a dividend equivalent per share to all unvested stock option holders which was payable upon vesting of up to an additional $4,000, assuming no forfeitures. In addition, the Company accrued an additional combined $54,000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April 2023, the Board declared a quarterly dividend of $0.025 per share of common stock outstanding which resulted in a total of $2.8 million in dividends being paid on May 25, 2023. In addition, under the terms of the LTIP, the Company paid a dividend equivalent per share to all vested stock option holders of $282,000 in May 2023 and accrued a dividend equivalent per share to all unvested stock option holders which was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$283,000 in February 2023 and accrued a dividend equivalent per share to all unvested stock option holders which was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2022, the board of directors of the Company declared a quarterly dividend of $0.025 per share of common stock outstanding which resulted in a total of $2.7 million in dividends being paid on August 25, 2022. In addition, under the terms of the LTIP, the Company paid a dividend equivalent per share to all vested stock option holders of $263,000 in August 2022 and accrued a dividend equivalent per share to all unvested stock option holders which was payable upon vesting of up to an additional $7,000, assuming no forfeitures. In addition, the Company accrued an additional combined $53,000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April 2022, the Board approved a quarterly dividend of $0.025 per share of common stock outstanding which resulted in a total of $2.6 million in dividends being paid on May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May 2022 and up to an additional $2,000, assuming no forfeitures. In addition, the Company accrued an additional combined $53,000 in dividends on the restricted stock issued to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$2,000, assuming no forfeitures. In addition, the Company accrued an additional combined $53,000 in dividends on the restricted stock issued to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Outstanding securities. </w:t>
      </w:r>
      <w:r>
        <w:rPr>
          <w:rFonts w:ascii="Times New Roman" w:hAnsi="Times New Roman"/>
          <w:caps w:val="false"/>
          <w:smallCaps w:val="false"/>
          <w:sz w:val="20"/>
        </w:rPr>
        <w:t>At September 30, 2023 and December 31, 2022, the Company had 128,220,923 and 113,165,027 shares of common stock outstanding, respectively, and 8,134,977 and 8,285,272 warrants outstanding, respectively, with an exercise price of $11.50 per share that expire on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16.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October 2023, the Board approved a quarterly dividend of $0.025 per share of common stock outstanding which will result in a total of approximately $3.2 million in dividends to be paid on November 22, 2023. In addition, under the terms of the LTIP, the Company will pay a dividend equivalent per share to all vested stock option holders of $335,000 in November 2023 and will accrue a dividend equivalent per share to all unvested stock option holders which is payable upon vesting of up to an additional $2,000, assuming no forfeitures. In addition, the Company will accrue an additional combined $54,000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Senior Credit Facility Agreement.</w:t>
      </w:r>
      <w:r>
        <w:rPr>
          <w:rFonts w:ascii="Times New Roman" w:hAnsi="Times New Roman"/>
          <w:caps w:val="false"/>
          <w:smallCaps w:val="false"/>
          <w:sz w:val="20"/>
        </w:rPr>
        <w:t xml:space="preserve"> On November 1, 2023, the Company entered into a Credit Agreement with Fifth Third as the administrative agent and as the collateral agent and a number of banks included in the syndicate at differing levels of commitments to establish a senior revolving credit facility that matures on September 30, 2026. See Note 7 above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 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i/>
          <w:caps w:val="false"/>
          <w:smallCaps w:val="false"/>
          <w:sz w:val="20"/>
          <w:u w:val="single"/>
        </w:rPr>
        <w:t xml:space="preserve">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 </w:t>
      </w:r>
      <w:r>
        <w:rPr>
          <w:rFonts w:ascii="Times New Roman" w:hAnsi="Times New Roman"/>
          <w:caps w:val="false"/>
          <w:smallCaps w:val="false"/>
          <w:sz w:val="20"/>
        </w:rPr>
        <w:t>“</w:t>
      </w:r>
      <w:r>
        <w:rPr>
          <w:rFonts w:ascii="Times New Roman" w:hAnsi="Times New Roman"/>
          <w:i/>
          <w:caps w:val="false"/>
          <w:smallCaps w:val="false"/>
          <w:sz w:val="20"/>
          <w:u w:val="single"/>
        </w:rPr>
        <w:t>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 xml:space="preserve">looking statements due to a number of factors. Factors that could cause or contribute to such differences include, but are not limited to, market prices for crude oil, NGL and natural gas, capital expenditures, economic and competitive conditions, regulatory changes and other uncertainties. Please read </w:t>
      </w:r>
      <w:r>
        <w:rPr>
          <w:rFonts w:ascii="Times New Roman" w:hAnsi="Times New Roman"/>
          <w:caps w:val="false"/>
          <w:smallCaps w:val="false"/>
          <w:sz w:val="20"/>
        </w:rPr>
        <w:t>“</w:t>
      </w:r>
      <w:r>
        <w:rPr>
          <w:rFonts w:ascii="Times New Roman" w:hAnsi="Times New Roman"/>
          <w:i/>
          <w:caps w:val="false"/>
          <w:smallCaps w:val="false"/>
          <w:sz w:val="20"/>
          <w:u w:val="single"/>
        </w:rPr>
        <w:t>Cautionary Statement</w:t>
      </w:r>
      <w:r>
        <w:rPr>
          <w:rFonts w:ascii="Times New Roman" w:hAnsi="Times New Roman"/>
          <w:caps w:val="false"/>
          <w:smallCaps w:val="false"/>
          <w:sz w:val="20"/>
        </w:rPr>
        <w:t> </w:t>
      </w:r>
      <w:r>
        <w:rPr>
          <w:rFonts w:ascii="Times New Roman" w:hAnsi="Times New Roman"/>
          <w:i/>
          <w:caps w:val="false"/>
          <w:smallCaps w:val="false"/>
          <w:sz w:val="20"/>
          <w:u w:val="single"/>
        </w:rPr>
        <w:t>Concerning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We assume no obligation to update any of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was formed in October 2019. The Company’s assets are located primarily in Howard and Borden Counties, Texas, and to a lesser extent Scurry and Mitchell Counties, which lie within the northeastern part of the crude oil-rich Midland Basin. As of September 30, 2023, the assets consisted of two generally contiguous leasehold positions of approximately 126,988 gross (114,324 net) acres (consisting of 64,142 net acres in our Flat Top area to the north and 50,182 net acres in our Signal Peak area to the south) covering various subsurface depths, approximately 65% of which were held by production, with an average working interest of approximately 90%. We operate approximately 98% of the net acreage across the Company’s assets and more than 90% of the net operated acreage provides for horizontal wells with lateral lengths of 10,000 feet or greater. For the nine months ended September 30, 2023, approximately 93% and 7% of sales volumes from the assets were attributable to liquids (both crude oil and NGL) and natural gas, respectively. As of September 30, 2023, HighPeak Energy was developing its properties using two (2) drilling rigs and one (1) frac fleet and expects to average two to three (2-3) drilling rigs and one to two (1-2) frac crews for the remainder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Refinancing. </w:t>
      </w:r>
      <w:r>
        <w:rPr>
          <w:rFonts w:ascii="Times New Roman" w:hAnsi="Times New Roman"/>
          <w:caps w:val="false"/>
          <w:smallCaps w:val="false"/>
          <w:sz w:val="20"/>
        </w:rPr>
        <w:t>In September 2023, we completed a refinancing of our long-term debt in its entirety by entering into an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$23.0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contains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Capitol or the subject of the Security Documents (as defined in the Collateral Agency Agreement) and to enforce the Security Documents and all interests, rights, powers and remedies of Texas Capital with respect thereto or thereunder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quarter end, but included in part of the refinancing of the Companies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 borrowing capacity of $100.0 million with elected commitments of $75.0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Public stock offering.</w:t>
      </w:r>
      <w:r>
        <w:rPr>
          <w:rFonts w:ascii="Times New Roman" w:hAnsi="Times New Roman"/>
          <w:caps w:val="false"/>
          <w:smallCaps w:val="false"/>
          <w:sz w:val="20"/>
        </w:rPr>
        <w:t>  In July 2023, we completed a public stock offering whereby we issued 14,835,000 shares of common stock at a price of $10.50, netting proceeds to the Company of approximately $151.2 million that was used for working capital and to otherwise enhance near-term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January, April and July 2023, the Board declared a quarterly dividend of $0.025 per share of common stock outstanding which resulted in a total of $2.8 million, $2.8 million and $3.2 million, respectively, in dividends being paid on February 24, 2023, May 25, 2023 and August 25, 2023, respectively. In addition, under the terms of the LTIP, the Company paid a dividend equivalent per share to all vested stock option holders of $283,000 in February 2023, $282,000 in May 2023 and $333,000 in August 2023 and accrued a dividend equivalent per share to all unvested stock option holders which is payable upon vesting of up to an additional $7,000 in February 2023, $5,000 in May 2023 and $4,000 in August 2023, respectively, assuming no forfeitures. In addition, the Company accrued an additional combined $53,000 in February 2023, $53,000 in May 2023 and $54,000 in August 2023 in dividends on the restricted stock issued to directors, management directors and certain employees that will be payable upon vesting.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nine months ended September 30, 2023, the Company incurred a total of $9.6 million in acquisition costs to acquire additional bolt-on undeveloped acreage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and Natural Gas Industry Considerations. </w:t>
      </w:r>
      <w:r>
        <w:rPr>
          <w:rFonts w:ascii="Times New Roman" w:hAnsi="Times New Roman"/>
          <w:caps w:val="false"/>
          <w:smallCaps w:val="false"/>
          <w:sz w:val="20"/>
        </w:rPr>
        <w:t>The COVID-19 pandemic resulted in a severe worldwide economic downturn, significantly disrupting the demand for crude oil throughout the world, and created significant volatility, uncertainty and turmoil in the crude oil and natural gas industry. The decrease in demand for crude oil, combined with excess supply of crude oil and related products, resulted in crude oil prices declining significantly beginning in late February 2020. Since mid-2020, crude oil prices have improved, with demand steadily increasing despite the uncertainties surrounding the COVID-19 variants that have continued to inhibit a full global demand recovery. In addition, worldwide crude oil inventories are, from a historical perspective, very low and concerns exist with the ability of OPEC and other crude oil producing nations to meet forecasted crude oil demand growth in 2023, with many OPEC countries not able to produce at their OPEC agreed upon quota levels due to their lack of capital investments over the past few years in developing incremental crude oil supplies. Furthermore,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However, as a result of current global supply and demand imbalances, crude oil and natural gas prices remain strong, although down from the prior quarter. In addition, the ongoing pandemic, combined with the conflict between Russia and Ukraine, has resulted in global supply chain disruptions, which has led to significant cost inflation. Such impacts may also be exacerbated by recent developments in the Israel-Hamas conflict. Specifically, the Company’s 2023 capital program has been and continues to be impacted by higher inflation in steel, diesel, chemical prices and services, among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Global crude oil price levels and inflationary pressures will ultimately depend on various factors that are beyond the Company’s control, such as (i) 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conflict,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2018 through September 30, 2023, the calendar month average NYMEX WTI crude oil price per Bbl ranged from a low of $16.70 to a high of $114.34, and the last trading day NYMEX natural gas price per MMBtu ranged from a low of $1.50 to a high of $9.35.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markets for the commodities produced by our industry strengthened in 2021 and remained strong in 2022 and continuing in 2023, although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in Russia and Ukraine and in Israel and the Gaza Strip, the COVID-19 pandemic, rising interest rates and associated policies of the Federal Reserve, which could adversely affect HighPeak Energy. Additionally, in April 2023, OPEC announced production cuts of around 1.16 million Bopd.  On June 4, 2023, OPEC agreed to extend these previously announced production cuts through the end of 2024.  On July 3, 2023, Saudi Arabia announced it was extending voluntary cuts through August 2023.  The actions of OPEC with respect to crude oil production levels, including agreement on and compliance with production cuts, may result in further volatility in commodity prices and the crude oil and natural gas industry generally.  Additionally, the impact of inflation as well as rising interest rates continue to have a negative impact on our cash flows and results of operations. For additional information on the risks, see “Part I, Item 1A. Risk Factors” in the Company’s Annual Report on Form 10-K for the year ended December 31, 2022, filed with the SEC on March 6, 2023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dynamic nature of this situation, the Company is maintaining flexibility in its capital plan as indicated by its recent shift to an anticipated two to three (2-3) drilling rig program for the remainder of the year.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On January 23, 2023, the Company announced the intention of its Board to initiate a process to evaluate certain strategic alternatives to maximize shareholder value, including a potential sale of the Company. Wells Fargo Securities, LLC has been retained as a financial advisor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pStyle w:val="TextBody"/>
        <w:bidi w:val="0"/>
        <w:spacing w:before="0" w:after="0"/>
        <w:ind w:left="0" w:right="0" w:firstLine="5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and operating performance for the three months ended September 30, 2023 included the following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$38.8 million ($0.27 per diluted share) for the three months ended September 30, 2023 compared with $107.9 million for three months ended September 30, 2022. The primary components of the $69.1 million decrease in net income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$74.8 million increase in DD&amp;A expense due to a 101% increase in daily sales volumes as a result of the Company’s successful horizontal drilling program and to a lesser extent, bolt-on acquisitions, in addition to a 37% increase in the DD&amp;A rate from $17.65 to $24.21 per Boe as a result of significant inflationary pressures on capital costs as well as bolt-on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$65.5 million decrease in the Company's net derivative instruments gain from a $35.8 million gain to a $29.7 million loss year over year as a result of its crude oil commodity contracts entered into and the increase in crude oil prices thereafter;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$27.3 million increase in loss on extinguishment of debt as a result of the Company refinancing its debt which resulted in the recognition of a loss thereon, which included $22.8 million of unamortized debt issuance costs and discounts and a make whole premium on the 10.625% Senior Notes of $4.5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$22.4 million increase in interest expense due to the increase in the Company’s overall indebtedness and increased amortization of debt issuance costs and discounts;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$20.1 million increase in lease operating expenses related primarily to the increased well count and production from the Company’s successful horizontal drilling program, increased power and chemical costs, repair and maintenance costs and other inflationary pressures;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$8.3 million increase in production and ad valorem taxes, primarily attributable to the 101% increase in daily sales volumes as a result of the Company’s successful horizontal drilling program partially offset by 17% lower production taxes on a dollar per Boe basis due to lower overall realized prices of 16%, excluding the effects of derivatives;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$5.1 million increase in the Company’s general and administrative expenses primarily attributable to accrued yearend bonuses, increased internal and external audit costs and legal expenses as a result of the growth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$3.4 million increase in the Company's stock-based compensation expense as a result of more stock options being issued relative to the prior period;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$1.4 million increase in exploration and abandonments expense primarily due to an increase in leasehold abandonments and plugging and abandonment expenses related to legacy vertical wells;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$141.5 million increase in crude oil, NGL and natural gas revenues due to a 101% increase in daily sales volumes resulting from the Company’s successful horizontal drilling program, partially offset by a 16% decrease in average realized commodity prices per Boe, excluding the effects of derivatives;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$17.5 million decrease in the Company’s income tax expense due to the net income realized during the three months ended September 30, 2023 compared with the net income during the three months ended September 30, 2022;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$729,000 increase in the Company’s interest income due to the increased cash on hand (interest-bearing) subsequent to the closing of the Term Loan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2023, average daily sales volumes totaled 52,708 Boe/d, compared with 26,247 Boe/d during the same period in 2022, an increase of 101%, due to the Company’s successful horizontal drilling program, and to a lesser extent, bolt-on acquisitions.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Weighted average realized crude oil prices per Bbl, excluding the effects of derivatives, decreased during the three months ended September 30, 2023 to $82.87, compared with $94.21 for the same period in 2022. Weighted average NGL prices per Bbl decreased during the three months ended September 30, 2023 to $20.08, compared with $36.59 for the same period in 2022. Weighted average natural gas prices per Mcf decreased to $1.89 during the three months ended September 30, 2023, compared with $7.73 during the same period in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operating activities totaled $521.7 million for the three months ended September 30, 2023, compared with $302.8 million for the three months ended September 30,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 financial instrument exposure. </w:t>
      </w:r>
      <w:r>
        <w:rPr>
          <w:rFonts w:ascii="Times New Roman" w:hAnsi="Times New Roman"/>
          <w:caps w:val="false"/>
          <w:smallCaps w:val="false"/>
          <w:sz w:val="20"/>
        </w:rPr>
        <w:t>As of September 30, 2023, the Company was a party to the following open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8267" w:type="dxa"/>
        <w:jc w:val="left"/>
        <w:tblInd w:w="0" w:type="dxa"/>
        <w:tblLayout w:type="fixed"/>
        <w:tblCellMar>
          <w:top w:w="0" w:type="dxa"/>
          <w:left w:w="0" w:type="dxa"/>
          <w:bottom w:w="0" w:type="dxa"/>
          <w:right w:w="0" w:type="dxa"/>
        </w:tblCellMar>
      </w:tblPr>
      <w:tblGrid>
        <w:gridCol w:w="950"/>
        <w:gridCol w:w="60"/>
        <w:gridCol w:w="905"/>
        <w:gridCol w:w="60"/>
        <w:gridCol w:w="770"/>
        <w:gridCol w:w="60"/>
        <w:gridCol w:w="60"/>
        <w:gridCol w:w="590"/>
        <w:gridCol w:w="60"/>
        <w:gridCol w:w="60"/>
        <w:gridCol w:w="500"/>
        <w:gridCol w:w="60"/>
        <w:gridCol w:w="125"/>
        <w:gridCol w:w="485"/>
        <w:gridCol w:w="60"/>
        <w:gridCol w:w="60"/>
        <w:gridCol w:w="198"/>
        <w:gridCol w:w="770"/>
        <w:gridCol w:w="95"/>
        <w:gridCol w:w="95"/>
        <w:gridCol w:w="198"/>
        <w:gridCol w:w="937"/>
        <w:gridCol w:w="95"/>
        <w:gridCol w:w="95"/>
        <w:gridCol w:w="212"/>
        <w:gridCol w:w="647"/>
        <w:gridCol w:w="6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Swaps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4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Deferred Premium Collars &amp; Deferred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Premium Puts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Settlement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w:t>
            </w:r>
          </w:p>
        </w:tc>
        <w:tc>
          <w:tcPr>
            <w:tcW w:w="60" w:type="dxa"/>
            <w:tcBorders/>
            <w:vAlign w:val="center"/>
          </w:tcPr>
          <w:p>
            <w:pPr>
              <w:pStyle w:val="TableContents"/>
              <w:bidi w:val="0"/>
              <w:spacing w:before="0" w:after="283"/>
              <w:ind w:left="0" w:right="0" w:hanging="0"/>
              <w:jc w:val="center"/>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Settlement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vAlign w:val="center"/>
          </w:tcPr>
          <w:p>
            <w:pPr>
              <w:pStyle w:val="TableContents"/>
              <w:bidi w:val="0"/>
              <w:spacing w:before="0" w:after="283"/>
              <w:ind w:left="0" w:right="0" w:hanging="0"/>
              <w:jc w:val="center"/>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Type of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Bbls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Day</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Floor or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Strike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Ceiling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Deferred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Premium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Crude Oil:</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60.41</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 Dec</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 Mar</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 - Jun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CCEEFF" w:val="clear"/>
            <w:vAlign w:val="center"/>
          </w:tcPr>
          <w:p>
            <w:pPr>
              <w:pStyle w:val="TableContents"/>
              <w:bidi w:val="0"/>
              <w:spacing w:before="0" w:after="283"/>
              <w:ind w:left="0" w:right="0" w:hanging="0"/>
              <w:jc w:val="center"/>
              <w:rPr/>
            </w:pPr>
            <w:r>
              <w:rPr/>
              <w:t> </w:t>
            </w:r>
          </w:p>
        </w:tc>
        <w:tc>
          <w:tcPr>
            <w:tcW w:w="90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ind w:left="0" w:right="0" w:hanging="0"/>
              <w:jc w:val="center"/>
              <w:rPr/>
            </w:pPr>
            <w:r>
              <w:rPr/>
              <w:t> </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Swap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shd w:fill="FFFFFF" w:val="clear"/>
            <w:vAlign w:val="center"/>
          </w:tcPr>
          <w:p>
            <w:pPr>
              <w:pStyle w:val="TableContents"/>
              <w:bidi w:val="0"/>
              <w:spacing w:before="0" w:after="283"/>
              <w:ind w:left="0" w:right="0" w:hanging="0"/>
              <w:jc w:val="center"/>
              <w:rPr/>
            </w:pPr>
            <w:r>
              <w:rPr/>
              <w:t> </w:t>
            </w:r>
          </w:p>
        </w:tc>
        <w:tc>
          <w:tcPr>
            <w:tcW w:w="90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ind w:left="0" w:right="0" w:hanging="0"/>
              <w:jc w:val="center"/>
              <w:rPr/>
            </w:pPr>
            <w:r>
              <w:rPr/>
              <w:t> </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Collar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5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 - Sep</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WTI</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estimated fair value of the outstanding open derivative financial instruments as of September 30, 2023 was a net liability of $27.2 million which is included in current assets, noncurrent assets, current liabilities and noncurrent liabilities on the Company’s consolidated balance sheet as of September 30, 2023. During the nine months ended September 30, 2023, the Company recognized a net derivative loss of $30.9 million, including $21.0 million in net monthly settlement payments and a $9.9 million mark-to-market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Operations and Drilling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crude oil, NGL and natural gas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2799" w:type="dxa"/>
        <w:jc w:val="left"/>
        <w:tblInd w:w="0" w:type="dxa"/>
        <w:tblLayout w:type="fixed"/>
        <w:tblCellMar>
          <w:top w:w="0" w:type="dxa"/>
          <w:left w:w="0" w:type="dxa"/>
          <w:bottom w:w="0" w:type="dxa"/>
          <w:right w:w="0" w:type="dxa"/>
        </w:tblCellMar>
      </w:tblPr>
      <w:tblGrid>
        <w:gridCol w:w="1460"/>
        <w:gridCol w:w="60"/>
        <w:gridCol w:w="111"/>
        <w:gridCol w:w="1108"/>
        <w:gridCol w:w="6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37,171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18,221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Company’s liquids production was 93 percent of total production on a Boe basis for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Costs incurred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3005"/>
        <w:gridCol w:w="60"/>
        <w:gridCol w:w="185"/>
        <w:gridCol w:w="1034"/>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Unproved property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Proved acquisition costs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300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acquisitions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423,812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Exploration costs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416,159</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300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finding and development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849,573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854</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costs incurred</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850,427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number of horizontal producing wells drilled and completed during the nine months ended September 30, 2023:</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1355"/>
        <w:gridCol w:w="60"/>
        <w:gridCol w:w="115"/>
        <w:gridCol w:w="444"/>
        <w:gridCol w:w="60"/>
        <w:gridCol w:w="60"/>
        <w:gridCol w:w="60"/>
        <w:gridCol w:w="380"/>
        <w:gridCol w:w="60"/>
        <w:gridCol w:w="60"/>
        <w:gridCol w:w="115"/>
        <w:gridCol w:w="444"/>
        <w:gridCol w:w="69"/>
        <w:gridCol w:w="69"/>
        <w:gridCol w:w="69"/>
        <w:gridCol w:w="438"/>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Drilled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Completed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5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Flat Top area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Signal Peak area</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2023, HighPeak Energy was developing its properties using two (2) drilling rigs and one (1) frac crew in addition to having a third rig drilling salt-water disposal wells. With the continued threat of an extensive recession and uncertainty of the debt refinancing, the Company released a frac crew in the first week of July and now expects to average two to three (2-3) drilling rigs and one to two (1-2) frac crews for the remainder of 2023. However, the scope, duration and magnitude of the direct and indirect effects of the COVID-19 pandemic, the war between Russia and Ukraine, the Israel-Hamas conflict and the production cuts announced by OPEC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2023, the Company successfully completed and placed on production seventy-two (72) gross (64.2 net) horizontal wells in the Flat Top area and twenty-five (25) gross (24.7 net) horizontal wells in the Signal Peak area. The Company had twenty-five (25) gross (18.6 net) wells that had been drilled and were in various stages of completion as of September 30, 2023, seventeen (17) gross (16.0 net) of which are in the Flat Top area, and eight (8) gross (2.7 net) of which are in the Signal Peak area. In addition, as of September 30, 2023, the Company was in the process of drilling two (2) gross (2.0 net) horizontal wells in the Flat Top area and five (5) gross (5.0 net) horizontal wells in the Signal Peak area. In addition to the aforementioned numbers are two (2) gross (2.0 net) salt-water disposal wells that have been finished and placed in service during the nine months ended September 30, 2023 and an additional four (4) gross (4.0 net) salt-water disposal wells that were in progress as of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NGL and natural gas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460"/>
        <w:gridCol w:w="60"/>
        <w:gridCol w:w="75"/>
        <w:gridCol w:w="743"/>
        <w:gridCol w:w="75"/>
        <w:gridCol w:w="75"/>
        <w:gridCol w:w="75"/>
        <w:gridCol w:w="743"/>
        <w:gridCol w:w="60"/>
        <w:gridCol w:w="60"/>
        <w:gridCol w:w="143"/>
        <w:gridCol w:w="806"/>
        <w:gridCol w:w="185"/>
        <w:gridCol w:w="60"/>
        <w:gridCol w:w="70"/>
        <w:gridCol w:w="693"/>
        <w:gridCol w:w="70"/>
        <w:gridCol w:w="70"/>
        <w:gridCol w:w="70"/>
        <w:gridCol w:w="693"/>
        <w:gridCol w:w="60"/>
        <w:gridCol w:w="60"/>
        <w:gridCol w:w="143"/>
        <w:gridCol w:w="806"/>
        <w:gridCol w:w="18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70"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44,381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37,171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21,716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18,221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52,708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44,102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average daily Boe sales volumes for the three and nine months ended September 30, 2023, compared with the same periods in 2022 was primarily due to the Company’s successful horizontal drilling program.  However, increases in production were partially offset due to unexpected temporary reduced third-party gas takeaway at Flat Top that began in early fourth quarter 2022 and continues today to a lesser extent. The fourth quarter of 2023 is expected to continue to be impacted by this curtailment at Flat Top, and a natural gas plant that gathers and processes a portion of the natural gas at Signal Peak will be down for six to eight weeks for repairs and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crude oil, NGL and natural gas prices that the Company reports are based on the market prices received for each commodity. The weighted average realized prices, excluding the effects of derivatives, are as follows:</w:t>
      </w:r>
    </w:p>
    <w:p>
      <w:pPr>
        <w:pStyle w:val="TextBody"/>
        <w:bidi w:val="0"/>
        <w:spacing w:before="0" w:after="0"/>
        <w:ind w:left="0" w:right="0" w:hanging="0"/>
        <w:jc w:val="left"/>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1640"/>
        <w:gridCol w:w="60"/>
        <w:gridCol w:w="171"/>
        <w:gridCol w:w="664"/>
        <w:gridCol w:w="82"/>
        <w:gridCol w:w="82"/>
        <w:gridCol w:w="171"/>
        <w:gridCol w:w="664"/>
        <w:gridCol w:w="60"/>
        <w:gridCol w:w="60"/>
        <w:gridCol w:w="162"/>
        <w:gridCol w:w="787"/>
        <w:gridCol w:w="245"/>
        <w:gridCol w:w="60"/>
        <w:gridCol w:w="144"/>
        <w:gridCol w:w="560"/>
        <w:gridCol w:w="69"/>
        <w:gridCol w:w="69"/>
        <w:gridCol w:w="144"/>
        <w:gridCol w:w="681"/>
        <w:gridCol w:w="60"/>
        <w:gridCol w:w="60"/>
        <w:gridCol w:w="162"/>
        <w:gridCol w:w="787"/>
        <w:gridCol w:w="24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Crude Oil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NGL per Bbl</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Gas per Mcf</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and natural gas 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Crude oil and natural gas production costs in total and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1"/>
        <w:gridCol w:w="60"/>
        <w:gridCol w:w="137"/>
        <w:gridCol w:w="651"/>
        <w:gridCol w:w="66"/>
        <w:gridCol w:w="66"/>
        <w:gridCol w:w="137"/>
        <w:gridCol w:w="651"/>
        <w:gridCol w:w="60"/>
        <w:gridCol w:w="60"/>
        <w:gridCol w:w="140"/>
        <w:gridCol w:w="789"/>
        <w:gridCol w:w="219"/>
        <w:gridCol w:w="60"/>
        <w:gridCol w:w="127"/>
        <w:gridCol w:w="709"/>
        <w:gridCol w:w="61"/>
        <w:gridCol w:w="61"/>
        <w:gridCol w:w="127"/>
        <w:gridCol w:w="601"/>
        <w:gridCol w:w="60"/>
        <w:gridCol w:w="60"/>
        <w:gridCol w:w="140"/>
        <w:gridCol w:w="789"/>
        <w:gridCol w:w="193"/>
      </w:tblGrid>
      <w:tr>
        <w:trPr/>
        <w:tc>
          <w:tcPr>
            <w:tcW w:w="41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 </w:t>
            </w:r>
          </w:p>
        </w:tc>
        <w:tc>
          <w:tcPr>
            <w:tcW w:w="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left"/>
              <w:rPr/>
            </w:pPr>
            <w:r>
              <w:rPr/>
              <w:t> </w:t>
            </w:r>
          </w:p>
        </w:tc>
      </w:tr>
      <w:tr>
        <w:trPr/>
        <w:tc>
          <w:tcPr>
            <w:tcW w:w="41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19"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93" w:type="dxa"/>
            <w:tcBorders>
              <w:bottom w:val="single" w:sz="2" w:space="0" w:color="000000"/>
            </w:tcBorders>
            <w:tcMar>
              <w:bottom w:w="28" w:type="dxa"/>
            </w:tcMar>
            <w:vAlign w:val="center"/>
          </w:tcPr>
          <w:p>
            <w:pPr>
              <w:pStyle w:val="TableContents"/>
              <w:bidi w:val="0"/>
              <w:spacing w:before="0" w:after="283"/>
              <w:ind w:left="180" w:right="0" w:hanging="0"/>
              <w:jc w:val="left"/>
              <w:rPr/>
            </w:pPr>
            <w:r>
              <w:rPr/>
              <w:t> </w:t>
            </w:r>
          </w:p>
        </w:tc>
      </w:tr>
      <w:tr>
        <w:trPr/>
        <w:tc>
          <w:tcPr>
            <w:tcW w:w="41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39,820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2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1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1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Crude oil and natural gas production costs per Boe (excluding expense workovers)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1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Workover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2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increase in crude oil and natural gas production costs can primarily be attributed to the Company’s successful horizontal drilling program adding a significant number of newly completed producing wells, increased chemical and treating costs, increased repair and maintenance expense with the addition of a significant number of legacy vertical wells in the Hannathon Acquisition in 2022 and expense workover costs. The change in crude oil and natural gas production costs per Boe were minimal during the three and nine months ended September 30, 2023 compared with the same periods in 2022. Our crude oil production in the first half of 2023 was negatively impacted by (i) a weather event that disrupted a considerable amount of production for a short time, (ii) a fire that shut-in a considerable amount of production for a short time and (iii) temporarily shutting in a considerable amount of production periodically for offset completion operations.  The issues described in (i) and (ii) have been resolved and do not continue to impact our crude oil production.  In addition, a significant portion of natural gas production in our Flat Top operating area was negatively impacted due to the inability of a new natural gas plant to take all of our volumes since coming online in December 2022.  This issue improved during the second and third quarters of 2023 but is still not completely resolved. It is expected to be fully resolved during the fourth quarter of 2023 as the natural gas gatherer continues to optimize their gathering system.  These production issues not only curtailed Boe production during the nine months ended September 30, 2023, but they also all increased the costs to the Company. The increase in workover expenses can be attributed to more well work being performed, most significantly, the replacement of tubing strings on two of the Company’s salt-water disposal wells, pump downsizes, and other well work that is being performed to reestablish production on legacy vertical wells that have gone down for various reasons. We anticipate the operating costs per Boe and workover expenses per Boe to continue to decrease in the fourth quarter of 2023.  Significant drivers to this decrease are associated with (i) reduced chemical and treating costs by connecting wells in the southeast portion of Flat Top to a new third party facility during the fourth quarter of 2023, (ii) increasing the operational capacity of the natural gas plant taking our Flat Top natural gas production which should increase our NGL and natural gas sales going forward, (iii) returning production back on line that was off line during the three and nine months ended September 30, 2023 related to offset frac operations, weather and fire events that shut-in production for a temporary period of time and related costs, and (iv) reduced workover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Production and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803" w:type="dxa"/>
        <w:jc w:val="left"/>
        <w:tblInd w:w="0" w:type="dxa"/>
        <w:tblLayout w:type="fixed"/>
        <w:tblCellMar>
          <w:top w:w="0" w:type="dxa"/>
          <w:left w:w="0" w:type="dxa"/>
          <w:bottom w:w="0" w:type="dxa"/>
          <w:right w:w="0" w:type="dxa"/>
        </w:tblCellMar>
      </w:tblPr>
      <w:tblGrid>
        <w:gridCol w:w="2675"/>
        <w:gridCol w:w="60"/>
        <w:gridCol w:w="144"/>
        <w:gridCol w:w="681"/>
        <w:gridCol w:w="69"/>
        <w:gridCol w:w="69"/>
        <w:gridCol w:w="144"/>
        <w:gridCol w:w="681"/>
        <w:gridCol w:w="60"/>
        <w:gridCol w:w="60"/>
        <w:gridCol w:w="196"/>
        <w:gridCol w:w="753"/>
        <w:gridCol w:w="185"/>
        <w:gridCol w:w="60"/>
        <w:gridCol w:w="138"/>
        <w:gridCol w:w="652"/>
        <w:gridCol w:w="66"/>
        <w:gridCol w:w="66"/>
        <w:gridCol w:w="138"/>
        <w:gridCol w:w="652"/>
        <w:gridCol w:w="60"/>
        <w:gridCol w:w="60"/>
        <w:gridCol w:w="196"/>
        <w:gridCol w:w="753"/>
        <w:gridCol w:w="18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ad valorem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per Boe are as follows:</w:t>
      </w:r>
    </w:p>
    <w:p>
      <w:pPr>
        <w:pStyle w:val="TextBody"/>
        <w:bidi w:val="0"/>
        <w:spacing w:before="0" w:after="0"/>
        <w:ind w:left="0" w:right="0" w:hanging="0"/>
        <w:jc w:val="left"/>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2105"/>
        <w:gridCol w:w="60"/>
        <w:gridCol w:w="198"/>
        <w:gridCol w:w="601"/>
        <w:gridCol w:w="95"/>
        <w:gridCol w:w="95"/>
        <w:gridCol w:w="198"/>
        <w:gridCol w:w="601"/>
        <w:gridCol w:w="60"/>
        <w:gridCol w:w="60"/>
        <w:gridCol w:w="162"/>
        <w:gridCol w:w="787"/>
        <w:gridCol w:w="245"/>
        <w:gridCol w:w="60"/>
        <w:gridCol w:w="184"/>
        <w:gridCol w:w="561"/>
        <w:gridCol w:w="88"/>
        <w:gridCol w:w="88"/>
        <w:gridCol w:w="184"/>
        <w:gridCol w:w="561"/>
        <w:gridCol w:w="60"/>
        <w:gridCol w:w="60"/>
        <w:gridCol w:w="162"/>
        <w:gridCol w:w="787"/>
        <w:gridCol w:w="24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 valorem taxes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production taxes per Boe for the three and nine months ended September 30, 2023, compared with the same periods in 2022, was primarily due to the 16% and 26% decrease in realized prices,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expense details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9604" w:type="dxa"/>
        <w:jc w:val="left"/>
        <w:tblInd w:w="0" w:type="dxa"/>
        <w:tblLayout w:type="fixed"/>
        <w:tblCellMar>
          <w:top w:w="0" w:type="dxa"/>
          <w:left w:w="0" w:type="dxa"/>
          <w:bottom w:w="0" w:type="dxa"/>
          <w:right w:w="0" w:type="dxa"/>
        </w:tblCellMar>
      </w:tblPr>
      <w:tblGrid>
        <w:gridCol w:w="3440"/>
        <w:gridCol w:w="60"/>
        <w:gridCol w:w="188"/>
        <w:gridCol w:w="729"/>
        <w:gridCol w:w="90"/>
        <w:gridCol w:w="90"/>
        <w:gridCol w:w="188"/>
        <w:gridCol w:w="503"/>
        <w:gridCol w:w="60"/>
        <w:gridCol w:w="60"/>
        <w:gridCol w:w="143"/>
        <w:gridCol w:w="806"/>
        <w:gridCol w:w="185"/>
        <w:gridCol w:w="60"/>
        <w:gridCol w:w="175"/>
        <w:gridCol w:w="680"/>
        <w:gridCol w:w="84"/>
        <w:gridCol w:w="84"/>
        <w:gridCol w:w="175"/>
        <w:gridCol w:w="470"/>
        <w:gridCol w:w="80"/>
        <w:gridCol w:w="60"/>
        <w:gridCol w:w="143"/>
        <w:gridCol w:w="806"/>
        <w:gridCol w:w="24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Abandoned leasehold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245" w:type="dxa"/>
            <w:tcBorders/>
            <w:shd w:fill="CCEEFF" w:val="clear"/>
            <w:vAlign w:val="center"/>
          </w:tcPr>
          <w:p>
            <w:pPr>
              <w:pStyle w:val="TableContents"/>
              <w:bidi w:val="0"/>
              <w:spacing w:before="0" w:after="283"/>
              <w:ind w:left="180" w:right="0" w:hanging="0"/>
              <w:jc w:val="left"/>
              <w:rPr/>
            </w:pPr>
            <w:r>
              <w:rPr/>
              <w:t> </w:t>
            </w:r>
          </w:p>
        </w:tc>
      </w:tr>
      <w:tr>
        <w:trPr/>
        <w:tc>
          <w:tcPr>
            <w:tcW w:w="344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Geologic and geophysical personnel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245"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Plugging and abandonment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245" w:type="dxa"/>
            <w:tcBorders/>
            <w:shd w:fill="CCEEFF" w:val="clear"/>
            <w:vAlign w:val="center"/>
          </w:tcPr>
          <w:p>
            <w:pPr>
              <w:pStyle w:val="TableContents"/>
              <w:bidi w:val="0"/>
              <w:spacing w:before="0" w:after="283"/>
              <w:ind w:left="180" w:right="0" w:hanging="0"/>
              <w:jc w:val="left"/>
              <w:rPr/>
            </w:pPr>
            <w:r>
              <w:rPr/>
              <w:t> </w:t>
            </w:r>
          </w:p>
        </w:tc>
      </w:tr>
      <w:tr>
        <w:trPr/>
        <w:tc>
          <w:tcPr>
            <w:tcW w:w="344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Geologic and geophysical data costs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4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Exploration and abandonments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costs increased during the three and nine months ended September 30, 2023 primarily due to $1.1 million and $3.1 million in abandoned leasehold costs related to undeveloped acreage that was not in an area where the Company had current plans to drill and thus the leases were allowed to expire and higher plugging and abandonment costs related to increased activity centered around legacy vertical wells. The Company remains committed to maintaining as much of its undeveloped acreage leasehold position as possible, but from time to time, certain acreage is not able to be extended at reasonable prices and we are not able to get a drilling rig in the area to drill in time to save the leases for a multitude of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DD&amp;A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DD&amp;A expense and DD&amp;A expense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8083" w:type="dxa"/>
        <w:jc w:val="left"/>
        <w:tblInd w:w="0" w:type="dxa"/>
        <w:tblLayout w:type="fixed"/>
        <w:tblCellMar>
          <w:top w:w="0" w:type="dxa"/>
          <w:left w:w="0" w:type="dxa"/>
          <w:bottom w:w="0" w:type="dxa"/>
          <w:right w:w="0" w:type="dxa"/>
        </w:tblCellMar>
      </w:tblPr>
      <w:tblGrid>
        <w:gridCol w:w="1955"/>
        <w:gridCol w:w="60"/>
        <w:gridCol w:w="138"/>
        <w:gridCol w:w="770"/>
        <w:gridCol w:w="66"/>
        <w:gridCol w:w="66"/>
        <w:gridCol w:w="138"/>
        <w:gridCol w:w="654"/>
        <w:gridCol w:w="60"/>
        <w:gridCol w:w="60"/>
        <w:gridCol w:w="143"/>
        <w:gridCol w:w="806"/>
        <w:gridCol w:w="185"/>
        <w:gridCol w:w="60"/>
        <w:gridCol w:w="126"/>
        <w:gridCol w:w="701"/>
        <w:gridCol w:w="60"/>
        <w:gridCol w:w="60"/>
        <w:gridCol w:w="126"/>
        <w:gridCol w:w="595"/>
        <w:gridCol w:w="60"/>
        <w:gridCol w:w="60"/>
        <w:gridCol w:w="143"/>
        <w:gridCol w:w="806"/>
        <w:gridCol w:w="18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DD&amp;A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117,420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DD&amp;A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DD&amp;A is primarily due to the increased production associated with our successful horizontal drilling program and the increase in rate can be attributed to significant inflationary pressures on capital costs over the past year or so as well as bolt-on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and general and administrative expense per Boe as well as stock-based compensation expense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9822" w:type="dxa"/>
        <w:jc w:val="left"/>
        <w:tblInd w:w="0" w:type="dxa"/>
        <w:tblLayout w:type="fixed"/>
        <w:tblCellMar>
          <w:top w:w="0" w:type="dxa"/>
          <w:left w:w="0" w:type="dxa"/>
          <w:bottom w:w="0" w:type="dxa"/>
          <w:right w:w="0" w:type="dxa"/>
        </w:tblCellMar>
      </w:tblPr>
      <w:tblGrid>
        <w:gridCol w:w="3590"/>
        <w:gridCol w:w="60"/>
        <w:gridCol w:w="147"/>
        <w:gridCol w:w="698"/>
        <w:gridCol w:w="71"/>
        <w:gridCol w:w="71"/>
        <w:gridCol w:w="147"/>
        <w:gridCol w:w="698"/>
        <w:gridCol w:w="60"/>
        <w:gridCol w:w="60"/>
        <w:gridCol w:w="143"/>
        <w:gridCol w:w="806"/>
        <w:gridCol w:w="185"/>
        <w:gridCol w:w="60"/>
        <w:gridCol w:w="138"/>
        <w:gridCol w:w="652"/>
        <w:gridCol w:w="66"/>
        <w:gridCol w:w="66"/>
        <w:gridCol w:w="138"/>
        <w:gridCol w:w="652"/>
        <w:gridCol w:w="60"/>
        <w:gridCol w:w="60"/>
        <w:gridCol w:w="143"/>
        <w:gridCol w:w="806"/>
        <w:gridCol w:w="24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11,952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2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9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General and administrative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 for the three and nine months ended September 30, 2023 is primarily as a result of accrued bonuses in 2023 which were not recognized until the fourth quarter in 2022, adding new employees and increased salaries and benefits related to the growth of the Company in addition to higher professional services costs related to the growth of the Company. The decrease in the rate per Boe for the nine months ended September 2023 compared to the same period in 2022 is the result of economies of scale and efficiencies gained as we bring additional wells on production due to our successful horizontal drilling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9898" w:type="dxa"/>
        <w:jc w:val="left"/>
        <w:tblInd w:w="0" w:type="dxa"/>
        <w:tblLayout w:type="fixed"/>
        <w:tblCellMar>
          <w:top w:w="0" w:type="dxa"/>
          <w:left w:w="0" w:type="dxa"/>
          <w:bottom w:w="0" w:type="dxa"/>
          <w:right w:w="0" w:type="dxa"/>
        </w:tblCellMar>
      </w:tblPr>
      <w:tblGrid>
        <w:gridCol w:w="3665"/>
        <w:gridCol w:w="60"/>
        <w:gridCol w:w="147"/>
        <w:gridCol w:w="698"/>
        <w:gridCol w:w="71"/>
        <w:gridCol w:w="71"/>
        <w:gridCol w:w="147"/>
        <w:gridCol w:w="698"/>
        <w:gridCol w:w="60"/>
        <w:gridCol w:w="60"/>
        <w:gridCol w:w="143"/>
        <w:gridCol w:w="806"/>
        <w:gridCol w:w="245"/>
        <w:gridCol w:w="60"/>
        <w:gridCol w:w="129"/>
        <w:gridCol w:w="720"/>
        <w:gridCol w:w="62"/>
        <w:gridCol w:w="62"/>
        <w:gridCol w:w="129"/>
        <w:gridCol w:w="611"/>
        <w:gridCol w:w="60"/>
        <w:gridCol w:w="60"/>
        <w:gridCol w:w="143"/>
        <w:gridCol w:w="806"/>
        <w:gridCol w:w="18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Loan Credit Agreement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10.625% Senior Notes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10.000% Senior Notes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interest on 10.625% Senior Notes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discount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3,648</w:t>
            </w:r>
          </w:p>
        </w:tc>
        <w:tc>
          <w:tcPr>
            <w:tcW w:w="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9,352</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37,022</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103,278</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interest expense can be attributed to the fact that we have continued to increase our borrowings under our Prior Credit Agreement, and we issued $225.0 million of 10.000% Senior Notes in February 2022 and $225.0 million and $25.0 million of 10.625% Senior Notes in November and December 2022, respectively, and additional interest of $8.3 million on the 10.625% Senior Notes in June 2023 related to not achieving an increased rating and increased amortization of discounts and debt issuance costs related to these new issuances. In addition, the Company issued $1.2 billion under the Term Loan Credit Agreement in mid-September 2023 and paid off the Prior Credit Agreement, 10.000% Senior Notes and 10.625%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Gain (loss) on derivative instruments,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9"/>
        <w:gridCol w:w="60"/>
        <w:gridCol w:w="137"/>
        <w:gridCol w:w="718"/>
        <w:gridCol w:w="88"/>
        <w:gridCol w:w="65"/>
        <w:gridCol w:w="137"/>
        <w:gridCol w:w="652"/>
        <w:gridCol w:w="80"/>
        <w:gridCol w:w="60"/>
        <w:gridCol w:w="123"/>
        <w:gridCol w:w="819"/>
        <w:gridCol w:w="235"/>
        <w:gridCol w:w="60"/>
        <w:gridCol w:w="125"/>
        <w:gridCol w:w="657"/>
        <w:gridCol w:w="80"/>
        <w:gridCol w:w="60"/>
        <w:gridCol w:w="125"/>
        <w:gridCol w:w="657"/>
        <w:gridCol w:w="80"/>
        <w:gridCol w:w="60"/>
        <w:gridCol w:w="123"/>
        <w:gridCol w:w="819"/>
        <w:gridCol w:w="246"/>
      </w:tblGrid>
      <w:tr>
        <w:trPr/>
        <w:tc>
          <w:tcPr>
            <w:tcW w:w="3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left"/>
              <w:rPr/>
            </w:pPr>
            <w:r>
              <w:rPr/>
              <w:t> </w:t>
            </w:r>
          </w:p>
        </w:tc>
      </w:tr>
      <w:tr>
        <w:trPr/>
        <w:tc>
          <w:tcPr>
            <w:tcW w:w="3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3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9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(15,883</w:t>
            </w:r>
          </w:p>
        </w:tc>
        <w:tc>
          <w:tcPr>
            <w:tcW w:w="8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2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3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on settlements of derivative instruments, net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(13,772</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(21,032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(64,143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24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9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(29,655</w:t>
            </w:r>
          </w:p>
        </w:tc>
        <w:tc>
          <w:tcPr>
            <w:tcW w:w="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(30,898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(42,487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and deferred premium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and previously the Prior Credit Agreement and the indentures governing the Company’s 10.000% Senior Notes and 10.625% Senior Notes required,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and the newly entered into deferred premium collars and deferred premium put option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8772" w:type="dxa"/>
        <w:jc w:val="left"/>
        <w:tblInd w:w="0" w:type="dxa"/>
        <w:tblLayout w:type="fixed"/>
        <w:tblCellMar>
          <w:top w:w="0" w:type="dxa"/>
          <w:left w:w="0" w:type="dxa"/>
          <w:bottom w:w="0" w:type="dxa"/>
          <w:right w:w="0" w:type="dxa"/>
        </w:tblCellMar>
      </w:tblPr>
      <w:tblGrid>
        <w:gridCol w:w="2645"/>
        <w:gridCol w:w="60"/>
        <w:gridCol w:w="231"/>
        <w:gridCol w:w="621"/>
        <w:gridCol w:w="111"/>
        <w:gridCol w:w="111"/>
        <w:gridCol w:w="231"/>
        <w:gridCol w:w="482"/>
        <w:gridCol w:w="60"/>
        <w:gridCol w:w="60"/>
        <w:gridCol w:w="143"/>
        <w:gridCol w:w="806"/>
        <w:gridCol w:w="185"/>
        <w:gridCol w:w="60"/>
        <w:gridCol w:w="192"/>
        <w:gridCol w:w="745"/>
        <w:gridCol w:w="92"/>
        <w:gridCol w:w="92"/>
        <w:gridCol w:w="192"/>
        <w:gridCol w:w="399"/>
        <w:gridCol w:w="60"/>
        <w:gridCol w:w="60"/>
        <w:gridCol w:w="143"/>
        <w:gridCol w:w="806"/>
        <w:gridCol w:w="18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11" w:type="dxa"/>
            <w:tcBorders>
              <w:bottom w:val="single" w:sz="2" w:space="0" w:color="000000"/>
            </w:tcBorders>
            <w:tcMar>
              <w:bottom w:w="28" w:type="dxa"/>
            </w:tcMar>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Water treatment contract buyout</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1" w:type="dxa"/>
            <w:tcBorders/>
            <w:shd w:fill="CCEEFF" w:val="clear"/>
            <w:vAlign w:val="center"/>
          </w:tcPr>
          <w:p>
            <w:pPr>
              <w:pStyle w:val="TableContents"/>
              <w:bidi w:val="0"/>
              <w:spacing w:before="0" w:after="283"/>
              <w:ind w:left="0" w:right="0" w:hanging="0"/>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49"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1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1,526</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8,042</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paid $6.5 million during the second quarter of 2023 to buyout and terminate a water treatment contract with a former outside board member.  Other costs of $1.5 million relate primarily to repairs on production facilities that were damaged in a fire that shut in a significant amount of production for a short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8721" w:type="dxa"/>
        <w:jc w:val="left"/>
        <w:tblInd w:w="0" w:type="dxa"/>
        <w:tblLayout w:type="fixed"/>
        <w:tblCellMar>
          <w:top w:w="0" w:type="dxa"/>
          <w:left w:w="0" w:type="dxa"/>
          <w:bottom w:w="0" w:type="dxa"/>
          <w:right w:w="0" w:type="dxa"/>
        </w:tblCellMar>
      </w:tblPr>
      <w:tblGrid>
        <w:gridCol w:w="2180"/>
        <w:gridCol w:w="60"/>
        <w:gridCol w:w="136"/>
        <w:gridCol w:w="646"/>
        <w:gridCol w:w="202"/>
        <w:gridCol w:w="65"/>
        <w:gridCol w:w="136"/>
        <w:gridCol w:w="646"/>
        <w:gridCol w:w="185"/>
        <w:gridCol w:w="60"/>
        <w:gridCol w:w="162"/>
        <w:gridCol w:w="787"/>
        <w:gridCol w:w="245"/>
        <w:gridCol w:w="60"/>
        <w:gridCol w:w="127"/>
        <w:gridCol w:w="604"/>
        <w:gridCol w:w="189"/>
        <w:gridCol w:w="61"/>
        <w:gridCol w:w="127"/>
        <w:gridCol w:w="604"/>
        <w:gridCol w:w="185"/>
        <w:gridCol w:w="60"/>
        <w:gridCol w:w="162"/>
        <w:gridCol w:w="787"/>
        <w:gridCol w:w="24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Nine Months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14,100</w:t>
            </w:r>
          </w:p>
        </w:tc>
        <w:tc>
          <w:tcPr>
            <w:tcW w:w="2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38,251</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2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provision for income taxes during the three and nine months ended September 30, 2023, compared with the same periods in 2022, was due to the Company realizing decreased net income during the three and nine months ended September 30, 2023 compared to the same periods in 2022.  The effective income tax rate differs from the statutory rate primarily due to a revision in the deferred tax asset related to certain stock-based compensation and permanent differences between GAAP income and taxable income during the nine months ended September 30, 2022. See Note 13 of Notes to Consolidated Financial Statements included in "Item 1. Condensed Consolidated Financial Statements (Unaudited)"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Liquidity</w:t>
      </w:r>
      <w:r>
        <w:rPr>
          <w:rFonts w:ascii="Times New Roman" w:hAnsi="Times New Roman"/>
          <w:caps w:val="false"/>
          <w:smallCaps w:val="false"/>
          <w:sz w:val="20"/>
        </w:rPr>
        <w:t>. The Company’s primary sources of short-term liquidity are (i) cash and cash equivalents which include the remaining net proceeds of the Term Loan financing, (ii) net cash provided by operating activities, (iii) unused borrowing capacity under the Senior Credit Facility Agreement, (iv) on an opportunistic basis, other issuances of debt or equity securities and (v) sales of nonstrategic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short-term and long-term liquidity requirements consist primarily of (i) capital expenditures, (ii) near-term debt maturities, including quarterly mandatory payments under our Term Loan Credit Agreement beginning March 31, 2024, (iii) payments of other contractual obligations, (iv) acquisitions of crude oil and natural gas properties and (v) working capital obligations. Funding for these cash needs may be provided by any combination of the Company’s sources of liquidity.</w:t>
      </w:r>
    </w:p>
    <w:p>
      <w:pPr>
        <w:pStyle w:val="TextBody"/>
        <w:bidi w:val="0"/>
        <w:spacing w:before="0" w:after="0"/>
        <w:ind w:left="160" w:right="0" w:firstLine="580"/>
        <w:jc w:val="both"/>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2023 capital budget</w:t>
      </w:r>
      <w:r>
        <w:rPr>
          <w:rFonts w:ascii="Times New Roman" w:hAnsi="Times New Roman"/>
          <w:i/>
          <w:caps w:val="false"/>
          <w:smallCaps w:val="false"/>
          <w:sz w:val="20"/>
        </w:rPr>
        <w:t>.</w:t>
      </w:r>
      <w:r>
        <w:rPr>
          <w:rFonts w:ascii="Times New Roman" w:hAnsi="Times New Roman"/>
          <w:caps w:val="false"/>
          <w:smallCaps w:val="false"/>
          <w:sz w:val="20"/>
        </w:rPr>
        <w:t> In March 2023, the Company determined to reduce its previously reported capital budget for 2023 in connection with its transition from a six-rig drilling program to a two-rig drilling program. The Company anticipates moving to a three-rig program in the fourth quarter of 2023. The Company currently expects total capital expenditures for 2023 to be in the range of approximately $900.0 to $975.0 million for drilling, completion, facilities and equipping crude oil wells plus $50 to $60 million for field infrastructure buildout and other costs. The 2023 reduced capital budget excludes acquisitions, asset retirement obligations, geological and geophysical general and administrative expenses and corporate facilities. HighPeak Energy expects to fund its forecasted capital expenditures with cash generated by operations and cash on its consolidated balance sheet which includes the remaining net proceeds of the Term Loan financing. The Company’s capital expenditures for the nine months ended September 30, 2023 were $840.0 million, excluding acquisitions.</w:t>
      </w:r>
    </w:p>
    <w:p>
      <w:pPr>
        <w:pStyle w:val="TextBody"/>
        <w:bidi w:val="0"/>
        <w:spacing w:before="0" w:after="0"/>
        <w:ind w:left="0" w:right="0" w:firstLine="58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However, there are many factors and consequences beyond the Company’s control impacting our capital budget, such as policies of the Biden Administration, economic downturn or potential recession, a potential government shut-down, geo-political risks and additional actions by businesses, OPEC and other cooperating countries, and governments in response to the COVID-19 pandemic,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Capital resources</w:t>
      </w:r>
      <w:r>
        <w:rPr>
          <w:rFonts w:ascii="Times New Roman" w:hAnsi="Times New Roman"/>
          <w:caps w:val="false"/>
          <w:smallCaps w:val="false"/>
          <w:sz w:val="20"/>
        </w:rPr>
        <w:t>. Cash flows from operating, investing and financing activities are summarized below (in thousands).</w:t>
      </w:r>
    </w:p>
    <w:p>
      <w:pPr>
        <w:pStyle w:val="TextBody"/>
        <w:bidi w:val="0"/>
        <w:spacing w:before="0" w:after="0"/>
        <w:ind w:left="0" w:right="0" w:hanging="0"/>
        <w:jc w:val="left"/>
        <w:rPr>
          <w:caps w:val="false"/>
          <w:smallCaps w:val="false"/>
        </w:rPr>
      </w:pPr>
      <w:r>
        <w:rPr>
          <w:caps w:val="false"/>
          <w:smallCaps w:val="false"/>
        </w:rPr>
        <w:t> </w:t>
      </w:r>
    </w:p>
    <w:tbl>
      <w:tblPr>
        <w:tblW w:w="7619" w:type="dxa"/>
        <w:jc w:val="left"/>
        <w:tblInd w:w="0" w:type="dxa"/>
        <w:tblLayout w:type="fixed"/>
        <w:tblCellMar>
          <w:top w:w="0" w:type="dxa"/>
          <w:left w:w="0" w:type="dxa"/>
          <w:bottom w:w="0" w:type="dxa"/>
          <w:right w:w="0" w:type="dxa"/>
        </w:tblCellMar>
      </w:tblPr>
      <w:tblGrid>
        <w:gridCol w:w="3365"/>
        <w:gridCol w:w="60"/>
        <w:gridCol w:w="125"/>
        <w:gridCol w:w="755"/>
        <w:gridCol w:w="80"/>
        <w:gridCol w:w="60"/>
        <w:gridCol w:w="125"/>
        <w:gridCol w:w="755"/>
        <w:gridCol w:w="80"/>
        <w:gridCol w:w="60"/>
        <w:gridCol w:w="125"/>
        <w:gridCol w:w="695"/>
        <w:gridCol w:w="80"/>
        <w:gridCol w:w="60"/>
        <w:gridCol w:w="162"/>
        <w:gridCol w:w="787"/>
        <w:gridCol w:w="24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Change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(937,245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(843,351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(93,894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The increase in net cash flow provided by operating activities for the nine months ended September 30, 2023, compared with 2022, was primarily related to higher revenues associated with increased production volumes as a result of our successful horizontal drilling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Investing activities. </w:t>
      </w:r>
      <w:r>
        <w:rPr>
          <w:rFonts w:ascii="Times New Roman" w:hAnsi="Times New Roman"/>
          <w:caps w:val="false"/>
          <w:smallCaps w:val="false"/>
          <w:sz w:val="20"/>
        </w:rPr>
        <w:t>The increase in net cash used in investing activities for the nine months ended September 30, 2023, compared with 2022, was primarily due to increases in additions to crude oil and natural gas properties compared with the nine months ended September 30, 2022, when the Company had more drilling rigs and frac crews running compared with the prior year period, partially offset by a significant decrease in cash crude oil and natural gas property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Financing activities. </w:t>
      </w:r>
      <w:r>
        <w:rPr>
          <w:rFonts w:ascii="Times New Roman" w:hAnsi="Times New Roman"/>
          <w:caps w:val="false"/>
          <w:smallCaps w:val="false"/>
          <w:sz w:val="20"/>
        </w:rPr>
        <w:t>The Company's significant financing activities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Nine months ended September 30, 2023: The Company borrowed $1.17 billion on the Term Loan Credit Agreement, net of a $30.0 million original issue discount, and $255.0 million on the Prior Credit Agreement, received $155.8 million from a public offering of 14,835,000 shares of common stock and $1.7 million and $148,000 in proceeds from the exercise of warrants and stock options, respectively, partially offset by the repayment of the Prior Credit Agreement, 10.625% Senior Notes and 10.000% Senior Notes of $525.0 million, $250.0 million and $225.0 million, respectively, payment of a make whole premium on the 10.625% Senior Notes of $4.5 million, payment of debt issuance costs and stock issuance costs totaling $26.4 million and $5.4 million, respectively, and the payment of dividends and dividend equivalents of $8.7 million and $903,000,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Nine months ended September 30, 2022: The Company received $210.2 million in net proceeds from the issuance of the 10.000% Senior Notes, borrowed a net $255.0 million on the Prior Credit Agreement and received $85.0 million in proceeds from a private placement of HighPeak Energy common stock, $7.8 million from the exercise of warrants and $120,000 from the exercise of stock options. These cash inflows were partially offset by the Company incurring $9.2 million of debt issuance costs primarily related to the 10.000% Senior Notes, $8.5 million in dividends and dividend equivalent payments and $290,000 in stock issuance costs related to the aforementioned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We are exposed to market risk due to the floating interest rate associated with any outstanding balance on the Term Loan Credit Agreement. As of September 30, 2023, we had a $1.2 billion outstanding balance on the Term Loan Credit Agreement. Our Term Loan Credit Agreement fixes the interest rate for all of the principal balance of the Term Loan Credit Agreement at the beginning of each quarter for a period three months. To the extent that the interest rate on our long-term debt is fixed, interest rate changes will affect the fair value but will not impact results of operations or cash flows. However, for the Term Loan Credit Agreement that has a floating interest rate, interest rate changes will not affect the fair value but will impact future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Commodity Price Risk.</w:t>
      </w:r>
      <w:r>
        <w:rPr>
          <w:rFonts w:ascii="Times New Roman" w:hAnsi="Times New Roman"/>
          <w:caps w:val="false"/>
          <w:smallCaps w:val="false"/>
          <w:sz w:val="20"/>
        </w:rPr>
        <w:t>  The prices we receive for our crude oil, NGL and natural gas production directly impact our revenue, profitability, access 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However, future case surges, outbreaks, COVID-19 virus variants, the potential that current vaccines may be less effective or ineffective against future COVID-19 virus variants, and the risk that large groups of the population may not receive vaccinations against COVID-19, could have further negative impacts on prices. Additionally, commodity prices are subject to heightened levels of uncertainty related to geopolitical issues such as the ongoing armed conflicts between Russia and Ukraine and between Israel and Hamas, and recent production cut announcements from OPEC. The realized prices we receive for our production also depend on numerous factors that are typically beyond our control. Based on our sales volumes during the nine months ended September 30, 2023 and excluding the effects on derivatives, a $1.00 per barrel increase (decrease) in the weighted average crude oil price for the nine months ended September 30, 2023 would have increased (decreased) the Company’s revenues by approximately $13.9 million on an annualized basis and a $0.10 per Mcf increase (decrease) in the weighted average natural gas price for the nine months ended September 30, 2023 would have increased (decreased) the Company’s revenues by approximately $663,000 on an annualized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commodity derivative contracts to reduce the risk of fluctuations in commodity prices. The fair value of our commodity derivative contracts is largely determined by estimates of the forward curves of the relevant price indices. As of September 30, 2023, a $1.00 increase (decrease) in the forward curves associated with our crude oil commodity derivative instruments would have decreased (increased) our net derivative positions for these products by approximately $3.9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Contractual obligations. </w:t>
      </w:r>
      <w:r>
        <w:rPr>
          <w:rFonts w:ascii="Times New Roman" w:hAnsi="Times New Roman"/>
          <w:caps w:val="false"/>
          <w:smallCaps w:val="false"/>
          <w:sz w:val="20"/>
        </w:rPr>
        <w:t>The Company's contractual obligations include leases (primarily related to contracted drilling rigs, equipment and office facilities), capital funding obligations, volume commitments, aid-in-construction obligations and other liabilities. Other joint owners in the properties operated by the Company could incur portions of the costs represented by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  The Term Loan Credit Agreement and Senior Credit Facility Agreement provides a material source of liquidity for us.  Under the terms of our Term Loan Credit Agreement and the Senior Credit Facility Agreement, if we fail to comply with the covenants that establish a maximum permitted ratio of total debt, as defined in the Term Loan Credit Agreement and Senior Credit Facility Agreement, to EBITDAX,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our net income (GAAP) to EBITDAX (non-GAAP)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241" w:type="dxa"/>
        <w:jc w:val="left"/>
        <w:tblInd w:w="0" w:type="dxa"/>
        <w:tblLayout w:type="fixed"/>
        <w:tblCellMar>
          <w:top w:w="0" w:type="dxa"/>
          <w:left w:w="0" w:type="dxa"/>
          <w:bottom w:w="0" w:type="dxa"/>
          <w:right w:w="0" w:type="dxa"/>
        </w:tblCellMar>
      </w:tblPr>
      <w:tblGrid>
        <w:gridCol w:w="3380"/>
        <w:gridCol w:w="60"/>
        <w:gridCol w:w="125"/>
        <w:gridCol w:w="698"/>
        <w:gridCol w:w="80"/>
        <w:gridCol w:w="60"/>
        <w:gridCol w:w="125"/>
        <w:gridCol w:w="698"/>
        <w:gridCol w:w="80"/>
        <w:gridCol w:w="60"/>
        <w:gridCol w:w="125"/>
        <w:gridCol w:w="695"/>
        <w:gridCol w:w="80"/>
        <w:gridCol w:w="60"/>
        <w:gridCol w:w="125"/>
        <w:gridCol w:w="695"/>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2022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2022 </w:t>
            </w:r>
          </w:p>
        </w:tc>
        <w:tc>
          <w:tcPr>
            <w:tcW w:w="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168,955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55,357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29,210</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related noncash activity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(21,656</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EBITDAX</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169,704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356,214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critical accounting policies and procedures during the three months ended September 30, 2023. See our disclosure of critical accounting policies in “Item 7. Management’s Discussion and Analysis of Financial Condition and Results of Operations” and “Item 8. Financial Statements and Supplementary Data”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issued but not yet adopted. </w:t>
      </w:r>
      <w:r>
        <w:rPr>
          <w:rFonts w:ascii="Times New Roman" w:hAnsi="Times New Roman"/>
          <w:caps w:val="false"/>
          <w:smallCaps w:val="false"/>
          <w:sz w:val="20"/>
        </w:rPr>
        <w:t>The effects of new accounting pronouncements are discussed in Note 2 of Notes to Condensed Consolidated Financial Statements included in "Item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3.</w:t>
      </w:r>
      <w:r>
        <w:rPr>
          <w:rFonts w:ascii="Times New Roman" w:hAnsi="Times New Roman"/>
          <w:caps w:val="false"/>
          <w:smallCaps w:val="false"/>
          <w:sz w:val="20"/>
        </w:rPr>
        <w:t>     </w:t>
      </w:r>
      <w:r>
        <w:rPr>
          <w:rFonts w:ascii="Times New Roman" w:hAnsi="Times New Roman"/>
          <w:b/>
          <w:caps w:val="false"/>
          <w:smallCaps w:val="false"/>
          <w:sz w:val="20"/>
          <w:u w:val="single"/>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2018 through September 30, 2023,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nine months ended September 30, 2021 would have increased (decreased) the Company’s revenues by approximately $13.6 million on an annualized basis, excluding the effects of derivatives, and a $0.10 per Mcf increase (decrease) in the weighted average natural gas price for the nine months ended September 30, 2023 would have increased (decreased) the Company’s revenues by approximately $663,000 on an annualized basis, excluding the effects of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this volatility, the Company uses commodity derivative instruments, such as swaps, puts and collars,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Counterparty and Customer Credit Risk.</w:t>
      </w:r>
      <w:r>
        <w:rPr>
          <w:rFonts w:ascii="Times New Roman" w:hAnsi="Times New Roman"/>
          <w:caps w:val="false"/>
          <w:smallCaps w:val="false"/>
          <w:sz w:val="20"/>
        </w:rPr>
        <w:t> The Company’s derivative contracts, if any, expose it to credit risk in the event of nonperformance by counterparties. It is anticipated that if the Company enters into any commodity contracts, the collateral for the outstanding borrowings under the Senior Credit Facility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September 30, 2023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08" w:type="dxa"/>
        <w:jc w:val="left"/>
        <w:tblInd w:w="0" w:type="dxa"/>
        <w:tblLayout w:type="fixed"/>
        <w:tblCellMar>
          <w:top w:w="0" w:type="dxa"/>
          <w:left w:w="0" w:type="dxa"/>
          <w:bottom w:w="0" w:type="dxa"/>
          <w:right w:w="0" w:type="dxa"/>
        </w:tblCellMar>
      </w:tblPr>
      <w:tblGrid>
        <w:gridCol w:w="4505"/>
        <w:gridCol w:w="60"/>
        <w:gridCol w:w="239"/>
        <w:gridCol w:w="935"/>
        <w:gridCol w:w="60"/>
        <w:gridCol w:w="60"/>
        <w:gridCol w:w="240"/>
        <w:gridCol w:w="934"/>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Remainder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7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November 2, 2023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Remainder of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The Company's primary concentration of credit risk is associated with (i) the collection of receivables resulting from the sale of crude oil and natural gas production and (ii) the risk of a counterparty's failure to meet its obligations under derivative contracts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As of September 30, 2023, we had $1.2 billion outstanding under the Term Loan Credit Agreement and no available borrowing capacity. The Company is subject to interest rate risk on its variable rate debt from our Term Loan Credit Agreement. The impact of a 1% increase in interest rates on our outstanding debt as of September 30, 2023 would have resulted in an annual increase in interest expense of approximately $12.0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4.</w:t>
      </w:r>
      <w:r>
        <w:rPr>
          <w:rFonts w:ascii="Times New Roman" w:hAnsi="Times New Roman"/>
          <w:caps w:val="false"/>
          <w:smallCaps w:val="false"/>
          <w:sz w:val="20"/>
        </w:rPr>
        <w:t>     </w:t>
      </w:r>
      <w:r>
        <w:rPr>
          <w:rFonts w:ascii="Times New Roman" w:hAnsi="Times New Roman"/>
          <w:b/>
          <w:caps w:val="false"/>
          <w:smallCaps w:val="false"/>
          <w:sz w:val="20"/>
          <w:u w:val="single"/>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the Company’s internal control over financial reporting (as defined in Rule 13a-15(f) under the Exchange Act) that occurred during the three months ended September 30, 2023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w:t>
      </w:r>
      <w:r>
        <w:rPr>
          <w:rFonts w:ascii="Times New Roman" w:hAnsi="Times New Roman"/>
          <w:caps w:val="false"/>
          <w:smallCaps w:val="false"/>
          <w:sz w:val="20"/>
        </w:rPr>
        <w:t>     </w:t>
      </w:r>
      <w:r>
        <w:rPr>
          <w:rFonts w:ascii="Times New Roman" w:hAnsi="Times New Roman"/>
          <w:b/>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1A.</w:t>
      </w:r>
      <w:r>
        <w:rPr>
          <w:rFonts w:ascii="Times New Roman" w:hAnsi="Times New Roman"/>
          <w:caps w:val="false"/>
          <w:smallCaps w:val="false"/>
          <w:sz w:val="20"/>
        </w:rPr>
        <w:t>     </w:t>
      </w:r>
      <w:r>
        <w:rPr>
          <w:rFonts w:ascii="Times New Roman" w:hAnsi="Times New Roman"/>
          <w:b/>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 except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Restrictions in our Term Loan Credit Agreement, our Senior Credit Facility Agreement and any future debt agreements could limit our growth and ability to engage in certain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terms and conditions governing our Term Loan Credit Agreement, our Senior Credit Facility Agreement and any future additional indebtedness are expected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us to dedicate a portion of cash flow from operations to service our debt, thereby reducing the cash available to finance operations and other business activities and could limit our flexibility in planning for or reacting to changes in our business and the industry in which we operate;</w:t>
            </w:r>
          </w:p>
        </w:tc>
      </w:tr>
    </w:tbl>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vulnerability to economic downturns and adverse developments in our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place restrictions on our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our capital stock, make investments, amend or repay subordinated indebtedness, sell or otherwise dispose of assets, businesses or operations and engage in business combinations or other fundamental changes;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potentially place us at a competitive disadvantage relative to competitors with lower levels of indebtedness in relation to their overall size or less restrictive terms governing their indebtedness; and</w:t>
            </w:r>
          </w:p>
        </w:tc>
      </w:tr>
    </w:tbl>
    <w:tbl>
      <w:tblPr>
        <w:tblW w:w="4840" w:type="dxa"/>
        <w:jc w:val="left"/>
        <w:tblInd w:w="0" w:type="dxa"/>
        <w:tblLayout w:type="fixed"/>
        <w:tblCellMar>
          <w:top w:w="0" w:type="dxa"/>
          <w:left w:w="0" w:type="dxa"/>
          <w:bottom w:w="0" w:type="dxa"/>
          <w:right w:w="0" w:type="dxa"/>
        </w:tblCellMar>
      </w:tblPr>
      <w:tblGrid>
        <w:gridCol w:w="60"/>
        <w:gridCol w:w="170"/>
        <w:gridCol w:w="4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 management’s discretion in operating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ability to meet our expenses and debt obligations and comply with the covenants and restrictions contained therein will depend on our future performance, which will be affected by financial, business, economic, industry, regulatory and other factors, many of which are beyond our control. If market or other economic conditions deteriorate, our ability to comply with these covenants may be impaired. We cannot be certain that our cash flow will be sufficient to enable us to pay the principal and interest on our debt and meet our other obligations. If we do not have enough money, we may be required to refinance all or part of our debt, sell assets, borrow more money or raise equity. We may not be able to refinance our debt, sell assets, borrow more money or raise equity on terms acceptable to us, or at all. For example, our future debt agreements may require the satisfaction of certain conditions, including coverage and leverage ratios, to borrow money. Our future debt agreements may also restrict the payment of dividends and distributions by certain of our subsidiaries to it, which could affect our access to cash. In addition, our ability to comply with the financial and other restrictive covenants in the agreements governing our indebtedness will be affected by the levels of cash flow from operations and future events and circumstances beyond our control. Breach of these covenants or restrictions will result in a default under our financing arrangements, which if not cured or waived, would permit the lenders to accelerate all indebtedness outstanding thereunder. Upon acceleration, the debt would become immediately due and payable, together with accrued and unpaid interest, and any lenders’ commitment to make further loans to us may terminate. Even if new financing were then available, it may not be on terms that are acceptable to us. Additionally, upon the occurrence of an event of default under our financing agreements, the affected lenders may exercise remedies, including through foreclosure, on the collateral securing any such secured financing arrangements. Moreover, any subsequent replacement of our financing arrangements may require us to comply with more restrictive covenants which could further restrict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existing and future indebtedness may adversely affect our cash flows and ability to operate our business, remain in compliance and repay our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September 30, 2023, we have $1.2 billion of total indebtedness outstanding under our Term Loan Credit Agreement, which contains restrictive covenants and other provisions with which we must comply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be unable to repay amounts due when they become due, and our ability to refinance our indebtedness on reasonable terms may be limited. Although our debt agreements contain restrictions on the incurrence of additional indebtedness, these restrictions are subject to several significant qualifications and exceptions, and any indebtedness incurred in compliance with these restrictions could be substantial, and some of which may be secured by our assets. Our current level of indebtedness could have important consequences, such as:</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making it difficult for us to satisfy our obligations under our indebtedness and contractual and commercial commitments;</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increasing our vulnerability to adverse economic and industry conditions;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requiring us to dedicate a substantial portion of our cash flow from operations to payments on our indebtedness, or otherwise reducing the availability of our cash flow to fund working capital, capital expenditures and other general corporate purposes;</w:t>
            </w:r>
          </w:p>
        </w:tc>
      </w:tr>
    </w:tbl>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limiting our flexibility to plan for, or react to, changes in our business and the industry in which we operate;</w:t>
            </w:r>
          </w:p>
        </w:tc>
      </w:tr>
    </w:tbl>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restricting us from making strategic acquisitions or exploiting business opportunities;</w:t>
            </w:r>
          </w:p>
        </w:tc>
      </w:tr>
    </w:tbl>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placing us at a competitive disadvantage compared to our competitors that have less debt;</w:t>
            </w:r>
          </w:p>
        </w:tc>
      </w:tr>
    </w:tbl>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limiting our ability to borrow additional funds; and</w:t>
            </w:r>
          </w:p>
        </w:tc>
      </w:tr>
    </w:tbl>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5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decreasing our ability to compete effectively or operate successfully under adverse economic and industry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results of operations and cash flows vary significantly from year to year due to the cyclical nature of the crude oil and natural gas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Any insufficiency could negatively impact our business. A range of economic, competitive, business and industry factors will affect our future financial performance, and as a result, our ability to generate cash flows from operations and to pay our debt.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refinancing or restructuring our debt;</w:t>
            </w:r>
          </w:p>
        </w:tc>
      </w:tr>
    </w:tbl>
    <w:tbl>
      <w:tblPr>
        <w:tblW w:w="1375" w:type="dxa"/>
        <w:jc w:val="left"/>
        <w:tblInd w:w="0" w:type="dxa"/>
        <w:tblLayout w:type="fixed"/>
        <w:tblCellMar>
          <w:top w:w="0" w:type="dxa"/>
          <w:left w:w="0" w:type="dxa"/>
          <w:bottom w:w="0" w:type="dxa"/>
          <w:right w:w="0" w:type="dxa"/>
        </w:tblCellMar>
      </w:tblPr>
      <w:tblGrid>
        <w:gridCol w:w="60"/>
        <w:gridCol w:w="170"/>
        <w:gridCol w:w="1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assets;</w:t>
            </w:r>
          </w:p>
        </w:tc>
      </w:tr>
    </w:tbl>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reducing or delaying capital investments; or</w:t>
            </w:r>
          </w:p>
        </w:tc>
      </w:tr>
    </w:tbl>
    <w:tbl>
      <w:tblPr>
        <w:tblW w:w="3040" w:type="dxa"/>
        <w:jc w:val="left"/>
        <w:tblInd w:w="0" w:type="dxa"/>
        <w:tblLayout w:type="fixed"/>
        <w:tblCellMar>
          <w:top w:w="0" w:type="dxa"/>
          <w:left w:w="0" w:type="dxa"/>
          <w:bottom w:w="0" w:type="dxa"/>
          <w:right w:w="0" w:type="dxa"/>
        </w:tblCellMar>
      </w:tblPr>
      <w:tblGrid>
        <w:gridCol w:w="60"/>
        <w:gridCol w:w="170"/>
        <w:gridCol w:w="2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seeking to raise additional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However, any alternative financing plans that we undertake may not allow us to meet our debt obligations. Any refinancing or debt restructuring may not be possible, any assets may not be sold or, if sold, the timing of the sales and the amount of proceeds realized from those sales may not be favorable to us or additional financing may not be obtained on acceptable terms. Our inability to generate sufficient cash flows to satisfy our debt obligations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our debt service and other obligations. We may not be able to refinance our indebtedness, sell assets or issue equity, or borrow more funds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In addition, if we fail to comply with the covenants or other terms of our Term Loan Credit Agreement or Senior Credit Facility Agreement, our lenders will have the right to accelerate the maturity of that debt and foreclose upon the collateral, if any, securing that debt. Realization of any of these factors could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2023,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6.</w:t>
      </w:r>
      <w:r>
        <w:rPr>
          <w:rFonts w:ascii="Times New Roman" w:hAnsi="Times New Roman"/>
          <w:caps w:val="false"/>
          <w:smallCaps w:val="false"/>
          <w:sz w:val="20"/>
        </w:rPr>
        <w:t xml:space="preserve">     </w:t>
      </w:r>
      <w:r>
        <w:rPr>
          <w:rFonts w:ascii="Times New Roman" w:hAnsi="Times New Roman"/>
          <w:b/>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94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49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Second Amended &amp; Restated Certificate of Incorporation of HighPeak Energy, Inc. (incorporated by reference to Exhibit 3.1 to the Company’s Current Report on Form 8-K (File No. 001-39464) filed with the SEC on June 2, 2023).</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49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Bylaws of HighPeak Energy, Inc. (incorporated by reference to Exhibit 3.1 to the Company’s Current Report on Form 8-K (File No. 001-39464) filed with the SEC on November 9, 2020). </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49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Registration Rights Agreement, dated as of August 21, 2020, by and among HighPeak Energy, Inc., HighPeak Pure Acquisition, LLC, HighPeak Energy, LP, HighPeak Energy II, LP, HighPeak Energy III, LP and certain other security holders named therein (incorporated by reference to Exhibit 4.4 to the Company’s Current Report on Form 8-K (File No. 001-39464) filed with the SEC on August 27, 2020).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495"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Stockholders’ Agreement, dated as of August 21, 2020, by and among HighPeak Energy, Inc., HighPeak Pure Acquisition, LLC, HighPeak Energy, LP, HighPeak Energy II, LP, HighPeak Energy III, LP, Jack Hightower and certain directors of Pure Acquisition Corp. (incorporated by reference to Exhibit 4.3 to the Company’s Current Report on Form 8-K (File No. 001-39464) filed with the SEC on August 27, 2020). </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495"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Amendment and Assignment to Warrant Agreement, dated as of August 21, 2020, by and among Pure Acquisition Corp., Continental Stock Transfer &amp; Trust Company and HighPeak Energy, Inc. (incorporated by reference to Exhibit 4.2 to the Company’s Registration Statement on Form S-4 and Form S-1 (File No. 333-235313) filed with the SEC on August 5, 2020).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495"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Term Loan Credit Agreement, dated September 12, 2023, by and between HighPeak Energy, Inc., as borrower, Texas Capital Bank, as administrative agent, Chambers Energy Management, LP, as collateral agent, and the lenders from time-to-time party thereto.</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949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Collateral Agency Agreement, dated September 12, 2023, by and between HighPeak Energy, Inc., Texas Capital Bank, as collateral agent, Chambers Energy Management, LP, as term representative, and Mercuria Energy Trading SA, as first-out representative.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949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Credit Agreement, dated November 1, 2023, by and between HighPeak Energy, Inc., as borrower and guarantor, and Fifth Third Bank, National Association, as administrative agent and collateral agent, and lenders party thereto.</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495" w:type="dxa"/>
            <w:tcBorders/>
            <w:vAlign w:val="center"/>
          </w:tcPr>
          <w:p>
            <w:pPr>
              <w:pStyle w:val="TableContents"/>
              <w:bidi w:val="0"/>
              <w:spacing w:before="0" w:after="0"/>
              <w:ind w:left="0" w:right="0" w:hanging="0"/>
              <w:jc w:val="left"/>
              <w:rPr/>
            </w:pPr>
            <w:hyperlink w:anchor="ex_586602.htm">
              <w:r>
                <w:rPr>
                  <w:rStyle w:val="InternetLink"/>
                  <w:rFonts w:ascii="Times New Roman" w:hAnsi="Times New Roman"/>
                  <w:caps w:val="false"/>
                  <w:smallCaps w:val="false"/>
                  <w:sz w:val="20"/>
                </w:rPr>
                <w:t>Certification of the Company</w:t>
              </w:r>
            </w:hyperlink>
            <w:hyperlink w:anchor="ex_586602.htm">
              <w:r>
                <w:rPr>
                  <w:rStyle w:val="InternetLink"/>
                  <w:rFonts w:ascii="Times New Roman" w:hAnsi="Times New Roman"/>
                  <w:caps w:val="false"/>
                  <w:smallCaps w:val="false"/>
                  <w:sz w:val="20"/>
                  <w:u w:val="single"/>
                </w:rPr>
                <w:t>’s Chief Executive Officer Pursuant to Section 302 of the Sarbanes Oxley Act of 2002 (18 U.S.C. Section 7241).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495" w:type="dxa"/>
            <w:tcBorders/>
            <w:vAlign w:val="center"/>
          </w:tcPr>
          <w:p>
            <w:pPr>
              <w:pStyle w:val="TableContents"/>
              <w:bidi w:val="0"/>
              <w:spacing w:before="0" w:after="0"/>
              <w:ind w:left="0" w:right="0" w:hanging="0"/>
              <w:jc w:val="left"/>
              <w:rPr/>
            </w:pPr>
            <w:hyperlink w:anchor="ex_586603.htm">
              <w:r>
                <w:rPr>
                  <w:rStyle w:val="InternetLink"/>
                  <w:rFonts w:ascii="Times New Roman" w:hAnsi="Times New Roman"/>
                  <w:caps w:val="false"/>
                  <w:smallCaps w:val="false"/>
                  <w:sz w:val="20"/>
                </w:rPr>
                <w:t>Certification of the Company</w:t>
              </w:r>
            </w:hyperlink>
            <w:hyperlink w:anchor="ex_586603.htm">
              <w:r>
                <w:rPr>
                  <w:rStyle w:val="InternetLink"/>
                  <w:rFonts w:ascii="Times New Roman" w:hAnsi="Times New Roman"/>
                  <w:caps w:val="false"/>
                  <w:smallCaps w:val="false"/>
                  <w:sz w:val="20"/>
                  <w:u w:val="single"/>
                </w:rPr>
                <w:t>’s Chief Financial Officer Pursuant to Section 302 of the Sarbanes Oxley Act of 2002 (18 U.S.C. Section 7241).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495" w:type="dxa"/>
            <w:tcBorders/>
            <w:vAlign w:val="center"/>
          </w:tcPr>
          <w:p>
            <w:pPr>
              <w:pStyle w:val="TableContents"/>
              <w:bidi w:val="0"/>
              <w:spacing w:before="0" w:after="0"/>
              <w:ind w:left="0" w:right="0" w:hanging="0"/>
              <w:jc w:val="left"/>
              <w:rPr/>
            </w:pPr>
            <w:hyperlink w:anchor="ex_586604.htm">
              <w:r>
                <w:rPr>
                  <w:rStyle w:val="InternetLink"/>
                  <w:rFonts w:ascii="Times New Roman" w:hAnsi="Times New Roman"/>
                  <w:caps w:val="false"/>
                  <w:smallCaps w:val="false"/>
                  <w:sz w:val="20"/>
                </w:rPr>
                <w:t>Certification of the Company</w:t>
              </w:r>
            </w:hyperlink>
            <w:hyperlink w:anchor="ex_586604.htm">
              <w:r>
                <w:rPr>
                  <w:rStyle w:val="InternetLink"/>
                  <w:rFonts w:ascii="Times New Roman" w:hAnsi="Times New Roman"/>
                  <w:caps w:val="false"/>
                  <w:smallCaps w:val="false"/>
                  <w:sz w:val="20"/>
                  <w:u w:val="single"/>
                </w:rPr>
                <w:t>’s Chief Executive Officer Pursuant to Section 906 of the Sarbanes Oxley Act of 2002 (18 U.S.C. Section 1350).</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495" w:type="dxa"/>
            <w:tcBorders/>
            <w:vAlign w:val="center"/>
          </w:tcPr>
          <w:p>
            <w:pPr>
              <w:pStyle w:val="TableContents"/>
              <w:bidi w:val="0"/>
              <w:spacing w:before="0" w:after="0"/>
              <w:ind w:left="0" w:right="0" w:hanging="0"/>
              <w:jc w:val="left"/>
              <w:rPr/>
            </w:pPr>
            <w:hyperlink w:anchor="ex_586605.htm">
              <w:r>
                <w:rPr>
                  <w:rStyle w:val="InternetLink"/>
                  <w:rFonts w:ascii="Times New Roman" w:hAnsi="Times New Roman"/>
                  <w:caps w:val="false"/>
                  <w:smallCaps w:val="false"/>
                  <w:sz w:val="20"/>
                </w:rPr>
                <w:t>Certification of the Company</w:t>
              </w:r>
            </w:hyperlink>
            <w:hyperlink w:anchor="ex_586605.htm">
              <w:r>
                <w:rPr>
                  <w:rStyle w:val="InternetLink"/>
                  <w:rFonts w:ascii="Times New Roman" w:hAnsi="Times New Roman"/>
                  <w:caps w:val="false"/>
                  <w:smallCaps w:val="false"/>
                  <w:sz w:val="20"/>
                  <w:u w:val="single"/>
                </w:rPr>
                <w:t>’s Chief Financial Officer Pursuant to Section 906 of the Sarbanes Oxley Act of 2002 (18 U.S.C. Section 1350).</w:t>
              </w:r>
            </w:hyperlink>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995"/>
        <w:gridCol w:w="7370"/>
      </w:tblGrid>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 </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995"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hereto duly authorized.</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1520"/>
        <w:gridCol w:w="320"/>
        <w:gridCol w:w="3635"/>
      </w:tblGrid>
      <w:tr>
        <w:trPr/>
        <w:tc>
          <w:tcPr>
            <w:tcW w:w="152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HIGHPEAK ENERGY, INC.</w:t>
            </w:r>
          </w:p>
        </w:tc>
      </w:tr>
      <w:tr>
        <w:trPr/>
        <w:tc>
          <w:tcPr>
            <w:tcW w:w="152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6,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6,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/s/ Keith Forbes</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Keith Forbes</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46</w:t>
      </w:r>
    </w:p>
    <w:p>
      <w:pPr>
        <w:pStyle w:val="TextBody"/>
        <w:bidi w:val="0"/>
        <w:spacing w:before="0" w:after="0"/>
        <w:ind w:left="0" w:right="0" w:hanging="0"/>
        <w:jc w:val="center"/>
        <w:rPr>
          <w:caps w:val="false"/>
          <w:smallCaps w:val="false"/>
        </w:rPr>
      </w:pPr>
      <w:bookmarkStart w:id="2" w:name="ex_586602.htm"/>
      <w:bookmarkStart w:id="3" w:name="ksex_586602"/>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I, Jack Hightower,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60"/>
        <w:gridCol w:w="2180"/>
      </w:tblGrid>
      <w:tr>
        <w:trPr/>
        <w:tc>
          <w:tcPr>
            <w:tcW w:w="60" w:type="dxa"/>
            <w:tcBorders/>
            <w:vAlign w:val="center"/>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2023</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586603.htm"/>
      <w:bookmarkStart w:id="5" w:name="ksex_586603"/>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I, Steven Tholen,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60"/>
        <w:gridCol w:w="2180"/>
      </w:tblGrid>
      <w:tr>
        <w:trPr/>
        <w:tc>
          <w:tcPr>
            <w:tcW w:w="60" w:type="dxa"/>
            <w:tcBorders/>
            <w:vAlign w:val="center"/>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6" w:name="ex_586604.htm"/>
      <w:bookmarkStart w:id="7" w:name="ksex_586604"/>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EXECUTIVE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60"/>
        <w:gridCol w:w="2180"/>
      </w:tblGrid>
      <w:tr>
        <w:trPr/>
        <w:tc>
          <w:tcPr>
            <w:tcW w:w="60" w:type="dxa"/>
            <w:tcBorders/>
            <w:vAlign w:val="center"/>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Jack Hightower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Jack Hightower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586605.htm"/>
      <w:bookmarkStart w:id="9" w:name="ksex_586605"/>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FINANCIAL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60"/>
        <w:gridCol w:w="2180"/>
      </w:tblGrid>
      <w:tr>
        <w:trPr/>
        <w:tc>
          <w:tcPr>
            <w:tcW w:w="60" w:type="dxa"/>
            <w:tcBorders/>
            <w:vAlign w:val="center"/>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2849/000143774923016414/ex_528908.htm" TargetMode="External"/><Relationship Id="rId3" Type="http://schemas.openxmlformats.org/officeDocument/2006/relationships/hyperlink" Target="http://www.sec.gov/Archives/edgar/data/1792849/000143774920018850/ex_201557.htm" TargetMode="External"/><Relationship Id="rId4" Type="http://schemas.openxmlformats.org/officeDocument/2006/relationships/hyperlink" Target="http://www.sec.gov/Archives/edgar/data/1792849/000143774920018850/ex_201560.htm" TargetMode="External"/><Relationship Id="rId5" Type="http://schemas.openxmlformats.org/officeDocument/2006/relationships/hyperlink" Target="http://www.sec.gov/Archives/edgar/data/1792849/000143774920018850/ex_201559.htm" TargetMode="External"/><Relationship Id="rId6" Type="http://schemas.openxmlformats.org/officeDocument/2006/relationships/hyperlink" Target="http://www.sec.gov/Archives/edgar/data/1792849/000143774920018850/ex_201558.htm" TargetMode="External"/><Relationship Id="rId7" Type="http://schemas.openxmlformats.org/officeDocument/2006/relationships/hyperlink" Target="http://www.sec.gov/Archives/edgar/data/1792849/000143774923025960/ex_569247.htm" TargetMode="External"/><Relationship Id="rId8" Type="http://schemas.openxmlformats.org/officeDocument/2006/relationships/hyperlink" Target="http://www.sec.gov/Archives/edgar/data/1792849/000143774923025960/ex_569248.htm" TargetMode="External"/><Relationship Id="rId9" Type="http://schemas.openxmlformats.org/officeDocument/2006/relationships/hyperlink" Target="http://www.sec.gov/Archives/edgar/data/1792849/000143774923030383/ex_590946.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35711</Words>
  <Characters>193758</Characters>
  <CharactersWithSpaces>231887</CharactersWithSpaces>
  <Paragraphs>9562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