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hpe20260604_8ka.htm"/>
      <w:bookmarkStart w:id="1" w:name="kshpe20260604_8ka"/>
      <w:bookmarkStart w:id="2" w:name="hpe20260604_8ka.htm"/>
      <w:bookmarkStart w:id="3" w:name="kshpe20260604_8ka"/>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br/>
      </w: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br/>
      </w: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8-K/A</w:t>
      </w:r>
      <w:r>
        <w:rPr>
          <w:rFonts w:ascii="Times New Roman" w:hAnsi="Times New Roman"/>
          <w:caps w:val="false"/>
          <w:smallCaps w:val="false"/>
          <w:sz w:val="36"/>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br/>
      </w: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June 2, 2026</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5880" w:type="dxa"/>
        <w:jc w:val="left"/>
        <w:tblInd w:w="0" w:type="dxa"/>
        <w:tblLayout w:type="fixed"/>
        <w:tblCellMar>
          <w:top w:w="0" w:type="dxa"/>
          <w:left w:w="0" w:type="dxa"/>
          <w:bottom w:w="0" w:type="dxa"/>
          <w:right w:w="0" w:type="dxa"/>
        </w:tblCellMar>
      </w:tblPr>
      <w:tblGrid>
        <w:gridCol w:w="2150"/>
        <w:gridCol w:w="2210"/>
        <w:gridCol w:w="1520"/>
      </w:tblGrid>
      <w:tr>
        <w:trPr/>
        <w:tc>
          <w:tcPr>
            <w:tcW w:w="5880"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tc>
      </w:tr>
      <w:tr>
        <w:trPr/>
        <w:tc>
          <w:tcPr>
            <w:tcW w:w="588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r>
      <w:tr>
        <w:trPr/>
        <w:tc>
          <w:tcPr>
            <w:tcW w:w="2150" w:type="dxa"/>
            <w:tcBorders/>
            <w:vAlign w:val="center"/>
          </w:tcPr>
          <w:p>
            <w:pPr>
              <w:pStyle w:val="TableContents"/>
              <w:bidi w:val="0"/>
              <w:spacing w:before="0" w:after="0"/>
              <w:ind w:left="0" w:right="0" w:hanging="0"/>
              <w:jc w:val="left"/>
              <w:rPr/>
            </w:pPr>
            <w:r>
              <w:rPr/>
              <w:t> </w:t>
            </w:r>
          </w:p>
        </w:tc>
        <w:tc>
          <w:tcPr>
            <w:tcW w:w="2210" w:type="dxa"/>
            <w:tcBorders/>
            <w:vAlign w:val="center"/>
          </w:tcPr>
          <w:p>
            <w:pPr>
              <w:pStyle w:val="TableContents"/>
              <w:bidi w:val="0"/>
              <w:spacing w:before="0" w:after="0"/>
              <w:ind w:left="0" w:right="0" w:hanging="0"/>
              <w:jc w:val="left"/>
              <w:rPr/>
            </w:pPr>
            <w:r>
              <w:rPr/>
              <w:t> </w:t>
            </w:r>
          </w:p>
        </w:tc>
        <w:tc>
          <w:tcPr>
            <w:tcW w:w="1520" w:type="dxa"/>
            <w:tcBorders/>
            <w:vAlign w:val="center"/>
          </w:tcPr>
          <w:p>
            <w:pPr>
              <w:pStyle w:val="TableContents"/>
              <w:bidi w:val="0"/>
              <w:spacing w:before="0" w:after="0"/>
              <w:ind w:left="0" w:right="0" w:hanging="0"/>
              <w:jc w:val="left"/>
              <w:rPr/>
            </w:pPr>
            <w:r>
              <w:rPr/>
              <w:t> </w:t>
            </w:r>
          </w:p>
        </w:tc>
      </w:tr>
      <w:tr>
        <w:trPr/>
        <w:tc>
          <w:tcPr>
            <w:tcW w:w="21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001-39464</w:t>
            </w:r>
          </w:p>
        </w:tc>
        <w:tc>
          <w:tcPr>
            <w:tcW w:w="15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84-3533602</w:t>
            </w:r>
          </w:p>
        </w:tc>
      </w:tr>
      <w:tr>
        <w:trPr/>
        <w:tc>
          <w:tcPr>
            <w:tcW w:w="21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br/>
              <w:t>of incorporation)</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br/>
              <w:t>Identification No.)</w:t>
            </w:r>
          </w:p>
        </w:tc>
      </w:tr>
      <w:tr>
        <w:trPr/>
        <w:tc>
          <w:tcPr>
            <w:tcW w:w="2150" w:type="dxa"/>
            <w:tcBorders/>
            <w:vAlign w:val="center"/>
          </w:tcPr>
          <w:p>
            <w:pPr>
              <w:pStyle w:val="TableContents"/>
              <w:bidi w:val="0"/>
              <w:spacing w:before="0" w:after="0"/>
              <w:ind w:left="0" w:right="0" w:hanging="0"/>
              <w:jc w:val="left"/>
              <w:rPr/>
            </w:pPr>
            <w:r>
              <w:rPr/>
              <w:t> </w:t>
            </w:r>
          </w:p>
        </w:tc>
        <w:tc>
          <w:tcPr>
            <w:tcW w:w="2210" w:type="dxa"/>
            <w:tcBorders/>
            <w:vAlign w:val="center"/>
          </w:tcPr>
          <w:p>
            <w:pPr>
              <w:pStyle w:val="TableContents"/>
              <w:bidi w:val="0"/>
              <w:spacing w:before="0" w:after="0"/>
              <w:ind w:left="0" w:right="0" w:hanging="0"/>
              <w:jc w:val="left"/>
              <w:rPr/>
            </w:pPr>
            <w:r>
              <w:rPr/>
              <w:t> </w:t>
            </w:r>
          </w:p>
        </w:tc>
        <w:tc>
          <w:tcPr>
            <w:tcW w:w="1520" w:type="dxa"/>
            <w:tcBorders/>
            <w:vAlign w:val="center"/>
          </w:tcPr>
          <w:p>
            <w:pPr>
              <w:pStyle w:val="TableContents"/>
              <w:bidi w:val="0"/>
              <w:spacing w:before="0" w:after="0"/>
              <w:ind w:left="0" w:right="0" w:hanging="0"/>
              <w:jc w:val="left"/>
              <w:rPr/>
            </w:pPr>
            <w:r>
              <w:rPr/>
              <w:t> </w:t>
            </w:r>
          </w:p>
        </w:tc>
      </w:tr>
      <w:tr>
        <w:trPr/>
        <w:tc>
          <w:tcPr>
            <w:tcW w:w="5880"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421 W. 3rd St., Suite 1000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Fort Worth, Texas</w:t>
            </w:r>
            <w:r>
              <w:rPr>
                <w:rFonts w:ascii="Times New Roman" w:hAnsi="Times New Roman"/>
                <w:caps w:val="false"/>
                <w:smallCaps w:val="false"/>
                <w:sz w:val="20"/>
              </w:rPr>
              <w:t> </w:t>
            </w:r>
            <w:r>
              <w:rPr>
                <w:rFonts w:ascii="Times New Roman" w:hAnsi="Times New Roman"/>
                <w:b/>
                <w:caps w:val="false"/>
                <w:smallCaps w:val="false"/>
                <w:sz w:val="20"/>
              </w:rPr>
              <w:t>76102</w:t>
            </w:r>
          </w:p>
        </w:tc>
      </w:tr>
      <w:tr>
        <w:trPr/>
        <w:tc>
          <w:tcPr>
            <w:tcW w:w="5880"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tc>
      </w:tr>
      <w:tr>
        <w:trPr/>
        <w:tc>
          <w:tcPr>
            <w:tcW w:w="2150" w:type="dxa"/>
            <w:tcBorders/>
            <w:vAlign w:val="center"/>
          </w:tcPr>
          <w:p>
            <w:pPr>
              <w:pStyle w:val="TableContents"/>
              <w:bidi w:val="0"/>
              <w:spacing w:before="0" w:after="0"/>
              <w:ind w:left="0" w:right="0" w:hanging="0"/>
              <w:jc w:val="left"/>
              <w:rPr/>
            </w:pPr>
            <w:r>
              <w:rPr/>
              <w:t> </w:t>
            </w:r>
          </w:p>
        </w:tc>
        <w:tc>
          <w:tcPr>
            <w:tcW w:w="2210" w:type="dxa"/>
            <w:tcBorders/>
            <w:vAlign w:val="center"/>
          </w:tcPr>
          <w:p>
            <w:pPr>
              <w:pStyle w:val="TableContents"/>
              <w:bidi w:val="0"/>
              <w:spacing w:before="0" w:after="0"/>
              <w:ind w:left="0" w:right="0" w:hanging="0"/>
              <w:jc w:val="left"/>
              <w:rPr/>
            </w:pPr>
            <w:r>
              <w:rPr/>
              <w:t> </w:t>
            </w:r>
          </w:p>
        </w:tc>
        <w:tc>
          <w:tcPr>
            <w:tcW w:w="1520" w:type="dxa"/>
            <w:tcBorders/>
            <w:vAlign w:val="center"/>
          </w:tcPr>
          <w:p>
            <w:pPr>
              <w:pStyle w:val="TableContents"/>
              <w:bidi w:val="0"/>
              <w:spacing w:before="0" w:after="0"/>
              <w:ind w:left="0" w:right="0" w:hanging="0"/>
              <w:jc w:val="left"/>
              <w:rPr/>
            </w:pPr>
            <w:r>
              <w:rPr/>
              <w:t> </w:t>
            </w:r>
          </w:p>
        </w:tc>
      </w:tr>
      <w:tr>
        <w:trPr/>
        <w:tc>
          <w:tcPr>
            <w:tcW w:w="5880"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(817) 850-9200</w:t>
            </w:r>
          </w:p>
        </w:tc>
      </w:tr>
      <w:tr>
        <w:trPr/>
        <w:tc>
          <w:tcPr>
            <w:tcW w:w="5880"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230"/>
        <w:gridCol w:w="720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Written communication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30"/>
        <w:gridCol w:w="906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Pre-commencements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28" w:type="dxa"/>
          <w:right w:w="0" w:type="dxa"/>
        </w:tblCellMar>
      </w:tblPr>
      <w:tblGrid>
        <w:gridCol w:w="1610"/>
        <w:gridCol w:w="1610"/>
        <w:gridCol w:w="2990"/>
      </w:tblGrid>
      <w:tr>
        <w:trPr/>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299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Registered</w:t>
            </w:r>
          </w:p>
        </w:tc>
      </w:tr>
      <w:tr>
        <w:trPr/>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HPK</w:t>
            </w:r>
          </w:p>
        </w:tc>
        <w:tc>
          <w:tcPr>
            <w:tcW w:w="299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Explanatory Note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Current Report on Form 8-K/A is being filed as an amendment (the “Amendment”) to the Current Report on Form 8-K filed with the Securities and Exchange Commission on June 2, 2026. The sole purpose of this Amendment is to disclose our decision regarding how frequently we will conduct future stockholder advisory votes on the executive compensation paid to our Named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815"/>
        <w:gridCol w:w="4415"/>
      </w:tblGrid>
      <w:tr>
        <w:trPr/>
        <w:tc>
          <w:tcPr>
            <w:tcW w:w="8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5.07</w:t>
            </w:r>
          </w:p>
        </w:tc>
        <w:tc>
          <w:tcPr>
            <w:tcW w:w="44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Submission of Matters to a Vote of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accordance with the voting results from our annual meeting of stockholders held on June 2, 2026, at which our Board of Directors recommended that stockholders vote for the option of every “1 Year” as the preferred frequency for future advisory votes on compensation paid to our Named Executive Officers, and every “1 Year” received the highest number of votes cast on such advisory vote, our Board of Directors has determined that advisory votes on executive compensation paid to our Named Executive Officers will occur on an annual basis until the next required advisory vote on the frequency of future advisory votes on executive compensation. We are required to hold advisory votes on the frequency of future advisory votes on executive compensation every six years.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36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029" w:type="dxa"/>
        <w:jc w:val="left"/>
        <w:tblInd w:w="0" w:type="dxa"/>
        <w:tblLayout w:type="fixed"/>
        <w:tblCellMar>
          <w:top w:w="0" w:type="dxa"/>
          <w:left w:w="0" w:type="dxa"/>
          <w:bottom w:w="0" w:type="dxa"/>
          <w:right w:w="0" w:type="dxa"/>
        </w:tblCellMar>
      </w:tblPr>
      <w:tblGrid>
        <w:gridCol w:w="1535"/>
        <w:gridCol w:w="547"/>
        <w:gridCol w:w="1887"/>
        <w:gridCol w:w="60"/>
      </w:tblGrid>
      <w:tr>
        <w:trPr/>
        <w:tc>
          <w:tcPr>
            <w:tcW w:w="1535" w:type="dxa"/>
            <w:tcBorders/>
            <w:vAlign w:val="center"/>
          </w:tcPr>
          <w:p>
            <w:pPr>
              <w:pStyle w:val="TableContents"/>
              <w:bidi w:val="0"/>
              <w:spacing w:before="0" w:after="0"/>
              <w:ind w:left="0" w:right="0" w:hanging="0"/>
              <w:jc w:val="left"/>
              <w:rPr/>
            </w:pPr>
            <w:r>
              <w:rPr/>
              <w:t> </w:t>
            </w:r>
          </w:p>
        </w:tc>
        <w:tc>
          <w:tcPr>
            <w:tcW w:w="2434"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HIGHPEAK ENERGY, INC.</w:t>
            </w:r>
          </w:p>
        </w:tc>
        <w:tc>
          <w:tcPr>
            <w:tcW w:w="60" w:type="dxa"/>
            <w:tcBorders/>
            <w:vAlign w:val="center"/>
          </w:tcPr>
          <w:p>
            <w:pPr>
              <w:pStyle w:val="TableContents"/>
              <w:bidi w:val="0"/>
              <w:spacing w:before="0" w:after="0"/>
              <w:ind w:left="0" w:right="0" w:hanging="0"/>
              <w:jc w:val="left"/>
              <w:rPr/>
            </w:pPr>
            <w:r>
              <w:rPr/>
              <w:t> </w:t>
            </w:r>
          </w:p>
        </w:tc>
      </w:tr>
      <w:tr>
        <w:trPr/>
        <w:tc>
          <w:tcPr>
            <w:tcW w:w="1535" w:type="dxa"/>
            <w:tcBorders/>
            <w:vAlign w:val="center"/>
          </w:tcPr>
          <w:p>
            <w:pPr>
              <w:pStyle w:val="TableContents"/>
              <w:bidi w:val="0"/>
              <w:spacing w:before="0" w:after="0"/>
              <w:ind w:left="0" w:right="0" w:hanging="0"/>
              <w:jc w:val="left"/>
              <w:rPr/>
            </w:pPr>
            <w:r>
              <w:rPr/>
              <w:t> </w:t>
            </w:r>
          </w:p>
        </w:tc>
        <w:tc>
          <w:tcPr>
            <w:tcW w:w="547" w:type="dxa"/>
            <w:tcBorders/>
            <w:vAlign w:val="center"/>
          </w:tcPr>
          <w:p>
            <w:pPr>
              <w:pStyle w:val="TableContents"/>
              <w:bidi w:val="0"/>
              <w:spacing w:before="0" w:after="0"/>
              <w:ind w:left="0" w:right="0" w:hanging="0"/>
              <w:jc w:val="left"/>
              <w:rPr/>
            </w:pPr>
            <w:r>
              <w:rPr/>
              <w:t> </w:t>
            </w:r>
          </w:p>
        </w:tc>
        <w:tc>
          <w:tcPr>
            <w:tcW w:w="188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June 5, 2026</w:t>
            </w:r>
          </w:p>
        </w:tc>
        <w:tc>
          <w:tcPr>
            <w:tcW w:w="547" w:type="dxa"/>
            <w:tcBorders/>
            <w:vAlign w:val="center"/>
          </w:tcPr>
          <w:p>
            <w:pPr>
              <w:pStyle w:val="TableContents"/>
              <w:bidi w:val="0"/>
              <w:spacing w:before="0" w:after="0"/>
              <w:ind w:left="0" w:right="0" w:hanging="0"/>
              <w:jc w:val="left"/>
              <w:rPr/>
            </w:pPr>
            <w:r>
              <w:rPr/>
              <w:t> </w:t>
            </w:r>
          </w:p>
        </w:tc>
        <w:tc>
          <w:tcPr>
            <w:tcW w:w="188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535" w:type="dxa"/>
            <w:tcBorders/>
            <w:vAlign w:val="center"/>
          </w:tcPr>
          <w:p>
            <w:pPr>
              <w:pStyle w:val="TableContents"/>
              <w:bidi w:val="0"/>
              <w:spacing w:before="0" w:after="0"/>
              <w:ind w:left="0" w:right="0" w:hanging="0"/>
              <w:jc w:val="left"/>
              <w:rPr/>
            </w:pPr>
            <w:r>
              <w:rPr/>
              <w:t> </w:t>
            </w:r>
          </w:p>
        </w:tc>
        <w:tc>
          <w:tcPr>
            <w:tcW w:w="5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88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Steven W. Tholen</w:t>
            </w:r>
          </w:p>
        </w:tc>
        <w:tc>
          <w:tcPr>
            <w:tcW w:w="60" w:type="dxa"/>
            <w:tcBorders/>
            <w:vAlign w:val="center"/>
          </w:tcPr>
          <w:p>
            <w:pPr>
              <w:pStyle w:val="TableContents"/>
              <w:bidi w:val="0"/>
              <w:spacing w:before="0" w:after="0"/>
              <w:ind w:left="0" w:right="0" w:hanging="0"/>
              <w:jc w:val="left"/>
              <w:rPr/>
            </w:pPr>
            <w:r>
              <w:rPr/>
              <w:t> </w:t>
            </w:r>
          </w:p>
        </w:tc>
      </w:tr>
      <w:tr>
        <w:trPr/>
        <w:tc>
          <w:tcPr>
            <w:tcW w:w="1535" w:type="dxa"/>
            <w:tcBorders/>
            <w:vAlign w:val="center"/>
          </w:tcPr>
          <w:p>
            <w:pPr>
              <w:pStyle w:val="TableContents"/>
              <w:bidi w:val="0"/>
              <w:spacing w:before="0" w:after="0"/>
              <w:ind w:left="0" w:right="0" w:hanging="0"/>
              <w:jc w:val="left"/>
              <w:rPr/>
            </w:pPr>
            <w:r>
              <w:rPr/>
              <w:t> </w:t>
            </w:r>
          </w:p>
        </w:tc>
        <w:tc>
          <w:tcPr>
            <w:tcW w:w="5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18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W. Tholen</w:t>
            </w:r>
          </w:p>
        </w:tc>
        <w:tc>
          <w:tcPr>
            <w:tcW w:w="60" w:type="dxa"/>
            <w:tcBorders/>
            <w:vAlign w:val="center"/>
          </w:tcPr>
          <w:p>
            <w:pPr>
              <w:pStyle w:val="TableContents"/>
              <w:bidi w:val="0"/>
              <w:spacing w:before="0" w:after="0"/>
              <w:ind w:left="0" w:right="0" w:hanging="0"/>
              <w:jc w:val="left"/>
              <w:rPr/>
            </w:pPr>
            <w:r>
              <w:rPr/>
              <w:t> </w:t>
            </w:r>
          </w:p>
        </w:tc>
      </w:tr>
      <w:tr>
        <w:trPr/>
        <w:tc>
          <w:tcPr>
            <w:tcW w:w="1535" w:type="dxa"/>
            <w:tcBorders/>
            <w:vAlign w:val="center"/>
          </w:tcPr>
          <w:p>
            <w:pPr>
              <w:pStyle w:val="TableContents"/>
              <w:bidi w:val="0"/>
              <w:spacing w:before="0" w:after="0"/>
              <w:ind w:left="0" w:right="0" w:hanging="0"/>
              <w:jc w:val="left"/>
              <w:rPr/>
            </w:pPr>
            <w:r>
              <w:rPr/>
              <w:t> </w:t>
            </w:r>
          </w:p>
        </w:tc>
        <w:tc>
          <w:tcPr>
            <w:tcW w:w="5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18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TextBody"/>
        <w:bidi w:val="0"/>
        <w:spacing w:before="0" w:after="283"/>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540</Words>
  <Characters>2889</Characters>
  <CharactersWithSpaces>3443</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