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19685</wp:posOffset>
            </wp:positionV>
            <wp:extent cx="2554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(Exact name of Registrant as specified in its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510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84-3533602</w:t>
            </w:r>
          </w:p>
        </w:tc>
      </w:tr>
      <w:tr>
        <w:trPr>
          <w:trHeight w:val="216"/>
        </w:trPr>
        <w:tc>
          <w:tcPr>
            <w:tcW w:w="510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5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51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organization)</w:t>
            </w:r>
          </w:p>
        </w:tc>
        <w:tc>
          <w:tcPr>
            <w:tcW w:w="35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No.)</w:t>
            </w:r>
          </w:p>
        </w:tc>
      </w:tr>
      <w:tr>
        <w:trPr>
          <w:trHeight w:val="410"/>
        </w:trPr>
        <w:tc>
          <w:tcPr>
            <w:tcW w:w="51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421 W. 3rd St., Suite 1000</w:t>
            </w:r>
          </w:p>
        </w:tc>
        <w:tc>
          <w:tcPr>
            <w:tcW w:w="35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220"/>
        </w:trPr>
        <w:tc>
          <w:tcPr>
            <w:tcW w:w="510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7"/>
              </w:rPr>
              <w:t>Fort Worth, Texas</w:t>
            </w:r>
          </w:p>
        </w:tc>
        <w:tc>
          <w:tcPr>
            <w:tcW w:w="35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51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5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(817) 850-9200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 xml:space="preserve">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0" w:type="dxa"/>
            <w:vAlign w:val="bottom"/>
          </w:tcPr>
          <w:p>
            <w:pPr>
              <w:spacing w:after="0"/>
              <w:rPr>
                <w:sz w:val="20"/>
                <w:szCs w:val="20"/>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40" w:type="dxa"/>
            <w:vAlign w:val="bottom"/>
          </w:tcPr>
          <w:p>
            <w:pPr>
              <w:spacing w:after="0"/>
              <w:rPr>
                <w:sz w:val="20"/>
                <w:szCs w:val="20"/>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191"/>
        </w:trPr>
        <w:tc>
          <w:tcPr>
            <w:tcW w:w="3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6"/>
                <w:szCs w:val="16"/>
                <w:color w:val="auto"/>
              </w:rPr>
            </w:pPr>
          </w:p>
        </w:tc>
        <w:tc>
          <w:tcPr>
            <w:tcW w:w="3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HPK</w:t>
            </w:r>
          </w:p>
        </w:tc>
        <w:tc>
          <w:tcPr>
            <w:tcW w:w="240" w:type="dxa"/>
            <w:vAlign w:val="bottom"/>
          </w:tcPr>
          <w:p>
            <w:pPr>
              <w:spacing w:after="0"/>
              <w:rPr>
                <w:sz w:val="16"/>
                <w:szCs w:val="16"/>
                <w:color w:val="auto"/>
              </w:rPr>
            </w:pPr>
          </w:p>
        </w:tc>
        <w:tc>
          <w:tcPr>
            <w:tcW w:w="38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24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HPKEW</w:t>
            </w:r>
          </w:p>
        </w:tc>
        <w:tc>
          <w:tcPr>
            <w:tcW w:w="240" w:type="dxa"/>
            <w:vAlign w:val="bottom"/>
          </w:tcPr>
          <w:p>
            <w:pPr>
              <w:spacing w:after="0"/>
              <w:rPr>
                <w:sz w:val="20"/>
                <w:szCs w:val="20"/>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64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 w:name="page2"/>
    <w:bookmarkEnd w:id="1"/>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13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13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spacing w:after="0" w:line="207" w:lineRule="exact"/>
        <w:tabs>
          <w:tab w:leader="none" w:pos="64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6, 2024, there were 127,855,429 shares of common stock, par value $0.0001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Page</w:t>
            </w:r>
          </w:p>
        </w:tc>
      </w:tr>
      <w:tr>
        <w:trPr>
          <w:trHeight w:val="210"/>
        </w:trPr>
        <w:tc>
          <w:tcPr>
            <w:tcW w:w="106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Definitions of Certain Terms and Conventions Used Herein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Cautionary Statement Concerning Forward-Looking Statements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14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auto"/>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4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6"/>
        </w:trPr>
        <w:tc>
          <w:tcPr>
            <w:tcW w:w="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5"/>
          </w:tcPr>
          <w:p>
            <w:pPr>
              <w:ind w:left="200"/>
              <w:spacing w:after="0" w:line="176" w:lineRule="exact"/>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4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4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4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5"/>
          </w:tcPr>
          <w:p>
            <w:pPr>
              <w:ind w:left="200"/>
              <w:spacing w:after="0" w:line="176"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Item 3.</w:t>
            </w:r>
          </w:p>
        </w:tc>
        <w:tc>
          <w:tcPr>
            <w:tcW w:w="440" w:type="dxa"/>
            <w:vAlign w:val="bottom"/>
            <w:tcBorders>
              <w:bottom w:val="single" w:sz="8" w:color="CCEEFF"/>
            </w:tcBorders>
            <w:gridSpan w:val="2"/>
            <w:shd w:val="clear" w:color="auto" w:fill="CCEEFF"/>
          </w:tcPr>
          <w:p>
            <w:pPr>
              <w:spacing w:after="0"/>
              <w:rPr>
                <w:sz w:val="17"/>
                <w:szCs w:val="17"/>
                <w:color w:val="auto"/>
              </w:rPr>
            </w:pPr>
          </w:p>
        </w:tc>
        <w:tc>
          <w:tcPr>
            <w:tcW w:w="9640" w:type="dxa"/>
            <w:vAlign w:val="bottom"/>
            <w:tcBorders>
              <w:bottom w:val="single" w:sz="8" w:color="CCEEFF"/>
            </w:tcBorders>
            <w:gridSpan w:val="5"/>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5"/>
        </w:trPr>
        <w:tc>
          <w:tcPr>
            <w:tcW w:w="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5"/>
          </w:tcPr>
          <w:p>
            <w:pPr>
              <w:ind w:left="200"/>
              <w:spacing w:after="0" w:line="176" w:lineRule="exact"/>
              <w:rPr>
                <w:sz w:val="20"/>
                <w:szCs w:val="20"/>
                <w:color w:val="auto"/>
              </w:rPr>
            </w:pPr>
            <w:r>
              <w:rPr>
                <w:rFonts w:ascii="Times New Roman" w:cs="Times New Roman" w:eastAsia="Times New Roman" w:hAnsi="Times New Roman"/>
                <w:sz w:val="18"/>
                <w:szCs w:val="18"/>
                <w:color w:val="auto"/>
              </w:rPr>
              <w:t>Controls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360" w:type="dxa"/>
            <w:vAlign w:val="bottom"/>
            <w:gridSpan w:val="3"/>
            <w:shd w:val="clear" w:color="auto" w:fill="CCEEFF"/>
          </w:tcPr>
          <w:p>
            <w:pPr>
              <w:jc w:val="center"/>
              <w:ind w:right="36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640" w:type="dxa"/>
            <w:vAlign w:val="bottom"/>
            <w:shd w:val="clear" w:color="auto" w:fill="CCEEFF"/>
          </w:tcPr>
          <w:p>
            <w:pPr>
              <w:spacing w:after="0"/>
              <w:rPr>
                <w:sz w:val="17"/>
                <w:szCs w:val="17"/>
                <w:color w:val="auto"/>
              </w:rPr>
            </w:pPr>
          </w:p>
        </w:tc>
      </w:tr>
      <w:tr>
        <w:trPr>
          <w:trHeight w:val="176"/>
        </w:trPr>
        <w:tc>
          <w:tcPr>
            <w:tcW w:w="96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3280" w:type="dxa"/>
            <w:vAlign w:val="bottom"/>
            <w:tcBorders>
              <w:top w:val="single" w:sz="8" w:color="CCEEFF"/>
            </w:tcBorders>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Legal Proceedings</w:t>
            </w:r>
          </w:p>
        </w:tc>
        <w:tc>
          <w:tcPr>
            <w:tcW w:w="2760" w:type="dxa"/>
            <w:vAlign w:val="bottom"/>
            <w:tcBorders>
              <w:top w:val="single" w:sz="8" w:color="auto"/>
            </w:tcBorders>
          </w:tcPr>
          <w:p>
            <w:pPr>
              <w:spacing w:after="0"/>
              <w:rPr>
                <w:sz w:val="15"/>
                <w:szCs w:val="15"/>
                <w:color w:val="auto"/>
              </w:rPr>
            </w:pPr>
          </w:p>
        </w:tc>
        <w:tc>
          <w:tcPr>
            <w:tcW w:w="360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40" w:type="dxa"/>
            <w:vAlign w:val="bottom"/>
            <w:gridSpan w:val="5"/>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176"/>
        </w:trPr>
        <w:tc>
          <w:tcPr>
            <w:tcW w:w="64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320" w:type="dxa"/>
            <w:vAlign w:val="bottom"/>
            <w:tcBorders>
              <w:top w:val="single" w:sz="8" w:color="CCEEFF"/>
            </w:tcBorders>
          </w:tcPr>
          <w:p>
            <w:pPr>
              <w:spacing w:after="0"/>
              <w:rPr>
                <w:sz w:val="15"/>
                <w:szCs w:val="15"/>
                <w:color w:val="auto"/>
              </w:rPr>
            </w:pPr>
          </w:p>
        </w:tc>
        <w:tc>
          <w:tcPr>
            <w:tcW w:w="9640" w:type="dxa"/>
            <w:vAlign w:val="bottom"/>
            <w:tcBorders>
              <w:top w:val="single" w:sz="8" w:color="CCEEFF"/>
            </w:tcBorders>
            <w:gridSpan w:val="5"/>
          </w:tcPr>
          <w:p>
            <w:pPr>
              <w:ind w:left="200"/>
              <w:spacing w:after="0" w:line="176"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Item 5.</w:t>
            </w:r>
          </w:p>
        </w:tc>
        <w:tc>
          <w:tcPr>
            <w:tcW w:w="440" w:type="dxa"/>
            <w:vAlign w:val="bottom"/>
            <w:tcBorders>
              <w:bottom w:val="single" w:sz="8" w:color="CCEEFF"/>
            </w:tcBorders>
            <w:gridSpan w:val="2"/>
            <w:shd w:val="clear" w:color="auto" w:fill="CCEEFF"/>
          </w:tcPr>
          <w:p>
            <w:pPr>
              <w:spacing w:after="0"/>
              <w:rPr>
                <w:sz w:val="17"/>
                <w:szCs w:val="17"/>
                <w:color w:val="auto"/>
              </w:rPr>
            </w:pPr>
          </w:p>
        </w:tc>
        <w:tc>
          <w:tcPr>
            <w:tcW w:w="9640" w:type="dxa"/>
            <w:vAlign w:val="bottom"/>
            <w:tcBorders>
              <w:bottom w:val="single" w:sz="8" w:color="CCEEFF"/>
            </w:tcBorders>
            <w:gridSpan w:val="5"/>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Other Information</w:t>
            </w: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175"/>
        </w:trPr>
        <w:tc>
          <w:tcPr>
            <w:tcW w:w="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40" w:type="dxa"/>
            <w:vAlign w:val="bottom"/>
            <w:gridSpan w:val="5"/>
          </w:tcPr>
          <w:p>
            <w:pPr>
              <w:ind w:left="200"/>
              <w:spacing w:after="0" w:line="176" w:lineRule="exact"/>
              <w:rPr>
                <w:sz w:val="20"/>
                <w:szCs w:val="20"/>
                <w:color w:val="auto"/>
              </w:rPr>
            </w:pPr>
            <w:r>
              <w:rPr>
                <w:rFonts w:ascii="Times New Roman" w:cs="Times New Roman" w:eastAsia="Times New Roman" w:hAnsi="Times New Roman"/>
                <w:sz w:val="18"/>
                <w:szCs w:val="18"/>
                <w:color w:val="auto"/>
              </w:rPr>
              <w:t>Exhibits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3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574"/>
        </w:trPr>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ind w:left="450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of Certain Terms and Conventions Used Herein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Within this Quarterly Report on Form 10-Q (this “Quarterly Report”), the following terms and conventions have specific meanings:</w:t>
      </w:r>
    </w:p>
    <w:p>
      <w:pPr>
        <w:spacing w:after="0" w:line="221" w:lineRule="exact"/>
        <w:rPr>
          <w:sz w:val="20"/>
          <w:szCs w:val="20"/>
          <w:color w:val="auto"/>
        </w:rPr>
      </w:pPr>
    </w:p>
    <w:p>
      <w:pPr>
        <w:ind w:left="460" w:right="120" w:hanging="223"/>
        <w:spacing w:after="0" w:line="263"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“10.000% Senior Notes</w:t>
      </w:r>
      <w:r>
        <w:rPr>
          <w:rFonts w:ascii="Times New Roman" w:cs="Times New Roman" w:eastAsia="Times New Roman" w:hAnsi="Times New Roman"/>
          <w:sz w:val="18"/>
          <w:szCs w:val="18"/>
          <w:color w:val="auto"/>
        </w:rPr>
        <w:t>” means the $225.0 million aggregate principal amount of our 10.000% Senior Notes due 2024, which were issued pursuant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an indenture in February 2022 and repaid in full in September 2023.</w:t>
      </w:r>
    </w:p>
    <w:p>
      <w:pPr>
        <w:jc w:val="both"/>
        <w:ind w:left="460" w:right="380" w:hanging="223"/>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“10.625% Senior Notes</w:t>
      </w:r>
      <w:r>
        <w:rPr>
          <w:rFonts w:ascii="Times New Roman" w:cs="Times New Roman" w:eastAsia="Times New Roman" w:hAnsi="Times New Roman"/>
          <w:sz w:val="18"/>
          <w:szCs w:val="18"/>
          <w:color w:val="auto"/>
        </w:rPr>
        <w:t>” means the $250.0 million aggregate principal amount of our 10.625% Senior Notes due 2024, $225.0 million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issued pursuant to an indenture in November 2022 and $25.0 million of which were issued pursuant to an indenture in December 2022 and repaid in full in September 2023.</w:t>
      </w:r>
    </w:p>
    <w:p>
      <w:pPr>
        <w:spacing w:after="0" w:line="1" w:lineRule="exact"/>
        <w:rPr>
          <w:rFonts w:ascii="Times New Roman" w:cs="Times New Roman" w:eastAsia="Times New Roman" w:hAnsi="Times New Roman"/>
          <w:sz w:val="18"/>
          <w:szCs w:val="18"/>
          <w:color w:val="auto"/>
        </w:rPr>
      </w:pPr>
    </w:p>
    <w:p>
      <w:pPr>
        <w:ind w:left="460" w:right="280" w:hanging="223"/>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“3-D seismic</w:t>
      </w:r>
      <w:r>
        <w:rPr>
          <w:rFonts w:ascii="Times New Roman" w:cs="Times New Roman" w:eastAsia="Times New Roman" w:hAnsi="Times New Roman"/>
          <w:sz w:val="18"/>
          <w:szCs w:val="18"/>
          <w:color w:val="auto"/>
        </w:rPr>
        <w:t>” means three-dimensional seismic data which is geophysical data that depicts the subsurface strata in three dimensions. 3-D seismic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typically provides a more detailed and accurate interpretation of the subsurface strata than two-dimensional data.</w:t>
      </w:r>
    </w:p>
    <w:p>
      <w:pPr>
        <w:ind w:left="460" w:hanging="223"/>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“ASC</w:t>
      </w:r>
      <w:r>
        <w:rPr>
          <w:rFonts w:ascii="Times New Roman" w:cs="Times New Roman" w:eastAsia="Times New Roman" w:hAnsi="Times New Roman"/>
          <w:sz w:val="18"/>
          <w:szCs w:val="18"/>
          <w:color w:val="auto"/>
        </w:rPr>
        <w:t>” means Accounting Standards Codification.</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means Accounting Standards Update.</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“Basin</w:t>
      </w:r>
      <w:r>
        <w:rPr>
          <w:rFonts w:ascii="Times New Roman" w:cs="Times New Roman" w:eastAsia="Times New Roman" w:hAnsi="Times New Roman"/>
          <w:sz w:val="18"/>
          <w:szCs w:val="18"/>
          <w:color w:val="auto"/>
        </w:rPr>
        <w:t>” means a large natural depression on the earth’s surface in which sediments generally brought by water accumulate.</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“Bbl</w:t>
      </w:r>
      <w:r>
        <w:rPr>
          <w:rFonts w:ascii="Times New Roman" w:cs="Times New Roman" w:eastAsia="Times New Roman" w:hAnsi="Times New Roman"/>
          <w:sz w:val="18"/>
          <w:szCs w:val="18"/>
          <w:color w:val="auto"/>
        </w:rPr>
        <w:t>” means a standard barrel containing 42 United States gallons.</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“Bcf</w:t>
      </w:r>
      <w:r>
        <w:rPr>
          <w:rFonts w:ascii="Times New Roman" w:cs="Times New Roman" w:eastAsia="Times New Roman" w:hAnsi="Times New Roman"/>
          <w:sz w:val="18"/>
          <w:szCs w:val="18"/>
          <w:color w:val="auto"/>
        </w:rPr>
        <w:t>” means one billion cubic feet.</w:t>
      </w:r>
    </w:p>
    <w:p>
      <w:pPr>
        <w:spacing w:after="0" w:line="9" w:lineRule="exact"/>
        <w:rPr>
          <w:rFonts w:ascii="Times New Roman" w:cs="Times New Roman" w:eastAsia="Times New Roman" w:hAnsi="Times New Roman"/>
          <w:sz w:val="18"/>
          <w:szCs w:val="18"/>
          <w:color w:val="auto"/>
        </w:rPr>
      </w:pPr>
    </w:p>
    <w:p>
      <w:pPr>
        <w:jc w:val="both"/>
        <w:ind w:left="460" w:right="100" w:hanging="223"/>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“Boe</w:t>
      </w:r>
      <w:r>
        <w:rPr>
          <w:rFonts w:ascii="Times New Roman" w:cs="Times New Roman" w:eastAsia="Times New Roman" w:hAnsi="Times New Roman"/>
          <w:sz w:val="18"/>
          <w:szCs w:val="18"/>
          <w:color w:val="auto"/>
        </w:rPr>
        <w:t>” means a barrel of crude oil equivalent and is a standard convention used to express crude oil and natural gas volumes on a comparable crude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oil equivalent basis. Natural gas equivalents are determined under the relative energy content method by using the ratio of six thousand cubic feet of natural gas to one Bbl of crude oil or NGL.</w:t>
      </w:r>
    </w:p>
    <w:p>
      <w:pPr>
        <w:spacing w:after="0" w:line="1"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“Boepd</w:t>
      </w:r>
      <w:r>
        <w:rPr>
          <w:rFonts w:ascii="Times New Roman" w:cs="Times New Roman" w:eastAsia="Times New Roman" w:hAnsi="Times New Roman"/>
          <w:sz w:val="18"/>
          <w:szCs w:val="18"/>
          <w:color w:val="auto"/>
        </w:rPr>
        <w:t>” means Boe per day.</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“Bopd</w:t>
      </w:r>
      <w:r>
        <w:rPr>
          <w:rFonts w:ascii="Times New Roman" w:cs="Times New Roman" w:eastAsia="Times New Roman" w:hAnsi="Times New Roman"/>
          <w:sz w:val="18"/>
          <w:szCs w:val="18"/>
          <w:color w:val="auto"/>
        </w:rPr>
        <w:t>” means one barrel of crude oil per day.</w:t>
      </w:r>
    </w:p>
    <w:p>
      <w:pPr>
        <w:spacing w:after="0" w:line="9" w:lineRule="exact"/>
        <w:rPr>
          <w:rFonts w:ascii="Times New Roman" w:cs="Times New Roman" w:eastAsia="Times New Roman" w:hAnsi="Times New Roman"/>
          <w:sz w:val="18"/>
          <w:szCs w:val="18"/>
          <w:color w:val="auto"/>
        </w:rPr>
      </w:pPr>
    </w:p>
    <w:p>
      <w:pPr>
        <w:ind w:left="460" w:right="820" w:hanging="223"/>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“Btu</w:t>
      </w:r>
      <w:r>
        <w:rPr>
          <w:rFonts w:ascii="Times New Roman" w:cs="Times New Roman" w:eastAsia="Times New Roman" w:hAnsi="Times New Roman"/>
          <w:sz w:val="18"/>
          <w:szCs w:val="18"/>
          <w:color w:val="auto"/>
        </w:rPr>
        <w:t>” means British thermal unit, which is a measure of the amount of energy required to raise the temperature of one pound of water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degree Fahrenheit.</w:t>
      </w:r>
    </w:p>
    <w:p>
      <w:pPr>
        <w:ind w:left="460" w:right="100" w:hanging="223"/>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“Collateral Agency Agreement</w:t>
      </w:r>
      <w:r>
        <w:rPr>
          <w:rFonts w:ascii="Times New Roman" w:cs="Times New Roman" w:eastAsia="Times New Roman" w:hAnsi="Times New Roman"/>
          <w:sz w:val="18"/>
          <w:szCs w:val="18"/>
          <w:color w:val="auto"/>
        </w:rPr>
        <w:t>” means the Company’s Collateral Agency Agreement, dated as of September 12, 2023, by and among HighPeak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Inc., Texas Capital Bank, as collateral agent, Chambers Energy Management, LP, as term representative,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p>
      <w:pPr>
        <w:spacing w:after="0" w:line="1"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HighPeak Energy common stock</w:t>
      </w:r>
      <w:r>
        <w:rPr>
          <w:rFonts w:ascii="Times New Roman" w:cs="Times New Roman" w:eastAsia="Times New Roman" w:hAnsi="Times New Roman"/>
          <w:sz w:val="18"/>
          <w:szCs w:val="18"/>
          <w:color w:val="auto"/>
        </w:rPr>
        <w:t>” means the Company’s common stock, par value $0.0001 per share.</w:t>
      </w:r>
    </w:p>
    <w:p>
      <w:pPr>
        <w:spacing w:after="0" w:line="9" w:lineRule="exact"/>
        <w:rPr>
          <w:rFonts w:ascii="Times New Roman" w:cs="Times New Roman" w:eastAsia="Times New Roman" w:hAnsi="Times New Roman"/>
          <w:sz w:val="18"/>
          <w:szCs w:val="18"/>
          <w:color w:val="auto"/>
        </w:rPr>
      </w:pPr>
    </w:p>
    <w:p>
      <w:pPr>
        <w:ind w:left="460" w:right="160" w:hanging="223"/>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“Completion</w:t>
      </w:r>
      <w:r>
        <w:rPr>
          <w:rFonts w:ascii="Times New Roman" w:cs="Times New Roman" w:eastAsia="Times New Roman" w:hAnsi="Times New Roman"/>
          <w:sz w:val="18"/>
          <w:szCs w:val="18"/>
          <w:color w:val="auto"/>
        </w:rPr>
        <w:t>” The process of treating a drilled well followed by the installation of permanent equipment for the production of crude oil and natural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gas, or in the case of a dry hole, the reporting of abandonment to the appropriate agency.</w:t>
      </w:r>
    </w:p>
    <w:p>
      <w:pPr>
        <w:ind w:left="460" w:hanging="223"/>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means the Term Loan Credit Agreement and the Senior Credit Facility Agreement.</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“DD&amp;A</w:t>
      </w:r>
      <w:r>
        <w:rPr>
          <w:rFonts w:ascii="Times New Roman" w:cs="Times New Roman" w:eastAsia="Times New Roman" w:hAnsi="Times New Roman"/>
          <w:sz w:val="18"/>
          <w:szCs w:val="18"/>
          <w:color w:val="auto"/>
        </w:rPr>
        <w:t>” means depletion, depreciation and amortization.</w:t>
      </w:r>
    </w:p>
    <w:p>
      <w:pPr>
        <w:spacing w:after="0" w:line="9" w:lineRule="exact"/>
        <w:rPr>
          <w:rFonts w:ascii="Times New Roman" w:cs="Times New Roman" w:eastAsia="Times New Roman" w:hAnsi="Times New Roman"/>
          <w:sz w:val="18"/>
          <w:szCs w:val="18"/>
          <w:color w:val="auto"/>
        </w:rPr>
      </w:pPr>
    </w:p>
    <w:p>
      <w:pPr>
        <w:ind w:left="460" w:right="300" w:hanging="223"/>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“Development costs</w:t>
      </w:r>
      <w:r>
        <w:rPr>
          <w:rFonts w:ascii="Times New Roman" w:cs="Times New Roman" w:eastAsia="Times New Roman" w:hAnsi="Times New Roman"/>
          <w:sz w:val="18"/>
          <w:szCs w:val="18"/>
          <w:color w:val="auto"/>
        </w:rPr>
        <w:t>” Costs incurred to obtain access to proved reserves and to provide facilities for extracting, treating, gathering and storing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crude oil and natural gas. For a complete definition of development costs, refer to the SEC’s Regulation S-X, Rule 4-10(a)(7).</w:t>
      </w:r>
    </w:p>
    <w:p>
      <w:pPr>
        <w:jc w:val="both"/>
        <w:ind w:left="460" w:right="160" w:hanging="223"/>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“Development project</w:t>
      </w:r>
      <w:r>
        <w:rPr>
          <w:rFonts w:ascii="Times New Roman" w:cs="Times New Roman" w:eastAsia="Times New Roman" w:hAnsi="Times New Roman"/>
          <w:sz w:val="18"/>
          <w:szCs w:val="18"/>
          <w:color w:val="auto"/>
        </w:rPr>
        <w:t>” A development project is the means by which petroleum resources are brought to the status of economically producible.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examples, the development of a single reservoir or field, an incremental development in a producing field or the integrated development of a group of several fields and associated facilities with a common ownership may constitute a development project.</w:t>
      </w:r>
    </w:p>
    <w:p>
      <w:pPr>
        <w:spacing w:after="0" w:line="1" w:lineRule="exact"/>
        <w:rPr>
          <w:rFonts w:ascii="Times New Roman" w:cs="Times New Roman" w:eastAsia="Times New Roman" w:hAnsi="Times New Roman"/>
          <w:sz w:val="18"/>
          <w:szCs w:val="18"/>
          <w:color w:val="auto"/>
        </w:rPr>
      </w:pPr>
    </w:p>
    <w:p>
      <w:pPr>
        <w:ind w:left="460" w:right="200" w:hanging="223"/>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“Development well</w:t>
      </w:r>
      <w:r>
        <w:rPr>
          <w:rFonts w:ascii="Times New Roman" w:cs="Times New Roman" w:eastAsia="Times New Roman" w:hAnsi="Times New Roman"/>
          <w:sz w:val="18"/>
          <w:szCs w:val="18"/>
          <w:color w:val="auto"/>
        </w:rPr>
        <w:t>” A well drilled within the proved area of a crude oil or natural gas reservoir to the depth of a stratigraphic horizon known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productive.</w:t>
      </w:r>
    </w:p>
    <w:p>
      <w:pPr>
        <w:ind w:left="460" w:right="160" w:hanging="223"/>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“Differential</w:t>
      </w:r>
      <w:r>
        <w:rPr>
          <w:rFonts w:ascii="Times New Roman" w:cs="Times New Roman" w:eastAsia="Times New Roman" w:hAnsi="Times New Roman"/>
          <w:sz w:val="18"/>
          <w:szCs w:val="18"/>
          <w:color w:val="auto"/>
        </w:rPr>
        <w:t>” An adjustment to the price of crude oil, NGL or natural gas from an established spot market price to reflect differences in the quality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and/or location of crude oil, NGL or natural gas.</w:t>
      </w:r>
    </w:p>
    <w:p>
      <w:pPr>
        <w:ind w:left="460" w:right="280" w:hanging="223"/>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“Dry hole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dry well</w:t>
      </w:r>
      <w:r>
        <w:rPr>
          <w:rFonts w:ascii="Times New Roman" w:cs="Times New Roman" w:eastAsia="Times New Roman" w:hAnsi="Times New Roman"/>
          <w:sz w:val="18"/>
          <w:szCs w:val="18"/>
          <w:color w:val="auto"/>
        </w:rPr>
        <w:t>” A well found to be incapable of producing hydrocarbons in sufficient quantities such that proceeds from the sale of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exceed production expenses and taxes.</w:t>
      </w:r>
    </w:p>
    <w:p>
      <w:pPr>
        <w:ind w:left="460" w:right="40" w:hanging="223"/>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“Economically producible</w:t>
      </w:r>
      <w:r>
        <w:rPr>
          <w:rFonts w:ascii="Times New Roman" w:cs="Times New Roman" w:eastAsia="Times New Roman" w:hAnsi="Times New Roman"/>
          <w:sz w:val="18"/>
          <w:szCs w:val="18"/>
          <w:color w:val="auto"/>
        </w:rPr>
        <w:t>” The term economically producible, as it relates to a resource, means a resource which generates revenue that exceeds,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reasonably expected to exceed, the costs of the operation.</w:t>
      </w:r>
    </w:p>
    <w:p>
      <w:pPr>
        <w:ind w:left="460" w:hanging="223"/>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Estimated ultimate recovery</w:t>
      </w:r>
      <w:r>
        <w:rPr>
          <w:rFonts w:ascii="Times New Roman" w:cs="Times New Roman" w:eastAsia="Times New Roman" w:hAnsi="Times New Roman"/>
          <w:sz w:val="18"/>
          <w:szCs w:val="18"/>
          <w:color w:val="auto"/>
        </w:rPr>
        <w:t>” The sum of reserves remaining as of a given date and cumulative production as of that date.</w:t>
      </w:r>
    </w:p>
    <w:p>
      <w:pPr>
        <w:spacing w:after="0" w:line="9" w:lineRule="exact"/>
        <w:rPr>
          <w:rFonts w:ascii="Times New Roman" w:cs="Times New Roman" w:eastAsia="Times New Roman" w:hAnsi="Times New Roman"/>
          <w:sz w:val="18"/>
          <w:szCs w:val="18"/>
          <w:color w:val="auto"/>
        </w:rPr>
      </w:pPr>
    </w:p>
    <w:p>
      <w:pPr>
        <w:jc w:val="both"/>
        <w:ind w:left="460" w:right="280" w:hanging="223"/>
        <w:spacing w:after="0" w:line="255"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“Exploratory well</w:t>
      </w:r>
      <w:r>
        <w:rPr>
          <w:rFonts w:ascii="Times New Roman" w:cs="Times New Roman" w:eastAsia="Times New Roman" w:hAnsi="Times New Roman"/>
          <w:sz w:val="18"/>
          <w:szCs w:val="18"/>
          <w:color w:val="auto"/>
        </w:rPr>
        <w:t>” An exploratory well is a well drilled to find a new field, to find a new reservoir in a field previously found to be productive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crude oil or natural gas in another reservoir. Generally, an exploratory well is any well that is not a development well, an extension well, a service well or a stratigraphic test well as those items are defined by the SEC.</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“Extension well</w:t>
      </w:r>
      <w:r>
        <w:rPr>
          <w:rFonts w:ascii="Times New Roman" w:cs="Times New Roman" w:eastAsia="Times New Roman" w:hAnsi="Times New Roman"/>
          <w:sz w:val="18"/>
          <w:szCs w:val="18"/>
          <w:color w:val="auto"/>
        </w:rPr>
        <w:t>” An extension well is a well drilled to extend the limits of a known reservoir.</w:t>
      </w:r>
    </w:p>
    <w:p>
      <w:pPr>
        <w:spacing w:after="0" w:line="31" w:lineRule="exact"/>
        <w:rPr>
          <w:rFonts w:ascii="Times New Roman" w:cs="Times New Roman" w:eastAsia="Times New Roman" w:hAnsi="Times New Roman"/>
          <w:sz w:val="18"/>
          <w:szCs w:val="18"/>
          <w:color w:val="auto"/>
        </w:rPr>
      </w:pPr>
    </w:p>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Financial Accounting Standards Board.</w:t>
      </w:r>
    </w:p>
    <w:p>
      <w:pPr>
        <w:spacing w:after="0" w:line="9" w:lineRule="exact"/>
        <w:rPr>
          <w:rFonts w:ascii="Times New Roman" w:cs="Times New Roman" w:eastAsia="Times New Roman" w:hAnsi="Times New Roman"/>
          <w:sz w:val="18"/>
          <w:szCs w:val="18"/>
          <w:color w:val="auto"/>
        </w:rPr>
      </w:pPr>
    </w:p>
    <w:p>
      <w:pPr>
        <w:ind w:left="223" w:right="160" w:hanging="223"/>
        <w:spacing w:after="0" w:line="250" w:lineRule="auto"/>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“Field</w:t>
      </w:r>
      <w:r>
        <w:rPr>
          <w:rFonts w:ascii="Times New Roman" w:cs="Times New Roman" w:eastAsia="Times New Roman" w:hAnsi="Times New Roman"/>
          <w:sz w:val="18"/>
          <w:szCs w:val="18"/>
          <w:color w:val="auto"/>
        </w:rPr>
        <w:t>” An area consisting of a single reservoir or multiple reservoirs all grouped on, or related to, the same individual geological structural feature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stratigraphic condition. The field name refers to the surface area, although it may refer to both the surface and the underground productive formations.</w:t>
      </w:r>
    </w:p>
    <w:p>
      <w:pPr>
        <w:spacing w:after="0" w:line="1" w:lineRule="exact"/>
        <w:rPr>
          <w:rFonts w:ascii="Times New Roman" w:cs="Times New Roman" w:eastAsia="Times New Roman" w:hAnsi="Times New Roman"/>
          <w:sz w:val="18"/>
          <w:szCs w:val="18"/>
          <w:color w:val="auto"/>
        </w:rPr>
      </w:pPr>
    </w:p>
    <w:p>
      <w:pPr>
        <w:ind w:left="223" w:right="100" w:hanging="223"/>
        <w:spacing w:after="0" w:line="250" w:lineRule="auto"/>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“First Amendment</w:t>
      </w:r>
      <w:r>
        <w:rPr>
          <w:rFonts w:ascii="Times New Roman" w:cs="Times New Roman" w:eastAsia="Times New Roman" w:hAnsi="Times New Roman"/>
          <w:sz w:val="18"/>
          <w:szCs w:val="18"/>
          <w:color w:val="auto"/>
        </w:rPr>
        <w:t>” means the First Amendment to Senior Credit Facility Agreement, dated March 29, 2024, by and among HighPeak Energy,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borrower, Fifth Third Bank, National Association, as administrative agent, the guarantors party thereto and the lenders party thereto.</w:t>
      </w:r>
    </w:p>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“Formation</w:t>
      </w:r>
      <w:r>
        <w:rPr>
          <w:rFonts w:ascii="Times New Roman" w:cs="Times New Roman" w:eastAsia="Times New Roman" w:hAnsi="Times New Roman"/>
          <w:sz w:val="18"/>
          <w:szCs w:val="18"/>
          <w:color w:val="auto"/>
        </w:rPr>
        <w:t>” A layer of rock which has distinct characteristics that differs from nearby rocks.</w:t>
      </w:r>
    </w:p>
    <w:p>
      <w:pPr>
        <w:spacing w:after="0" w:line="9" w:lineRule="exact"/>
        <w:rPr>
          <w:rFonts w:ascii="Times New Roman" w:cs="Times New Roman" w:eastAsia="Times New Roman" w:hAnsi="Times New Roman"/>
          <w:sz w:val="18"/>
          <w:szCs w:val="18"/>
          <w:color w:val="auto"/>
        </w:rPr>
      </w:pPr>
    </w:p>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accounting principles generally accepted in the United States of America.</w:t>
      </w:r>
    </w:p>
    <w:p>
      <w:pPr>
        <w:spacing w:after="0" w:line="9" w:lineRule="exact"/>
        <w:rPr>
          <w:rFonts w:ascii="Times New Roman" w:cs="Times New Roman" w:eastAsia="Times New Roman" w:hAnsi="Times New Roman"/>
          <w:sz w:val="18"/>
          <w:szCs w:val="18"/>
          <w:color w:val="auto"/>
        </w:rPr>
      </w:pPr>
    </w:p>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“Gross wells</w:t>
      </w:r>
      <w:r>
        <w:rPr>
          <w:rFonts w:ascii="Times New Roman" w:cs="Times New Roman" w:eastAsia="Times New Roman" w:hAnsi="Times New Roman"/>
          <w:sz w:val="18"/>
          <w:szCs w:val="18"/>
          <w:color w:val="auto"/>
        </w:rPr>
        <w:t>” means the total wells in which a working interest is owned.</w:t>
      </w:r>
    </w:p>
    <w:p>
      <w:pPr>
        <w:spacing w:after="0" w:line="9" w:lineRule="exact"/>
        <w:rPr>
          <w:rFonts w:ascii="Times New Roman" w:cs="Times New Roman" w:eastAsia="Times New Roman" w:hAnsi="Times New Roman"/>
          <w:sz w:val="18"/>
          <w:szCs w:val="18"/>
          <w:color w:val="auto"/>
        </w:rPr>
      </w:pPr>
    </w:p>
    <w:p>
      <w:pPr>
        <w:ind w:left="223" w:right="40" w:hanging="223"/>
        <w:spacing w:after="0" w:line="250" w:lineRule="auto"/>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“Held by production</w:t>
      </w:r>
      <w:r>
        <w:rPr>
          <w:rFonts w:ascii="Times New Roman" w:cs="Times New Roman" w:eastAsia="Times New Roman" w:hAnsi="Times New Roman"/>
          <w:sz w:val="18"/>
          <w:szCs w:val="18"/>
          <w:color w:val="auto"/>
        </w:rPr>
        <w:t>” Acreage covered by a mineral lease that perpetuates a company’s right to operate a property as long as the property produces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minimum paying quantity of crude oil or natural gas.</w:t>
      </w:r>
    </w:p>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“HH</w:t>
      </w:r>
      <w:r>
        <w:rPr>
          <w:rFonts w:ascii="Times New Roman" w:cs="Times New Roman" w:eastAsia="Times New Roman" w:hAnsi="Times New Roman"/>
          <w:sz w:val="18"/>
          <w:szCs w:val="18"/>
          <w:color w:val="auto"/>
        </w:rPr>
        <w:t>” means Henry Hub, a distribution hub in Louisiana that serves as the delivery location for natural gas futures contracts on the NYMEX.</w:t>
      </w:r>
    </w:p>
    <w:p>
      <w:pPr>
        <w:spacing w:after="0" w:line="9" w:lineRule="exact"/>
        <w:rPr>
          <w:rFonts w:ascii="Times New Roman" w:cs="Times New Roman" w:eastAsia="Times New Roman" w:hAnsi="Times New Roman"/>
          <w:sz w:val="18"/>
          <w:szCs w:val="18"/>
          <w:color w:val="auto"/>
        </w:rPr>
      </w:pPr>
    </w:p>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HighPeak Energy, Inc. and its subsidiaries.</w:t>
      </w:r>
    </w:p>
    <w:p>
      <w:pPr>
        <w:spacing w:after="0" w:line="9" w:lineRule="exact"/>
        <w:rPr>
          <w:rFonts w:ascii="Times New Roman" w:cs="Times New Roman" w:eastAsia="Times New Roman" w:hAnsi="Times New Roman"/>
          <w:sz w:val="18"/>
          <w:szCs w:val="18"/>
          <w:color w:val="auto"/>
        </w:rPr>
      </w:pPr>
    </w:p>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“HighPeak I</w:t>
      </w:r>
      <w:r>
        <w:rPr>
          <w:rFonts w:ascii="Times New Roman" w:cs="Times New Roman" w:eastAsia="Times New Roman" w:hAnsi="Times New Roman"/>
          <w:sz w:val="18"/>
          <w:szCs w:val="18"/>
          <w:color w:val="auto"/>
        </w:rPr>
        <w:t>” means HighPeak Energy, LP, a Delaware limited partnership.</w:t>
      </w:r>
    </w:p>
    <w:p>
      <w:pPr>
        <w:spacing w:after="0" w:line="9" w:lineRule="exact"/>
        <w:rPr>
          <w:rFonts w:ascii="Times New Roman" w:cs="Times New Roman" w:eastAsia="Times New Roman" w:hAnsi="Times New Roman"/>
          <w:sz w:val="18"/>
          <w:szCs w:val="18"/>
          <w:color w:val="auto"/>
        </w:rPr>
      </w:pPr>
    </w:p>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“HighPeak II</w:t>
      </w:r>
      <w:r>
        <w:rPr>
          <w:rFonts w:ascii="Times New Roman" w:cs="Times New Roman" w:eastAsia="Times New Roman" w:hAnsi="Times New Roman"/>
          <w:sz w:val="18"/>
          <w:szCs w:val="18"/>
          <w:color w:val="auto"/>
        </w:rPr>
        <w:t>” means HighPeak Energy II, LP, a Delaware limited partnership.</w:t>
      </w:r>
    </w:p>
    <w:p>
      <w:pPr>
        <w:spacing w:after="0" w:line="9" w:lineRule="exact"/>
        <w:rPr>
          <w:rFonts w:ascii="Times New Roman" w:cs="Times New Roman" w:eastAsia="Times New Roman" w:hAnsi="Times New Roman"/>
          <w:sz w:val="18"/>
          <w:szCs w:val="18"/>
          <w:color w:val="auto"/>
        </w:rPr>
      </w:pPr>
    </w:p>
    <w:p>
      <w:pPr>
        <w:ind w:left="223" w:right="280" w:hanging="223"/>
        <w:spacing w:after="0" w:line="250" w:lineRule="auto"/>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“Horizontal drilling</w:t>
      </w:r>
      <w:r>
        <w:rPr>
          <w:rFonts w:ascii="Times New Roman" w:cs="Times New Roman" w:eastAsia="Times New Roman" w:hAnsi="Times New Roman"/>
          <w:sz w:val="18"/>
          <w:szCs w:val="18"/>
          <w:color w:val="auto"/>
        </w:rPr>
        <w:t>” A drilling technique used in certain formations where a well is drilled vertically to a certain depth and then drilled at a right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angle within a specified interval.</w:t>
      </w:r>
    </w:p>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“HighPeak Contributors</w:t>
      </w:r>
      <w:r>
        <w:rPr>
          <w:rFonts w:ascii="Times New Roman" w:cs="Times New Roman" w:eastAsia="Times New Roman" w:hAnsi="Times New Roman"/>
          <w:sz w:val="18"/>
          <w:szCs w:val="18"/>
          <w:color w:val="auto"/>
        </w:rPr>
        <w:t>” means HighPeak I, HighPeak II and HPK GP.</w:t>
      </w:r>
    </w:p>
    <w:p>
      <w:pPr>
        <w:spacing w:after="0" w:line="9" w:lineRule="exact"/>
        <w:rPr>
          <w:rFonts w:ascii="Times New Roman" w:cs="Times New Roman" w:eastAsia="Times New Roman" w:hAnsi="Times New Roman"/>
          <w:sz w:val="18"/>
          <w:szCs w:val="18"/>
          <w:color w:val="auto"/>
        </w:rPr>
      </w:pPr>
    </w:p>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“HPK GP</w:t>
      </w:r>
      <w:r>
        <w:rPr>
          <w:rFonts w:ascii="Times New Roman" w:cs="Times New Roman" w:eastAsia="Times New Roman" w:hAnsi="Times New Roman"/>
          <w:sz w:val="18"/>
          <w:szCs w:val="18"/>
          <w:color w:val="auto"/>
        </w:rPr>
        <w:t>” means HighPeak Energy, LLC, a Delaware limited liability company.</w:t>
      </w:r>
    </w:p>
    <w:p>
      <w:pPr>
        <w:spacing w:after="0" w:line="9" w:lineRule="exact"/>
        <w:rPr>
          <w:rFonts w:ascii="Times New Roman" w:cs="Times New Roman" w:eastAsia="Times New Roman" w:hAnsi="Times New Roman"/>
          <w:sz w:val="18"/>
          <w:szCs w:val="18"/>
          <w:color w:val="auto"/>
        </w:rPr>
      </w:pPr>
    </w:p>
    <w:p>
      <w:pPr>
        <w:jc w:val="both"/>
        <w:ind w:left="223" w:right="500" w:hanging="223"/>
        <w:spacing w:after="0" w:line="250" w:lineRule="auto"/>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“Hydraulic fracturing</w:t>
      </w:r>
      <w:r>
        <w:rPr>
          <w:rFonts w:ascii="Times New Roman" w:cs="Times New Roman" w:eastAsia="Times New Roman" w:hAnsi="Times New Roman"/>
          <w:sz w:val="18"/>
          <w:szCs w:val="18"/>
          <w:color w:val="auto"/>
        </w:rPr>
        <w:t>” is the technique of stimulating the production of hydrocarbons from tight formations. The Company routinely utilizes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hydraulic fracturing techniques in its drilling and completion programs. The process involves the injection of water, sand, and chemicals under pressure into the formation to fracture the surrounding rock and stimulate production.</w:t>
      </w:r>
    </w:p>
    <w:p>
      <w:pPr>
        <w:spacing w:after="0" w:line="1" w:lineRule="exact"/>
        <w:rPr>
          <w:rFonts w:ascii="Times New Roman" w:cs="Times New Roman" w:eastAsia="Times New Roman" w:hAnsi="Times New Roman"/>
          <w:sz w:val="18"/>
          <w:szCs w:val="18"/>
          <w:color w:val="auto"/>
        </w:rPr>
      </w:pPr>
    </w:p>
    <w:p>
      <w:pPr>
        <w:ind w:left="223" w:right="100" w:hanging="223"/>
        <w:spacing w:after="0" w:line="250" w:lineRule="auto"/>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“Lease operating expenses</w:t>
      </w:r>
      <w:r>
        <w:rPr>
          <w:rFonts w:ascii="Times New Roman" w:cs="Times New Roman" w:eastAsia="Times New Roman" w:hAnsi="Times New Roman"/>
          <w:sz w:val="18"/>
          <w:szCs w:val="18"/>
          <w:color w:val="auto"/>
        </w:rPr>
        <w:t>” The expenses of lifting crude oil or natural gas from a producing formation to the surface, constituting part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operating expenses of a working interest including labor, superintendence, supplies, repairs, short-lived assets, maintenance, allocated overhead costs, workover, marketing and transportation costs, insurance and other expenses incidental to production, but excluding lease acquisition or drilling or completion expenses.</w:t>
      </w:r>
    </w:p>
    <w:p>
      <w:pPr>
        <w:spacing w:after="0" w:line="1" w:lineRule="exact"/>
        <w:rPr>
          <w:rFonts w:ascii="Times New Roman" w:cs="Times New Roman" w:eastAsia="Times New Roman" w:hAnsi="Times New Roman"/>
          <w:sz w:val="18"/>
          <w:szCs w:val="18"/>
          <w:color w:val="auto"/>
        </w:rPr>
      </w:pPr>
    </w:p>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“MBbl</w:t>
      </w:r>
      <w:r>
        <w:rPr>
          <w:rFonts w:ascii="Times New Roman" w:cs="Times New Roman" w:eastAsia="Times New Roman" w:hAnsi="Times New Roman"/>
          <w:sz w:val="18"/>
          <w:szCs w:val="18"/>
          <w:color w:val="auto"/>
        </w:rPr>
        <w:t>” means one thousand Bbls.</w:t>
      </w:r>
    </w:p>
    <w:p>
      <w:pPr>
        <w:spacing w:after="0" w:line="9" w:lineRule="exact"/>
        <w:rPr>
          <w:rFonts w:ascii="Times New Roman" w:cs="Times New Roman" w:eastAsia="Times New Roman" w:hAnsi="Times New Roman"/>
          <w:sz w:val="18"/>
          <w:szCs w:val="18"/>
          <w:color w:val="auto"/>
        </w:rPr>
      </w:pPr>
    </w:p>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“MBoe</w:t>
      </w:r>
      <w:r>
        <w:rPr>
          <w:rFonts w:ascii="Times New Roman" w:cs="Times New Roman" w:eastAsia="Times New Roman" w:hAnsi="Times New Roman"/>
          <w:sz w:val="18"/>
          <w:szCs w:val="18"/>
          <w:color w:val="auto"/>
        </w:rPr>
        <w:t>” means one thousand Boes.</w:t>
      </w:r>
    </w:p>
    <w:p>
      <w:pPr>
        <w:spacing w:after="0" w:line="9" w:lineRule="exact"/>
        <w:rPr>
          <w:rFonts w:ascii="Times New Roman" w:cs="Times New Roman" w:eastAsia="Times New Roman" w:hAnsi="Times New Roman"/>
          <w:sz w:val="18"/>
          <w:szCs w:val="18"/>
          <w:color w:val="auto"/>
        </w:rPr>
      </w:pPr>
    </w:p>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“Mcf</w:t>
      </w:r>
      <w:r>
        <w:rPr>
          <w:rFonts w:ascii="Times New Roman" w:cs="Times New Roman" w:eastAsia="Times New Roman" w:hAnsi="Times New Roman"/>
          <w:sz w:val="18"/>
          <w:szCs w:val="18"/>
          <w:color w:val="auto"/>
        </w:rPr>
        <w:t>” means one thousand cubic feet and is a measure of natural gas volume.</w:t>
      </w:r>
    </w:p>
    <w:p>
      <w:pPr>
        <w:spacing w:after="0" w:line="9" w:lineRule="exact"/>
        <w:rPr>
          <w:rFonts w:ascii="Times New Roman" w:cs="Times New Roman" w:eastAsia="Times New Roman" w:hAnsi="Times New Roman"/>
          <w:sz w:val="18"/>
          <w:szCs w:val="18"/>
          <w:color w:val="auto"/>
        </w:rPr>
      </w:pPr>
    </w:p>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“MMBbl</w:t>
      </w:r>
      <w:r>
        <w:rPr>
          <w:rFonts w:ascii="Times New Roman" w:cs="Times New Roman" w:eastAsia="Times New Roman" w:hAnsi="Times New Roman"/>
          <w:sz w:val="18"/>
          <w:szCs w:val="18"/>
          <w:color w:val="auto"/>
        </w:rPr>
        <w:t>” means one million Bbls.</w:t>
      </w:r>
    </w:p>
    <w:p>
      <w:pPr>
        <w:spacing w:after="0" w:line="9" w:lineRule="exact"/>
        <w:rPr>
          <w:rFonts w:ascii="Times New Roman" w:cs="Times New Roman" w:eastAsia="Times New Roman" w:hAnsi="Times New Roman"/>
          <w:sz w:val="18"/>
          <w:szCs w:val="18"/>
          <w:color w:val="auto"/>
        </w:rPr>
      </w:pPr>
    </w:p>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“MMBtu</w:t>
      </w:r>
      <w:r>
        <w:rPr>
          <w:rFonts w:ascii="Times New Roman" w:cs="Times New Roman" w:eastAsia="Times New Roman" w:hAnsi="Times New Roman"/>
          <w:sz w:val="18"/>
          <w:szCs w:val="18"/>
          <w:color w:val="auto"/>
        </w:rPr>
        <w:t>” means one million Btus.</w:t>
      </w:r>
    </w:p>
    <w:p>
      <w:pPr>
        <w:spacing w:after="0" w:line="9" w:lineRule="exact"/>
        <w:rPr>
          <w:rFonts w:ascii="Times New Roman" w:cs="Times New Roman" w:eastAsia="Times New Roman" w:hAnsi="Times New Roman"/>
          <w:sz w:val="18"/>
          <w:szCs w:val="18"/>
          <w:color w:val="auto"/>
        </w:rPr>
      </w:pPr>
    </w:p>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“MMcf</w:t>
      </w:r>
      <w:r>
        <w:rPr>
          <w:rFonts w:ascii="Times New Roman" w:cs="Times New Roman" w:eastAsia="Times New Roman" w:hAnsi="Times New Roman"/>
          <w:sz w:val="18"/>
          <w:szCs w:val="18"/>
          <w:color w:val="auto"/>
        </w:rPr>
        <w:t>” means one million cubic feet and is a measure of natural gas volume.</w:t>
      </w:r>
    </w:p>
    <w:p>
      <w:pPr>
        <w:spacing w:after="0" w:line="9" w:lineRule="exact"/>
        <w:rPr>
          <w:rFonts w:ascii="Times New Roman" w:cs="Times New Roman" w:eastAsia="Times New Roman" w:hAnsi="Times New Roman"/>
          <w:sz w:val="18"/>
          <w:szCs w:val="18"/>
          <w:color w:val="auto"/>
        </w:rPr>
      </w:pPr>
    </w:p>
    <w:p>
      <w:pPr>
        <w:ind w:left="223" w:right="180" w:hanging="223"/>
        <w:spacing w:after="0" w:line="250" w:lineRule="auto"/>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 acres</w:t>
      </w:r>
      <w:r>
        <w:rPr>
          <w:rFonts w:ascii="Times New Roman" w:cs="Times New Roman" w:eastAsia="Times New Roman" w:hAnsi="Times New Roman"/>
          <w:sz w:val="18"/>
          <w:szCs w:val="18"/>
          <w:color w:val="auto"/>
        </w:rPr>
        <w:t>” The percentage of total acres an owner has out of a particular number of gross acres or a specified tract. As an example. an owner who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50% interest in 100 gross acres owns 50 net acres.</w:t>
      </w:r>
    </w:p>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 production</w:t>
      </w:r>
      <w:r>
        <w:rPr>
          <w:rFonts w:ascii="Times New Roman" w:cs="Times New Roman" w:eastAsia="Times New Roman" w:hAnsi="Times New Roman"/>
          <w:sz w:val="18"/>
          <w:szCs w:val="18"/>
          <w:color w:val="auto"/>
        </w:rPr>
        <w:t>” Production that is owned by us, less royalties and production due others.</w:t>
      </w:r>
    </w:p>
    <w:p>
      <w:pPr>
        <w:spacing w:after="0" w:line="9" w:lineRule="exact"/>
        <w:rPr>
          <w:rFonts w:ascii="Times New Roman" w:cs="Times New Roman" w:eastAsia="Times New Roman" w:hAnsi="Times New Roman"/>
          <w:sz w:val="18"/>
          <w:szCs w:val="18"/>
          <w:color w:val="auto"/>
        </w:rPr>
      </w:pPr>
    </w:p>
    <w:p>
      <w:pPr>
        <w:ind w:left="223" w:right="400" w:hanging="223"/>
        <w:spacing w:after="0" w:line="250" w:lineRule="auto"/>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“NGL</w:t>
      </w:r>
      <w:r>
        <w:rPr>
          <w:rFonts w:ascii="Times New Roman" w:cs="Times New Roman" w:eastAsia="Times New Roman" w:hAnsi="Times New Roman"/>
          <w:sz w:val="18"/>
          <w:szCs w:val="18"/>
          <w:color w:val="auto"/>
        </w:rPr>
        <w:t>” means natural gas liquids, which are the heavier hydrocarbon liquids that are separated from the natural gas stream; such liquids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ethane, propane, isobutane, normal butane and gasoline.</w:t>
      </w:r>
    </w:p>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“NYMEX</w:t>
      </w:r>
      <w:r>
        <w:rPr>
          <w:rFonts w:ascii="Times New Roman" w:cs="Times New Roman" w:eastAsia="Times New Roman" w:hAnsi="Times New Roman"/>
          <w:sz w:val="18"/>
          <w:szCs w:val="18"/>
          <w:color w:val="auto"/>
        </w:rPr>
        <w:t>” means the New York Mercantile Exchange.</w:t>
      </w:r>
    </w:p>
    <w:p>
      <w:pPr>
        <w:spacing w:after="0" w:line="9" w:lineRule="exact"/>
        <w:rPr>
          <w:rFonts w:ascii="Times New Roman" w:cs="Times New Roman" w:eastAsia="Times New Roman" w:hAnsi="Times New Roman"/>
          <w:sz w:val="18"/>
          <w:szCs w:val="18"/>
          <w:color w:val="auto"/>
        </w:rPr>
      </w:pPr>
    </w:p>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“OPEC</w:t>
      </w:r>
      <w:r>
        <w:rPr>
          <w:rFonts w:ascii="Times New Roman" w:cs="Times New Roman" w:eastAsia="Times New Roman" w:hAnsi="Times New Roman"/>
          <w:sz w:val="18"/>
          <w:szCs w:val="18"/>
          <w:color w:val="auto"/>
        </w:rPr>
        <w:t>” means the Organization of Petroleum Exporting Countries.</w:t>
      </w:r>
    </w:p>
    <w:p>
      <w:pPr>
        <w:spacing w:after="0" w:line="9" w:lineRule="exact"/>
        <w:rPr>
          <w:rFonts w:ascii="Times New Roman" w:cs="Times New Roman" w:eastAsia="Times New Roman" w:hAnsi="Times New Roman"/>
          <w:sz w:val="18"/>
          <w:szCs w:val="18"/>
          <w:color w:val="auto"/>
        </w:rPr>
      </w:pPr>
    </w:p>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“Operator</w:t>
      </w:r>
      <w:r>
        <w:rPr>
          <w:rFonts w:ascii="Times New Roman" w:cs="Times New Roman" w:eastAsia="Times New Roman" w:hAnsi="Times New Roman"/>
          <w:sz w:val="18"/>
          <w:szCs w:val="18"/>
          <w:color w:val="auto"/>
        </w:rPr>
        <w:t>” The individual or company responsible for the exploration and/or production of a crude oil or natural gas well or lease.</w:t>
      </w:r>
    </w:p>
    <w:p>
      <w:pPr>
        <w:spacing w:after="0" w:line="9" w:lineRule="exact"/>
        <w:rPr>
          <w:rFonts w:ascii="Times New Roman" w:cs="Times New Roman" w:eastAsia="Times New Roman" w:hAnsi="Times New Roman"/>
          <w:sz w:val="18"/>
          <w:szCs w:val="18"/>
          <w:color w:val="auto"/>
        </w:rPr>
      </w:pPr>
    </w:p>
    <w:p>
      <w:pPr>
        <w:ind w:left="223" w:hanging="223"/>
        <w:spacing w:after="0"/>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“Plugging</w:t>
      </w:r>
      <w:r>
        <w:rPr>
          <w:rFonts w:ascii="Times New Roman" w:cs="Times New Roman" w:eastAsia="Times New Roman" w:hAnsi="Times New Roman"/>
          <w:sz w:val="18"/>
          <w:szCs w:val="18"/>
          <w:color w:val="auto"/>
        </w:rPr>
        <w:t>” A downhole tool that is set inside the casing to isolate the lower part of the wellbore.</w:t>
      </w:r>
    </w:p>
    <w:p>
      <w:pPr>
        <w:spacing w:after="0" w:line="9" w:lineRule="exact"/>
        <w:rPr>
          <w:rFonts w:ascii="Times New Roman" w:cs="Times New Roman" w:eastAsia="Times New Roman" w:hAnsi="Times New Roman"/>
          <w:sz w:val="18"/>
          <w:szCs w:val="18"/>
          <w:color w:val="auto"/>
        </w:rPr>
      </w:pPr>
    </w:p>
    <w:p>
      <w:pPr>
        <w:ind w:left="223" w:right="180" w:hanging="223"/>
        <w:spacing w:after="0" w:line="250" w:lineRule="auto"/>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“Pooling</w:t>
      </w:r>
      <w:r>
        <w:rPr>
          <w:rFonts w:ascii="Times New Roman" w:cs="Times New Roman" w:eastAsia="Times New Roman" w:hAnsi="Times New Roman"/>
          <w:sz w:val="18"/>
          <w:szCs w:val="18"/>
          <w:color w:val="auto"/>
        </w:rPr>
        <w:t>” The bringing together of small tracts or fractional mineral interests in one or more tracts to form a drilling and production unit for a well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applicable spacing rules.</w:t>
      </w:r>
    </w:p>
    <w:p>
      <w:pPr>
        <w:jc w:val="both"/>
        <w:ind w:left="223" w:right="360" w:hanging="223"/>
        <w:spacing w:after="0" w:line="265" w:lineRule="auto"/>
        <w:tabs>
          <w:tab w:leader="none" w:pos="22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“Principal Stockholder Group</w:t>
      </w:r>
      <w:r>
        <w:rPr>
          <w:rFonts w:ascii="Times New Roman" w:cs="Times New Roman" w:eastAsia="Times New Roman" w:hAnsi="Times New Roman"/>
          <w:sz w:val="17"/>
          <w:szCs w:val="17"/>
          <w:color w:val="auto"/>
        </w:rPr>
        <w:t>” means HighPeak Pure Acquisition, LLC, a Delaware limited liability company, and wholly owned subsidiary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HighPeak I, the HighPeak Contributors and Jack Hightower and each of their respective affiliates and certain permitted transferees, collectively.</w:t>
      </w:r>
    </w:p>
    <w:p>
      <w:pPr>
        <w:ind w:left="223" w:right="720" w:hanging="223"/>
        <w:spacing w:after="0" w:line="250" w:lineRule="auto"/>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“Prior Credit Agreement</w:t>
      </w:r>
      <w:r>
        <w:rPr>
          <w:rFonts w:ascii="Times New Roman" w:cs="Times New Roman" w:eastAsia="Times New Roman" w:hAnsi="Times New Roman"/>
          <w:sz w:val="18"/>
          <w:szCs w:val="18"/>
          <w:color w:val="auto"/>
        </w:rPr>
        <w:t>” means the Company’s Credit Agreement, dated as of December 17, 2020, as amended from time to time, among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HighPeak Energy, Inc., as Borrower, Wells Fargo Bank, National Association, as administrative agent, and the Lenders party thereto.</w:t>
      </w:r>
    </w:p>
    <w:p>
      <w:pPr>
        <w:ind w:left="223" w:right="80" w:hanging="223"/>
        <w:spacing w:after="0" w:line="250" w:lineRule="auto"/>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“Production costs</w:t>
      </w:r>
      <w:r>
        <w:rPr>
          <w:rFonts w:ascii="Times New Roman" w:cs="Times New Roman" w:eastAsia="Times New Roman" w:hAnsi="Times New Roman"/>
          <w:sz w:val="18"/>
          <w:szCs w:val="18"/>
          <w:color w:val="auto"/>
        </w:rPr>
        <w:t>” Costs incurred to operate and maintain wells and related equipment and facilities, including depreciation and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costs of support equipment and facilities and other costs of operating and maintaining those wells and related equipment and facilities. For a complete definition of production costs, refer to the SEC’s Regulation S-X, Rule 4-10(a)(20).</w:t>
      </w:r>
    </w:p>
    <w:p>
      <w:pPr>
        <w:spacing w:after="0" w:line="1" w:lineRule="exact"/>
        <w:rPr>
          <w:rFonts w:ascii="Times New Roman" w:cs="Times New Roman" w:eastAsia="Times New Roman" w:hAnsi="Times New Roman"/>
          <w:sz w:val="18"/>
          <w:szCs w:val="18"/>
          <w:color w:val="auto"/>
        </w:rPr>
      </w:pPr>
    </w:p>
    <w:p>
      <w:pPr>
        <w:ind w:left="223" w:right="540" w:hanging="223"/>
        <w:spacing w:after="0" w:line="260" w:lineRule="auto"/>
        <w:tabs>
          <w:tab w:leader="none" w:pos="2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“Productive well</w:t>
      </w:r>
      <w:r>
        <w:rPr>
          <w:rFonts w:ascii="Times New Roman" w:cs="Times New Roman" w:eastAsia="Times New Roman" w:hAnsi="Times New Roman"/>
          <w:sz w:val="18"/>
          <w:szCs w:val="18"/>
          <w:color w:val="auto"/>
        </w:rPr>
        <w:t>” A well that is found to be capable of producing hydrocarbons in sufficient quantities such that proceeds from the sale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exceed production expenses and taxes.</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3"/>
          </w:cols>
          <w:pgMar w:left="557" w:top="576" w:right="339" w:bottom="1440" w:gutter="0" w:footer="0" w:header="0"/>
        </w:sectPr>
      </w:pPr>
    </w:p>
    <w:bookmarkStart w:id="5" w:name="page6"/>
    <w:bookmarkEnd w:id="5"/>
    <w:p>
      <w:pPr>
        <w:ind w:left="223" w:right="660" w:hanging="223"/>
        <w:spacing w:after="0" w:line="263" w:lineRule="auto"/>
        <w:tabs>
          <w:tab w:leader="none" w:pos="2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“Proration unit</w:t>
      </w:r>
      <w:r>
        <w:rPr>
          <w:rFonts w:ascii="Times New Roman" w:cs="Times New Roman" w:eastAsia="Times New Roman" w:hAnsi="Times New Roman"/>
          <w:sz w:val="18"/>
          <w:szCs w:val="18"/>
          <w:color w:val="auto"/>
        </w:rPr>
        <w:t>” A unit that can be effectively and efficiently drained by one well, as allocated by a governmental agency having regulatory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w:t>
      </w:r>
    </w:p>
    <w:p>
      <w:pPr>
        <w:ind w:left="223" w:right="400" w:hanging="223"/>
        <w:spacing w:after="0" w:line="250" w:lineRule="auto"/>
        <w:tabs>
          <w:tab w:leader="none" w:pos="2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“Prospect</w:t>
      </w:r>
      <w:r>
        <w:rPr>
          <w:rFonts w:ascii="Times New Roman" w:cs="Times New Roman" w:eastAsia="Times New Roman" w:hAnsi="Times New Roman"/>
          <w:sz w:val="18"/>
          <w:szCs w:val="18"/>
          <w:color w:val="auto"/>
        </w:rPr>
        <w:t>” A specific geographic area which, based on supporting geological, geophysical or other data and also preliminary economic analysis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reasonably anticipated prices and costs, is deemed to have potential for the discovery of commercial hydrocarbons.</w:t>
      </w:r>
    </w:p>
    <w:p>
      <w:pPr>
        <w:ind w:left="223" w:hanging="223"/>
        <w:spacing w:after="0"/>
        <w:tabs>
          <w:tab w:leader="none" w:pos="2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“Proved developed nonproducing reserves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PDNP</w:t>
      </w:r>
      <w:r>
        <w:rPr>
          <w:rFonts w:ascii="Times New Roman" w:cs="Times New Roman" w:eastAsia="Times New Roman" w:hAnsi="Times New Roman"/>
          <w:sz w:val="18"/>
          <w:szCs w:val="18"/>
          <w:color w:val="auto"/>
        </w:rPr>
        <w:t>” means proved reserves that are developed nonproducing reserves.</w:t>
      </w:r>
    </w:p>
    <w:p>
      <w:pPr>
        <w:spacing w:after="0" w:line="9" w:lineRule="exact"/>
        <w:rPr>
          <w:rFonts w:ascii="Times New Roman" w:cs="Times New Roman" w:eastAsia="Times New Roman" w:hAnsi="Times New Roman"/>
          <w:sz w:val="18"/>
          <w:szCs w:val="18"/>
          <w:color w:val="auto"/>
        </w:rPr>
      </w:pPr>
    </w:p>
    <w:p>
      <w:pPr>
        <w:ind w:left="223" w:hanging="223"/>
        <w:spacing w:after="0"/>
        <w:tabs>
          <w:tab w:leader="none" w:pos="2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“Proved developed producing reserves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PDP</w:t>
      </w:r>
      <w:r>
        <w:rPr>
          <w:rFonts w:ascii="Times New Roman" w:cs="Times New Roman" w:eastAsia="Times New Roman" w:hAnsi="Times New Roman"/>
          <w:sz w:val="18"/>
          <w:szCs w:val="18"/>
          <w:color w:val="auto"/>
        </w:rPr>
        <w:t>” means proved reserves that are developed producing reserves.</w:t>
      </w:r>
    </w:p>
    <w:p>
      <w:pPr>
        <w:spacing w:after="0" w:line="9" w:lineRule="exact"/>
        <w:rPr>
          <w:rFonts w:ascii="Times New Roman" w:cs="Times New Roman" w:eastAsia="Times New Roman" w:hAnsi="Times New Roman"/>
          <w:sz w:val="18"/>
          <w:szCs w:val="18"/>
          <w:color w:val="auto"/>
        </w:rPr>
      </w:pPr>
    </w:p>
    <w:p>
      <w:pPr>
        <w:ind w:left="223" w:right="280" w:hanging="223"/>
        <w:spacing w:after="0" w:line="250" w:lineRule="auto"/>
        <w:tabs>
          <w:tab w:leader="none" w:pos="2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“Proved developed reserves</w:t>
      </w:r>
      <w:r>
        <w:rPr>
          <w:rFonts w:ascii="Times New Roman" w:cs="Times New Roman" w:eastAsia="Times New Roman" w:hAnsi="Times New Roman"/>
          <w:sz w:val="18"/>
          <w:szCs w:val="18"/>
          <w:color w:val="auto"/>
        </w:rPr>
        <w:t>” means proved reserves that can be expected to be recovered through existing wells with existing equipment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methods and can be expected to be recovered through extraction technology installed and operational at the time of the reserve estimate and can be subdivided into PDP and PDNP reserves.</w:t>
      </w:r>
    </w:p>
    <w:p>
      <w:pPr>
        <w:spacing w:after="0" w:line="1" w:lineRule="exact"/>
        <w:rPr>
          <w:rFonts w:ascii="Times New Roman" w:cs="Times New Roman" w:eastAsia="Times New Roman" w:hAnsi="Times New Roman"/>
          <w:sz w:val="18"/>
          <w:szCs w:val="18"/>
          <w:color w:val="auto"/>
        </w:rPr>
      </w:pPr>
    </w:p>
    <w:p>
      <w:pPr>
        <w:ind w:left="223" w:right="80" w:hanging="223"/>
        <w:spacing w:after="0" w:line="250" w:lineRule="auto"/>
        <w:tabs>
          <w:tab w:leader="none" w:pos="2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“Proved reserves</w:t>
      </w:r>
      <w:r>
        <w:rPr>
          <w:rFonts w:ascii="Times New Roman" w:cs="Times New Roman" w:eastAsia="Times New Roman" w:hAnsi="Times New Roman"/>
          <w:sz w:val="18"/>
          <w:szCs w:val="18"/>
          <w:color w:val="auto"/>
        </w:rPr>
        <w:t>” Those quantities of crude oil and natural gas, which, by analysis of geosciences and engineering data, can be estimated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 w:lineRule="exact"/>
        <w:rPr>
          <w:rFonts w:ascii="Times New Roman" w:cs="Times New Roman" w:eastAsia="Times New Roman" w:hAnsi="Times New Roman"/>
          <w:sz w:val="18"/>
          <w:szCs w:val="18"/>
          <w:color w:val="auto"/>
        </w:rPr>
      </w:pPr>
    </w:p>
    <w:p>
      <w:pPr>
        <w:ind w:left="223" w:right="180" w:firstLine="7"/>
        <w:spacing w:after="0" w:line="250" w:lineRule="auto"/>
        <w:tabs>
          <w:tab w:leader="none" w:pos="47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or natural gas on the basis of available geoscience and engineering data.</w:t>
      </w:r>
    </w:p>
    <w:p>
      <w:pPr>
        <w:spacing w:after="0" w:line="1" w:lineRule="exact"/>
        <w:rPr>
          <w:rFonts w:ascii="Times New Roman" w:cs="Times New Roman" w:eastAsia="Times New Roman" w:hAnsi="Times New Roman"/>
          <w:sz w:val="18"/>
          <w:szCs w:val="18"/>
          <w:color w:val="auto"/>
        </w:rPr>
      </w:pPr>
    </w:p>
    <w:p>
      <w:pPr>
        <w:ind w:left="223" w:right="620" w:firstLine="7"/>
        <w:spacing w:after="0" w:line="265" w:lineRule="auto"/>
        <w:tabs>
          <w:tab w:leader="none" w:pos="532"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data on fluid contacts, proved quantities in a reservoir are limited by the lowest known hydrocarbons as seen in a well penetration unless geoscience, engineering or performance data and reliable technology establishes a lower contact with reasonable certainty.</w:t>
      </w:r>
    </w:p>
    <w:p>
      <w:pPr>
        <w:jc w:val="both"/>
        <w:ind w:left="223" w:right="480" w:firstLine="7"/>
        <w:spacing w:after="0" w:line="250" w:lineRule="auto"/>
        <w:tabs>
          <w:tab w:leader="none" w:pos="57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direct observation from well penetrations has defined a highest known crude oil elevation and the potential exists for an associated natural gas cap, proved crude oil reserves may be assigned in the structurally higher portions of the reservoir only if geoscience, engineering or performance data and reliable technology establish the higher contact with reasonable certainty.</w:t>
      </w:r>
    </w:p>
    <w:p>
      <w:pPr>
        <w:spacing w:after="0" w:line="1" w:lineRule="exact"/>
        <w:rPr>
          <w:rFonts w:ascii="Times New Roman" w:cs="Times New Roman" w:eastAsia="Times New Roman" w:hAnsi="Times New Roman"/>
          <w:sz w:val="18"/>
          <w:szCs w:val="18"/>
          <w:color w:val="auto"/>
        </w:rPr>
      </w:pPr>
    </w:p>
    <w:p>
      <w:pPr>
        <w:ind w:left="223" w:right="160" w:firstLine="7"/>
        <w:spacing w:after="0" w:line="250" w:lineRule="auto"/>
        <w:tabs>
          <w:tab w:leader="none" w:pos="5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spacing w:after="0" w:line="1" w:lineRule="exact"/>
        <w:rPr>
          <w:rFonts w:ascii="Times New Roman" w:cs="Times New Roman" w:eastAsia="Times New Roman" w:hAnsi="Times New Roman"/>
          <w:sz w:val="18"/>
          <w:szCs w:val="18"/>
          <w:color w:val="auto"/>
        </w:rPr>
      </w:pPr>
    </w:p>
    <w:p>
      <w:pPr>
        <w:ind w:left="223" w:right="80" w:firstLine="7"/>
        <w:spacing w:after="0" w:line="250" w:lineRule="auto"/>
        <w:tabs>
          <w:tab w:leader="none" w:pos="52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economic conditions include prices and costs at which economic producibility from a reservoir is to be determined. The price shall be the average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 w:lineRule="exact"/>
        <w:rPr>
          <w:rFonts w:ascii="Times New Roman" w:cs="Times New Roman" w:eastAsia="Times New Roman" w:hAnsi="Times New Roman"/>
          <w:sz w:val="18"/>
          <w:szCs w:val="18"/>
          <w:color w:val="auto"/>
        </w:rPr>
      </w:pPr>
    </w:p>
    <w:p>
      <w:pPr>
        <w:ind w:left="223" w:right="180" w:hanging="223"/>
        <w:spacing w:after="0" w:line="250" w:lineRule="auto"/>
        <w:tabs>
          <w:tab w:leader="none" w:pos="2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“Proved undeveloped reserves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PUD</w:t>
      </w:r>
      <w:r>
        <w:rPr>
          <w:rFonts w:ascii="Times New Roman" w:cs="Times New Roman" w:eastAsia="Times New Roman" w:hAnsi="Times New Roman"/>
          <w:sz w:val="18"/>
          <w:szCs w:val="18"/>
          <w:color w:val="auto"/>
        </w:rPr>
        <w:t>” means proved reserves that are expected to be recovered from new wells on undrilled acreage or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wells where a relatively major expenditure is required for completion. Undrilled locations can be classified as PUDs only if a development plan has been adopted indicating that such locations are scheduled to be drilled within five (5) years, unless specific circumstances justify a longer time.</w:t>
      </w:r>
    </w:p>
    <w:p>
      <w:pPr>
        <w:spacing w:after="0" w:line="1" w:lineRule="exact"/>
        <w:rPr>
          <w:rFonts w:ascii="Times New Roman" w:cs="Times New Roman" w:eastAsia="Times New Roman" w:hAnsi="Times New Roman"/>
          <w:sz w:val="18"/>
          <w:szCs w:val="18"/>
          <w:color w:val="auto"/>
        </w:rPr>
      </w:pPr>
    </w:p>
    <w:p>
      <w:pPr>
        <w:ind w:left="223" w:right="40" w:hanging="223"/>
        <w:spacing w:after="0" w:line="250" w:lineRule="auto"/>
        <w:tabs>
          <w:tab w:leader="none" w:pos="2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“PV-10</w:t>
      </w:r>
      <w:r>
        <w:rPr>
          <w:rFonts w:ascii="Times New Roman" w:cs="Times New Roman" w:eastAsia="Times New Roman" w:hAnsi="Times New Roman"/>
          <w:sz w:val="18"/>
          <w:szCs w:val="18"/>
          <w:color w:val="auto"/>
        </w:rPr>
        <w:t>” When used with respect to crude oil and natural gas reserves, PV-10 means the estimated future gross revenue to be generated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of proved reserves, net of estimated production and future development and abandonment costs, using prices and costs in effect at the determination date, before income taxes, and without giving effect to non-property related expenses, discounted to a present value using an annual discount rate of 10%. PV-10 is not a financial measure calculated in accordance with GAAP and generally differs from standardized measure, the most directly comparable GAAP financial measure, because it does not include the effects of income taxes on future net revenues. Neither PV-10 nor standardized measure represents an estimate of the fair market value of our crude oil and natural gas properties. We and others in the industry use PV-10 as a measure to compare the relative size and value of proved reserves held by companies without regard to the specific tax characteristics of such entities.</w:t>
      </w:r>
    </w:p>
    <w:p>
      <w:pPr>
        <w:spacing w:after="0" w:line="3" w:lineRule="exact"/>
        <w:rPr>
          <w:rFonts w:ascii="Times New Roman" w:cs="Times New Roman" w:eastAsia="Times New Roman" w:hAnsi="Times New Roman"/>
          <w:sz w:val="18"/>
          <w:szCs w:val="18"/>
          <w:color w:val="auto"/>
        </w:rPr>
      </w:pPr>
    </w:p>
    <w:p>
      <w:pPr>
        <w:ind w:left="223" w:hanging="223"/>
        <w:spacing w:after="0"/>
        <w:tabs>
          <w:tab w:leader="none" w:pos="2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“Realized price</w:t>
      </w:r>
      <w:r>
        <w:rPr>
          <w:rFonts w:ascii="Times New Roman" w:cs="Times New Roman" w:eastAsia="Times New Roman" w:hAnsi="Times New Roman"/>
          <w:sz w:val="18"/>
          <w:szCs w:val="18"/>
          <w:color w:val="auto"/>
        </w:rPr>
        <w:t>” The cash market price less all expected quality, transportation and demand adjustments.</w:t>
      </w:r>
    </w:p>
    <w:p>
      <w:pPr>
        <w:spacing w:after="0" w:line="9" w:lineRule="exact"/>
        <w:rPr>
          <w:rFonts w:ascii="Times New Roman" w:cs="Times New Roman" w:eastAsia="Times New Roman" w:hAnsi="Times New Roman"/>
          <w:sz w:val="18"/>
          <w:szCs w:val="18"/>
          <w:color w:val="auto"/>
        </w:rPr>
      </w:pPr>
    </w:p>
    <w:p>
      <w:pPr>
        <w:ind w:left="223" w:right="740" w:hanging="223"/>
        <w:spacing w:after="0" w:line="250" w:lineRule="auto"/>
        <w:tabs>
          <w:tab w:leader="none" w:pos="2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“Recompletion</w:t>
      </w:r>
      <w:r>
        <w:rPr>
          <w:rFonts w:ascii="Times New Roman" w:cs="Times New Roman" w:eastAsia="Times New Roman" w:hAnsi="Times New Roman"/>
          <w:sz w:val="18"/>
          <w:szCs w:val="18"/>
          <w:color w:val="auto"/>
        </w:rPr>
        <w:t>” The process of re-entering an existing wellbore that is either producing or not producing and completing new reservoirs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enhancing existing reservoirs in an attempt to establish or increase existing production.</w:t>
      </w:r>
    </w:p>
    <w:p>
      <w:pPr>
        <w:ind w:left="223" w:right="160" w:hanging="223"/>
        <w:spacing w:after="0" w:line="250" w:lineRule="auto"/>
        <w:tabs>
          <w:tab w:leader="none" w:pos="2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“Reserves</w:t>
      </w:r>
      <w:r>
        <w:rPr>
          <w:rFonts w:ascii="Times New Roman" w:cs="Times New Roman" w:eastAsia="Times New Roman" w:hAnsi="Times New Roman"/>
          <w:sz w:val="18"/>
          <w:szCs w:val="18"/>
          <w:color w:val="auto"/>
        </w:rPr>
        <w:t>” Reserves are estimated remaining quantities of crude oil and natural gas and related substances anticipated to be economically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crude oil and natural gas or related substances to market, and all permits and financing required to implement the project.</w:t>
      </w:r>
    </w:p>
    <w:p>
      <w:pPr>
        <w:spacing w:after="0" w:line="1" w:lineRule="exact"/>
        <w:rPr>
          <w:rFonts w:ascii="Times New Roman" w:cs="Times New Roman" w:eastAsia="Times New Roman" w:hAnsi="Times New Roman"/>
          <w:sz w:val="18"/>
          <w:szCs w:val="18"/>
          <w:color w:val="auto"/>
        </w:rPr>
      </w:pPr>
    </w:p>
    <w:p>
      <w:pPr>
        <w:ind w:left="223" w:right="380" w:hanging="223"/>
        <w:spacing w:after="0" w:line="260" w:lineRule="auto"/>
        <w:tabs>
          <w:tab w:leader="none" w:pos="2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“Reservoir</w:t>
      </w:r>
      <w:r>
        <w:rPr>
          <w:rFonts w:ascii="Times New Roman" w:cs="Times New Roman" w:eastAsia="Times New Roman" w:hAnsi="Times New Roman"/>
          <w:sz w:val="18"/>
          <w:szCs w:val="18"/>
          <w:color w:val="auto"/>
        </w:rPr>
        <w:t>” A porous and permeable underground formation containing a natural accumulation of producible crude oil and/or natural gas that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confined by impermeable rock or water barriers and is separate from other reservoirs.</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3"/>
          </w:cols>
          <w:pgMar w:left="557" w:top="576" w:right="339" w:bottom="1440" w:gutter="0" w:footer="0" w:header="0"/>
        </w:sectPr>
      </w:pPr>
    </w:p>
    <w:bookmarkStart w:id="6" w:name="page7"/>
    <w:bookmarkEnd w:id="6"/>
    <w:p>
      <w:pPr>
        <w:ind w:left="460" w:right="520" w:hanging="223"/>
        <w:spacing w:after="0" w:line="259"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“Resources</w:t>
      </w:r>
      <w:r>
        <w:rPr>
          <w:rFonts w:ascii="Times New Roman" w:cs="Times New Roman" w:eastAsia="Times New Roman" w:hAnsi="Times New Roman"/>
          <w:sz w:val="18"/>
          <w:szCs w:val="18"/>
          <w:color w:val="auto"/>
        </w:rPr>
        <w:t>” Quantities of crude oil and natural gas estimated to exist in naturally occurring accumulations. A portion of the resources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estimated to be recoverable, and another portion may be considered unrecoverable. Resources include both discovered and undiscovered accumulations.</w:t>
      </w:r>
    </w:p>
    <w:p>
      <w:pPr>
        <w:ind w:left="460" w:right="120" w:hanging="223"/>
        <w:spacing w:after="0" w:line="25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“royalty</w:t>
      </w:r>
      <w:r>
        <w:rPr>
          <w:rFonts w:ascii="Times New Roman" w:cs="Times New Roman" w:eastAsia="Times New Roman" w:hAnsi="Times New Roman"/>
          <w:sz w:val="18"/>
          <w:szCs w:val="18"/>
          <w:color w:val="auto"/>
        </w:rPr>
        <w:t>” An interest in a crude oil and natural gas lease that gives the owner the right to receive a portion of the production from the leased acreage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1"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9" w:lineRule="exact"/>
        <w:rPr>
          <w:rFonts w:ascii="Times New Roman" w:cs="Times New Roman" w:eastAsia="Times New Roman" w:hAnsi="Times New Roman"/>
          <w:sz w:val="18"/>
          <w:szCs w:val="18"/>
          <w:color w:val="auto"/>
        </w:rPr>
      </w:pPr>
    </w:p>
    <w:p>
      <w:pPr>
        <w:ind w:left="460" w:right="420" w:hanging="223"/>
        <w:spacing w:after="0" w:line="25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“Senior Credit Facility Agreement</w:t>
      </w:r>
      <w:r>
        <w:rPr>
          <w:rFonts w:ascii="Times New Roman" w:cs="Times New Roman" w:eastAsia="Times New Roman" w:hAnsi="Times New Roman"/>
          <w:sz w:val="18"/>
          <w:szCs w:val="18"/>
          <w:color w:val="auto"/>
        </w:rPr>
        <w:t>” means the Company’s Credit Agreement, dated as of November 1, 2023, among HighPeak Energy, Inc.,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Borrower, Fifth Third Bank, National Association, as administrative agent and collateral agent, and the lenders party thereto.</w:t>
      </w:r>
    </w:p>
    <w:p>
      <w:pPr>
        <w:ind w:left="460" w:right="40" w:hanging="223"/>
        <w:spacing w:after="0" w:line="25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“Service well</w:t>
      </w:r>
      <w:r>
        <w:rPr>
          <w:rFonts w:ascii="Times New Roman" w:cs="Times New Roman" w:eastAsia="Times New Roman" w:hAnsi="Times New Roman"/>
          <w:sz w:val="18"/>
          <w:szCs w:val="18"/>
          <w:color w:val="auto"/>
        </w:rPr>
        <w:t>” A well drilled or completed for the purpose of supporting production in an existing field. Specific purposes of service wells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injection, water injection, steam injection, air injection, salt-water disposal, water supply for injection, observation, or injection for in-situ combustion.</w:t>
      </w:r>
    </w:p>
    <w:p>
      <w:pPr>
        <w:spacing w:after="0" w:line="1" w:lineRule="exact"/>
        <w:rPr>
          <w:rFonts w:ascii="Times New Roman" w:cs="Times New Roman" w:eastAsia="Times New Roman" w:hAnsi="Times New Roman"/>
          <w:sz w:val="18"/>
          <w:szCs w:val="18"/>
          <w:color w:val="auto"/>
        </w:rPr>
      </w:pPr>
    </w:p>
    <w:p>
      <w:pPr>
        <w:ind w:left="460" w:right="240" w:hanging="223"/>
        <w:spacing w:after="0" w:line="25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“Spacing</w:t>
      </w:r>
      <w:r>
        <w:rPr>
          <w:rFonts w:ascii="Times New Roman" w:cs="Times New Roman" w:eastAsia="Times New Roman" w:hAnsi="Times New Roman"/>
          <w:sz w:val="18"/>
          <w:szCs w:val="18"/>
          <w:color w:val="auto"/>
        </w:rPr>
        <w:t>” The distance between wells producing from the same reservoir. Spacing is often expressed in terms of acres, e.g., 100-acre spacing,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distance between horizontal wellbores, e.g., 880-foot spacing or the number of wells per section, e.g., 6-well spacing. It is often established by regulatory agencies and/or the operator to optimize recovery of hydrocarbons.</w:t>
      </w:r>
    </w:p>
    <w:p>
      <w:pPr>
        <w:spacing w:after="0" w:line="1"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“Spot market price</w:t>
      </w:r>
      <w:r>
        <w:rPr>
          <w:rFonts w:ascii="Times New Roman" w:cs="Times New Roman" w:eastAsia="Times New Roman" w:hAnsi="Times New Roman"/>
          <w:sz w:val="18"/>
          <w:szCs w:val="18"/>
          <w:color w:val="auto"/>
        </w:rPr>
        <w:t>” The cash market price without reduction for expected quality, transportation and demand adjustments.</w:t>
      </w:r>
    </w:p>
    <w:p>
      <w:pPr>
        <w:spacing w:after="0" w:line="9" w:lineRule="exact"/>
        <w:rPr>
          <w:rFonts w:ascii="Times New Roman" w:cs="Times New Roman" w:eastAsia="Times New Roman" w:hAnsi="Times New Roman"/>
          <w:sz w:val="18"/>
          <w:szCs w:val="18"/>
          <w:color w:val="auto"/>
        </w:rPr>
      </w:pPr>
    </w:p>
    <w:p>
      <w:pPr>
        <w:ind w:left="460" w:hanging="223"/>
        <w:spacing w:after="0" w:line="25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“Standardized measure</w:t>
      </w:r>
      <w:r>
        <w:rPr>
          <w:rFonts w:ascii="Times New Roman" w:cs="Times New Roman" w:eastAsia="Times New Roman" w:hAnsi="Times New Roman"/>
          <w:sz w:val="18"/>
          <w:szCs w:val="18"/>
          <w:color w:val="auto"/>
        </w:rPr>
        <w:t>” The present value (discounted at an annual rate of 10 percent) of estimated future net revenues to be generated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of proved reserves net of estimated income taxes associated with such net revenues, as determined in accordance with FASB guidelines as well as the rules and regulations of the SEC, without giving effect to non-property related expenses such as indirect general and administrative expenses, and debt service or to DD&amp;A. Standardized measure does not give effect to derivative transactions.</w:t>
      </w:r>
    </w:p>
    <w:p>
      <w:pPr>
        <w:spacing w:after="0" w:line="1" w:lineRule="exact"/>
        <w:rPr>
          <w:rFonts w:ascii="Times New Roman" w:cs="Times New Roman" w:eastAsia="Times New Roman" w:hAnsi="Times New Roman"/>
          <w:sz w:val="18"/>
          <w:szCs w:val="18"/>
          <w:color w:val="auto"/>
        </w:rPr>
      </w:pPr>
    </w:p>
    <w:p>
      <w:pPr>
        <w:ind w:left="460" w:hanging="223"/>
        <w:spacing w:after="0" w:line="25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“Stratigraphic test well</w:t>
      </w:r>
      <w:r>
        <w:rPr>
          <w:rFonts w:ascii="Times New Roman" w:cs="Times New Roman" w:eastAsia="Times New Roman" w:hAnsi="Times New Roman"/>
          <w:sz w:val="18"/>
          <w:szCs w:val="18"/>
          <w:color w:val="auto"/>
        </w:rPr>
        <w:t>” A drilling effort, geologically directed, to obtain information pertaining to a specific geologic condition. Such wells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p>
      <w:pPr>
        <w:spacing w:after="0" w:line="1" w:lineRule="exact"/>
        <w:rPr>
          <w:rFonts w:ascii="Times New Roman" w:cs="Times New Roman" w:eastAsia="Times New Roman" w:hAnsi="Times New Roman"/>
          <w:sz w:val="18"/>
          <w:szCs w:val="18"/>
          <w:color w:val="auto"/>
        </w:rPr>
      </w:pPr>
    </w:p>
    <w:p>
      <w:pPr>
        <w:ind w:left="460" w:right="120" w:hanging="223"/>
        <w:spacing w:after="0" w:line="25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 Loan Credit Agreement</w:t>
      </w:r>
      <w:r>
        <w:rPr>
          <w:rFonts w:ascii="Times New Roman" w:cs="Times New Roman" w:eastAsia="Times New Roman" w:hAnsi="Times New Roman"/>
          <w:sz w:val="18"/>
          <w:szCs w:val="18"/>
          <w:color w:val="auto"/>
        </w:rPr>
        <w:t>” means the Company’s Term Loan Credit Agreement, dated as of September 12, 2023, by and between HighPeak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Inc., as borrower, Texas Capital Bank, as administrative agent, Chambers Energy Management, LP, as collateral agent, and the lenders from time-to-time party thereto.</w:t>
      </w:r>
    </w:p>
    <w:p>
      <w:pPr>
        <w:spacing w:after="0" w:line="1" w:lineRule="exact"/>
        <w:rPr>
          <w:rFonts w:ascii="Times New Roman" w:cs="Times New Roman" w:eastAsia="Times New Roman" w:hAnsi="Times New Roman"/>
          <w:sz w:val="18"/>
          <w:szCs w:val="18"/>
          <w:color w:val="auto"/>
        </w:rPr>
      </w:pPr>
    </w:p>
    <w:p>
      <w:pPr>
        <w:ind w:left="460" w:right="60" w:hanging="223"/>
        <w:spacing w:after="0" w:line="25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“Undeveloped acreage</w:t>
      </w:r>
      <w:r>
        <w:rPr>
          <w:rFonts w:ascii="Times New Roman" w:cs="Times New Roman" w:eastAsia="Times New Roman" w:hAnsi="Times New Roman"/>
          <w:sz w:val="18"/>
          <w:szCs w:val="18"/>
          <w:color w:val="auto"/>
        </w:rPr>
        <w:t>” Lease acreage on which wells have not been drilled or completed to a point that would permit the production of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quantities of crude oil and natural gas regardless of whether such acreage contains proved reserves.</w:t>
      </w:r>
    </w:p>
    <w:p>
      <w:pPr>
        <w:ind w:left="460" w:right="480" w:hanging="223"/>
        <w:spacing w:after="0" w:line="25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The joining of all or substantially all interests in a reservoir or field, rather than a single tract, to provide for development and operation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regard to separate property interests. Also, the area covered by a unitization agreement.</w:t>
      </w:r>
    </w:p>
    <w:p>
      <w:pPr>
        <w:ind w:left="460" w:hanging="223"/>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means the United States.</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means warrants to purchase one share of HighPeak Energy common stock at a price of $11.50 per share.</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“Wellbore</w:t>
      </w:r>
      <w:r>
        <w:rPr>
          <w:rFonts w:ascii="Times New Roman" w:cs="Times New Roman" w:eastAsia="Times New Roman" w:hAnsi="Times New Roman"/>
          <w:sz w:val="18"/>
          <w:szCs w:val="18"/>
          <w:color w:val="auto"/>
        </w:rPr>
        <w:t>” The hole drilled by the bit that is equipped for crude oil and natural gas production on a completed well. Also called well or borehole.</w:t>
      </w:r>
    </w:p>
    <w:p>
      <w:pPr>
        <w:spacing w:after="0" w:line="9" w:lineRule="exact"/>
        <w:rPr>
          <w:rFonts w:ascii="Times New Roman" w:cs="Times New Roman" w:eastAsia="Times New Roman" w:hAnsi="Times New Roman"/>
          <w:sz w:val="18"/>
          <w:szCs w:val="18"/>
          <w:color w:val="auto"/>
        </w:rPr>
      </w:pPr>
    </w:p>
    <w:p>
      <w:pPr>
        <w:ind w:left="460" w:right="180" w:hanging="223"/>
        <w:spacing w:after="0" w:line="25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“Working interes</w:t>
      </w:r>
      <w:r>
        <w:rPr>
          <w:rFonts w:ascii="Times New Roman" w:cs="Times New Roman" w:eastAsia="Times New Roman" w:hAnsi="Times New Roman"/>
          <w:sz w:val="18"/>
          <w:szCs w:val="18"/>
          <w:color w:val="auto"/>
        </w:rPr>
        <w:t>t” The right granted to the lessee of a property to explore for and to produce and own crude oil, natural gas or other minerals.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working interest owners bear the exploration, development and operating costs on either a cash, penalty or carried basis.</w:t>
      </w:r>
    </w:p>
    <w:p>
      <w:pPr>
        <w:ind w:left="460" w:hanging="223"/>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“Workover</w:t>
      </w:r>
      <w:r>
        <w:rPr>
          <w:rFonts w:ascii="Times New Roman" w:cs="Times New Roman" w:eastAsia="Times New Roman" w:hAnsi="Times New Roman"/>
          <w:sz w:val="18"/>
          <w:szCs w:val="18"/>
          <w:color w:val="auto"/>
        </w:rPr>
        <w:t>” Operations on a producing well to restore or increase production.</w:t>
      </w:r>
    </w:p>
    <w:p>
      <w:pPr>
        <w:spacing w:after="0" w:line="9" w:lineRule="exact"/>
        <w:rPr>
          <w:rFonts w:ascii="Times New Roman" w:cs="Times New Roman" w:eastAsia="Times New Roman" w:hAnsi="Times New Roman"/>
          <w:sz w:val="18"/>
          <w:szCs w:val="18"/>
          <w:color w:val="auto"/>
        </w:rPr>
      </w:pPr>
    </w:p>
    <w:p>
      <w:pPr>
        <w:ind w:left="460" w:right="220" w:hanging="223"/>
        <w:spacing w:after="0" w:line="25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“WTI</w:t>
      </w:r>
      <w:r>
        <w:rPr>
          <w:rFonts w:ascii="Times New Roman" w:cs="Times New Roman" w:eastAsia="Times New Roman" w:hAnsi="Times New Roman"/>
          <w:sz w:val="18"/>
          <w:szCs w:val="18"/>
          <w:color w:val="auto"/>
        </w:rPr>
        <w:t>” means West Texas Intermediate, a light sweet blend of crude oil produced from fields in western Texas and is a grade of crude oil used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benchmark in crude oil pricing.</w:t>
      </w:r>
    </w:p>
    <w:p>
      <w:pPr>
        <w:ind w:left="460" w:right="20" w:hanging="223"/>
        <w:spacing w:after="0" w:line="25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information on the working interest in wells and acreage, “</w:t>
      </w:r>
      <w:r>
        <w:rPr>
          <w:rFonts w:ascii="Times New Roman" w:cs="Times New Roman" w:eastAsia="Times New Roman" w:hAnsi="Times New Roman"/>
          <w:sz w:val="18"/>
          <w:szCs w:val="18"/>
          <w:b w:val="1"/>
          <w:bCs w:val="1"/>
          <w:i w:val="1"/>
          <w:iCs w:val="1"/>
          <w:color w:val="auto"/>
        </w:rPr>
        <w:t>net</w:t>
      </w:r>
      <w:r>
        <w:rPr>
          <w:rFonts w:ascii="Times New Roman" w:cs="Times New Roman" w:eastAsia="Times New Roman" w:hAnsi="Times New Roman"/>
          <w:sz w:val="18"/>
          <w:szCs w:val="18"/>
          <w:color w:val="auto"/>
        </w:rPr>
        <w:t>” wells and acres are determined by multiplying “</w:t>
      </w:r>
      <w:r>
        <w:rPr>
          <w:rFonts w:ascii="Times New Roman" w:cs="Times New Roman" w:eastAsia="Times New Roman" w:hAnsi="Times New Roman"/>
          <w:sz w:val="18"/>
          <w:szCs w:val="18"/>
          <w:b w:val="1"/>
          <w:bCs w:val="1"/>
          <w:i w:val="1"/>
          <w:iCs w:val="1"/>
          <w:color w:val="auto"/>
        </w:rPr>
        <w:t>gross</w:t>
      </w:r>
      <w:r>
        <w:rPr>
          <w:rFonts w:ascii="Times New Roman" w:cs="Times New Roman" w:eastAsia="Times New Roman" w:hAnsi="Times New Roman"/>
          <w:sz w:val="18"/>
          <w:szCs w:val="18"/>
          <w:color w:val="auto"/>
        </w:rPr>
        <w:t>” wells and acres by the Company’s working interest in such wells or acres. Unless otherwise specified, wells and acreage statistics quoted herein represent gross wells or acres.</w:t>
      </w:r>
    </w:p>
    <w:p>
      <w:pPr>
        <w:spacing w:after="0" w:line="1"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currency amounts are expressed in U.S. dollars.</w:t>
      </w:r>
    </w:p>
    <w:p>
      <w:pPr>
        <w:spacing w:after="0" w:line="20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terms “development costs,” “development project,” “development well,” “economically producible,” “estimated ultimate recovery,” “exploratory well,” “production costs,” “reserves,” “reservoir,” “resources,” “service wells” and “stratigraphic test well” are defined by the SEC. Except as noted, the terms defined in this section are not the same as SEC definitions.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Quarterly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about:</w:t>
      </w:r>
    </w:p>
    <w:p>
      <w:pPr>
        <w:spacing w:after="0" w:line="195" w:lineRule="exact"/>
        <w:rPr>
          <w:sz w:val="20"/>
          <w:szCs w:val="20"/>
          <w:color w:val="auto"/>
        </w:rPr>
      </w:pPr>
    </w:p>
    <w:p>
      <w:pPr>
        <w:ind w:left="880" w:hanging="548"/>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refinance or pay, when due, the principal of, interest or other amounts due in respect of our indebtedness;</w:t>
      </w:r>
    </w:p>
    <w:p>
      <w:pPr>
        <w:spacing w:after="0" w:line="27" w:lineRule="exact"/>
        <w:rPr>
          <w:rFonts w:ascii="Times New Roman" w:cs="Times New Roman" w:eastAsia="Times New Roman" w:hAnsi="Times New Roman"/>
          <w:sz w:val="18"/>
          <w:szCs w:val="18"/>
          <w:color w:val="auto"/>
        </w:rPr>
      </w:pPr>
    </w:p>
    <w:p>
      <w:pPr>
        <w:ind w:left="880" w:hanging="548"/>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cash flow and access to capital;</w:t>
      </w:r>
    </w:p>
    <w:p>
      <w:pPr>
        <w:spacing w:after="0" w:line="9" w:lineRule="exact"/>
        <w:rPr>
          <w:rFonts w:ascii="Times New Roman" w:cs="Times New Roman" w:eastAsia="Times New Roman" w:hAnsi="Times New Roman"/>
          <w:sz w:val="18"/>
          <w:szCs w:val="18"/>
          <w:color w:val="auto"/>
        </w:rPr>
      </w:pPr>
    </w:p>
    <w:p>
      <w:pPr>
        <w:ind w:left="880" w:right="280" w:hanging="548"/>
        <w:spacing w:after="0" w:line="250"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and market prices of crude oil, NGL, natural gas and other products or services, and the associated impact of our hedging policies relating thereto;</w:t>
      </w:r>
    </w:p>
    <w:p>
      <w:pPr>
        <w:ind w:left="880" w:right="380" w:hanging="548"/>
        <w:spacing w:after="0" w:line="250"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and other contractual obligations, including our obligations under our Term Loan Credit Agreement and Senior Credit Facility Agreement;</w:t>
      </w:r>
    </w:p>
    <w:p>
      <w:pPr>
        <w:ind w:left="880" w:hanging="548"/>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ongoing strategic alternatives review process;</w:t>
      </w:r>
    </w:p>
    <w:p>
      <w:pPr>
        <w:spacing w:after="0" w:line="9" w:lineRule="exact"/>
        <w:rPr>
          <w:rFonts w:ascii="Times New Roman" w:cs="Times New Roman" w:eastAsia="Times New Roman" w:hAnsi="Times New Roman"/>
          <w:sz w:val="18"/>
          <w:szCs w:val="18"/>
          <w:color w:val="auto"/>
        </w:rPr>
      </w:pPr>
    </w:p>
    <w:p>
      <w:pPr>
        <w:ind w:left="880" w:right="240" w:hanging="548"/>
        <w:spacing w:after="0" w:line="250"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armed conflict in crude oil or natural gas producing regions, such as the ongoing war between Russia and Ukraine, the Israel-Hamas conflict and the Israel-Iran conflict;</w:t>
      </w:r>
    </w:p>
    <w:p>
      <w:pPr>
        <w:ind w:left="880" w:hanging="548"/>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political, legal and regulatory environments ahead of the upcoming U.S. presidential election;</w:t>
      </w:r>
    </w:p>
    <w:p>
      <w:pPr>
        <w:spacing w:after="0" w:line="9" w:lineRule="exact"/>
        <w:rPr>
          <w:rFonts w:ascii="Times New Roman" w:cs="Times New Roman" w:eastAsia="Times New Roman" w:hAnsi="Times New Roman"/>
          <w:sz w:val="18"/>
          <w:szCs w:val="18"/>
          <w:color w:val="auto"/>
        </w:rPr>
      </w:pPr>
    </w:p>
    <w:p>
      <w:pPr>
        <w:ind w:left="880" w:hanging="548"/>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w:t>
      </w:r>
    </w:p>
    <w:p>
      <w:pPr>
        <w:spacing w:after="0" w:line="9" w:lineRule="exact"/>
        <w:rPr>
          <w:rFonts w:ascii="Times New Roman" w:cs="Times New Roman" w:eastAsia="Times New Roman" w:hAnsi="Times New Roman"/>
          <w:sz w:val="18"/>
          <w:szCs w:val="18"/>
          <w:color w:val="auto"/>
        </w:rPr>
      </w:pPr>
    </w:p>
    <w:p>
      <w:pPr>
        <w:ind w:left="880" w:hanging="548"/>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resources;</w:t>
      </w:r>
    </w:p>
    <w:p>
      <w:pPr>
        <w:spacing w:after="0" w:line="9" w:lineRule="exact"/>
        <w:rPr>
          <w:rFonts w:ascii="Times New Roman" w:cs="Times New Roman" w:eastAsia="Times New Roman" w:hAnsi="Times New Roman"/>
          <w:sz w:val="18"/>
          <w:szCs w:val="18"/>
          <w:color w:val="auto"/>
        </w:rPr>
      </w:pPr>
    </w:p>
    <w:p>
      <w:pPr>
        <w:ind w:left="880" w:hanging="548"/>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reserve levels;</w:t>
      </w:r>
    </w:p>
    <w:p>
      <w:pPr>
        <w:spacing w:after="0" w:line="9" w:lineRule="exact"/>
        <w:rPr>
          <w:rFonts w:ascii="Times New Roman" w:cs="Times New Roman" w:eastAsia="Times New Roman" w:hAnsi="Times New Roman"/>
          <w:sz w:val="18"/>
          <w:szCs w:val="18"/>
          <w:color w:val="auto"/>
        </w:rPr>
      </w:pPr>
    </w:p>
    <w:p>
      <w:pPr>
        <w:ind w:left="880" w:hanging="548"/>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and completion risks;</w:t>
      </w:r>
    </w:p>
    <w:p>
      <w:pPr>
        <w:spacing w:after="0" w:line="9" w:lineRule="exact"/>
        <w:rPr>
          <w:rFonts w:ascii="Times New Roman" w:cs="Times New Roman" w:eastAsia="Times New Roman" w:hAnsi="Times New Roman"/>
          <w:sz w:val="18"/>
          <w:szCs w:val="18"/>
          <w:color w:val="auto"/>
        </w:rPr>
      </w:pPr>
    </w:p>
    <w:p>
      <w:pPr>
        <w:ind w:left="880" w:right="120" w:hanging="548"/>
        <w:spacing w:after="0" w:line="250"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 and the impacts of associated monetary policy responses, including increased interest rates and resulting pressures on economic growth;</w:t>
      </w:r>
    </w:p>
    <w:p>
      <w:pPr>
        <w:ind w:left="880" w:hanging="548"/>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competitive conditions;</w:t>
      </w:r>
    </w:p>
    <w:p>
      <w:pPr>
        <w:spacing w:after="0" w:line="9" w:lineRule="exact"/>
        <w:rPr>
          <w:rFonts w:ascii="Times New Roman" w:cs="Times New Roman" w:eastAsia="Times New Roman" w:hAnsi="Times New Roman"/>
          <w:sz w:val="18"/>
          <w:szCs w:val="18"/>
          <w:color w:val="auto"/>
        </w:rPr>
      </w:pPr>
    </w:p>
    <w:p>
      <w:pPr>
        <w:ind w:left="880" w:hanging="548"/>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revising our drilling plan during the year transitioning to an increased or decreased rig count from time to time;</w:t>
      </w:r>
    </w:p>
    <w:p>
      <w:pPr>
        <w:spacing w:after="0" w:line="9" w:lineRule="exact"/>
        <w:rPr>
          <w:rFonts w:ascii="Times New Roman" w:cs="Times New Roman" w:eastAsia="Times New Roman" w:hAnsi="Times New Roman"/>
          <w:sz w:val="18"/>
          <w:szCs w:val="18"/>
          <w:color w:val="auto"/>
        </w:rPr>
      </w:pPr>
    </w:p>
    <w:p>
      <w:pPr>
        <w:ind w:left="880" w:hanging="548"/>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9" w:lineRule="exact"/>
        <w:rPr>
          <w:rFonts w:ascii="Times New Roman" w:cs="Times New Roman" w:eastAsia="Times New Roman" w:hAnsi="Times New Roman"/>
          <w:sz w:val="18"/>
          <w:szCs w:val="18"/>
          <w:color w:val="auto"/>
        </w:rPr>
      </w:pPr>
    </w:p>
    <w:p>
      <w:pPr>
        <w:jc w:val="both"/>
        <w:ind w:left="880" w:right="360" w:hanging="548"/>
        <w:spacing w:after="0" w:line="250"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or pandemics, including the effects of related public health concerns and the impact of continued actions taken by governmental authorities and other third parties in response to pandemics and their impact on commodity prices, supply and demand considerations, and storage capacity;</w:t>
      </w:r>
    </w:p>
    <w:p>
      <w:pPr>
        <w:spacing w:after="0" w:line="1" w:lineRule="exact"/>
        <w:rPr>
          <w:rFonts w:ascii="Times New Roman" w:cs="Times New Roman" w:eastAsia="Times New Roman" w:hAnsi="Times New Roman"/>
          <w:sz w:val="18"/>
          <w:szCs w:val="18"/>
          <w:color w:val="auto"/>
        </w:rPr>
      </w:pPr>
    </w:p>
    <w:p>
      <w:pPr>
        <w:ind w:left="880" w:hanging="548"/>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goods and services and supply chain issues;</w:t>
      </w:r>
    </w:p>
    <w:p>
      <w:pPr>
        <w:spacing w:after="0" w:line="9" w:lineRule="exact"/>
        <w:rPr>
          <w:rFonts w:ascii="Times New Roman" w:cs="Times New Roman" w:eastAsia="Times New Roman" w:hAnsi="Times New Roman"/>
          <w:sz w:val="18"/>
          <w:szCs w:val="18"/>
          <w:color w:val="auto"/>
        </w:rPr>
      </w:pPr>
    </w:p>
    <w:p>
      <w:pPr>
        <w:ind w:left="880" w:hanging="548"/>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policy changes;</w:t>
      </w:r>
    </w:p>
    <w:p>
      <w:pPr>
        <w:spacing w:after="0" w:line="9" w:lineRule="exact"/>
        <w:rPr>
          <w:rFonts w:ascii="Times New Roman" w:cs="Times New Roman" w:eastAsia="Times New Roman" w:hAnsi="Times New Roman"/>
          <w:sz w:val="18"/>
          <w:szCs w:val="18"/>
          <w:color w:val="auto"/>
        </w:rPr>
      </w:pPr>
    </w:p>
    <w:p>
      <w:pPr>
        <w:ind w:left="880" w:right="160" w:hanging="548"/>
        <w:spacing w:after="0" w:line="250"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related policy actions intended by federal, state and/or local governments to reduce fossil fuel use and associated carbon emissions, to drive the substitution of renewable forms of energy for crude oil and natural gas, which may over time reduce demand for crude oil, NGL and natural gas, including as a result of the Inflation Reduction Act of 2022 (“IRA 2022”) or otherwise;</w:t>
      </w:r>
    </w:p>
    <w:p>
      <w:pPr>
        <w:spacing w:after="0" w:line="1" w:lineRule="exact"/>
        <w:rPr>
          <w:rFonts w:ascii="Times New Roman" w:cs="Times New Roman" w:eastAsia="Times New Roman" w:hAnsi="Times New Roman"/>
          <w:sz w:val="18"/>
          <w:szCs w:val="18"/>
          <w:color w:val="auto"/>
        </w:rPr>
      </w:pPr>
    </w:p>
    <w:p>
      <w:pPr>
        <w:ind w:left="880" w:right="140" w:hanging="548"/>
        <w:spacing w:after="0" w:line="250"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and manage the effects of actions of OPEC and agreements to set and maintain production levels, including as a result of recent production cuts by OPEC;</w:t>
      </w:r>
    </w:p>
    <w:p>
      <w:pPr>
        <w:ind w:left="880" w:hanging="548"/>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9" w:lineRule="exact"/>
        <w:rPr>
          <w:rFonts w:ascii="Times New Roman" w:cs="Times New Roman" w:eastAsia="Times New Roman" w:hAnsi="Times New Roman"/>
          <w:sz w:val="18"/>
          <w:szCs w:val="18"/>
          <w:color w:val="auto"/>
        </w:rPr>
      </w:pPr>
    </w:p>
    <w:p>
      <w:pPr>
        <w:ind w:left="880" w:hanging="548"/>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property acquisitions or divestitures;</w:t>
      </w:r>
    </w:p>
    <w:p>
      <w:pPr>
        <w:spacing w:after="0" w:line="9" w:lineRule="exact"/>
        <w:rPr>
          <w:rFonts w:ascii="Times New Roman" w:cs="Times New Roman" w:eastAsia="Times New Roman" w:hAnsi="Times New Roman"/>
          <w:sz w:val="18"/>
          <w:szCs w:val="18"/>
          <w:color w:val="auto"/>
        </w:rPr>
      </w:pPr>
    </w:p>
    <w:p>
      <w:pPr>
        <w:ind w:left="880" w:right="420" w:hanging="548"/>
        <w:spacing w:after="0" w:line="250"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or capital markets and our ability to access such markets on attractive terms or at all, and related risks such as general credit, liquidity, market and interest-rate risks; and</w:t>
      </w:r>
    </w:p>
    <w:p>
      <w:pPr>
        <w:ind w:left="880" w:right="160" w:hanging="548"/>
        <w:spacing w:after="0" w:line="25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disclosed under “Part I, Items 1 and 2. Business and Properties,” “Part I, Item 1A. Risk Factors,” “Part II, Item 7. Management’s Discussion and Analysis of Financial Condition and Results of Operations” and “Part II, Item 7A. Quantitative and Qualitative Disclosures about Market Risk,” included in the Company’s Annual Report on </w:t>
      </w:r>
      <w:hyperlink r:id="rId20">
        <w:r>
          <w:rPr>
            <w:rFonts w:ascii="Times New Roman" w:cs="Times New Roman" w:eastAsia="Times New Roman" w:hAnsi="Times New Roman"/>
            <w:sz w:val="18"/>
            <w:szCs w:val="18"/>
            <w:u w:val="single" w:color="auto"/>
            <w:color w:val="0000EE"/>
          </w:rPr>
          <w:t>Form 10-K for the year ended 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6, 2024 (“Annual Report”) and this Quarterly Report, under “Part I, Item 2. Management’s Discussion and Analysis of Financial Condition and Results of Operations,” “Part II, Item 1A. Risk Factors” and “Part I, Item 3. Quantitative and Qualitative Disclosures about Market Risk.”</w:t>
      </w:r>
    </w:p>
    <w:p>
      <w:pPr>
        <w:spacing w:after="0" w:line="190"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the Company, or persons acting on its behalf, are expressly qualified in their entirety by the cautionary statements. Except as required by law, the Company assumes no duty to update or revise its forward-looking statements based on changes in internal estimates or expectations or otherwise.</w:t>
      </w:r>
    </w:p>
    <w:p>
      <w:pPr>
        <w:spacing w:after="0" w:line="176"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Additionally, we caution you that reserve engineering is a process of estimating underground accumulations of crude oil, NGL and natural gas that cannot be measured in an exact way. The accuracy of any reserve estimate depends on the quality of available data, the interpretation of such data and price and cost assumptions made by reserve engineers. In addition, the results of drilling, testing and production activities may justify revisions of estimates that were made previously. If significant, such revisions could change the schedule of any further production and development drilling. Accordingly, reserve estimates may differ significantly from the quantities of crude oil, NGL and natural gas that are ultimately recovered.</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582"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8000" w:type="dxa"/>
            <w:vAlign w:val="bottom"/>
            <w:gridSpan w:val="2"/>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0"/>
        </w:trPr>
        <w:tc>
          <w:tcPr>
            <w:tcW w:w="6900" w:type="dxa"/>
            <w:vAlign w:val="bottom"/>
            <w:tcBorders>
              <w:top w:val="single" w:sz="8" w:color="auto"/>
            </w:tcBorders>
          </w:tcPr>
          <w:p>
            <w:pPr>
              <w:jc w:val="center"/>
              <w:ind w:left="4270"/>
              <w:spacing w:after="0"/>
              <w:rPr>
                <w:sz w:val="20"/>
                <w:szCs w:val="20"/>
                <w:color w:val="auto"/>
              </w:rPr>
            </w:pPr>
            <w:r>
              <w:rPr>
                <w:rFonts w:ascii="Times New Roman" w:cs="Times New Roman" w:eastAsia="Times New Roman" w:hAnsi="Times New Roman"/>
                <w:sz w:val="18"/>
                <w:szCs w:val="18"/>
                <w:b w:val="1"/>
                <w:bCs w:val="1"/>
                <w:color w:val="auto"/>
                <w:w w:val="99"/>
              </w:rPr>
              <w:t>HighPeak Energy, Inc.</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8000" w:type="dxa"/>
            <w:vAlign w:val="bottom"/>
            <w:gridSpan w:val="2"/>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8"/>
        </w:trPr>
        <w:tc>
          <w:tcPr>
            <w:tcW w:w="8000" w:type="dxa"/>
            <w:vAlign w:val="bottom"/>
            <w:gridSpan w:val="2"/>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0"/>
        </w:trPr>
        <w:tc>
          <w:tcPr>
            <w:tcW w:w="6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173,380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194,515</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109,005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94,589</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7,254</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995</w:t>
            </w:r>
          </w:p>
        </w:tc>
      </w:tr>
      <w:tr>
        <w:trPr>
          <w:trHeight w:val="216"/>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31,480</w:t>
            </w:r>
          </w:p>
        </w:tc>
      </w:tr>
      <w:tr>
        <w:trPr>
          <w:trHeight w:val="210"/>
        </w:trPr>
        <w:tc>
          <w:tcPr>
            <w:tcW w:w="8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298,975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328,833</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and natural gas properties, using the successful efforts method of accounting:</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Proved properties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3,487,622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3,338,107</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Unproved properties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72,715</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Accumulated depletion, depreciation and amortization</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(814,961)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(684,179)</w:t>
            </w:r>
          </w:p>
        </w:tc>
      </w:tr>
      <w:tr>
        <w:trPr>
          <w:trHeight w:val="209"/>
        </w:trPr>
        <w:tc>
          <w:tcPr>
            <w:tcW w:w="80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crude oil and natural gas properties, net</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2,745,658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2,726,643</w:t>
            </w:r>
          </w:p>
        </w:tc>
      </w:tr>
      <w:tr>
        <w:trPr>
          <w:trHeight w:val="209"/>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property and equipment, net</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3,572</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16,059</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5,684</w:t>
            </w: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3,054,692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3,080,791</w:t>
            </w:r>
          </w:p>
        </w:tc>
      </w:tr>
      <w:tr>
        <w:trPr>
          <w:trHeight w:val="197"/>
        </w:trPr>
        <w:tc>
          <w:tcPr>
            <w:tcW w:w="8000" w:type="dxa"/>
            <w:vAlign w:val="bottom"/>
            <w:tcBorders>
              <w:top w:val="single" w:sz="8" w:color="CCEEFF"/>
            </w:tcBorders>
            <w:gridSpan w:val="2"/>
          </w:tcPr>
          <w:p>
            <w:pPr>
              <w:ind w:left="19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120,000</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39,231</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payable – trade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63,583</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29,724</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19,613</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13,054</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Advances from joint interest owners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1,398</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r>
      <w:tr>
        <w:trPr>
          <w:trHeight w:val="210"/>
        </w:trPr>
        <w:tc>
          <w:tcPr>
            <w:tcW w:w="8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287,961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287,393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1,004,798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1,030,299</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198,757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197,068</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13,245</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none issued and outstanding at</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March 31, 2024 and December 31, 2023</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500"/>
              <w:spacing w:after="0" w:line="198" w:lineRule="exact"/>
              <w:rPr>
                <w:sz w:val="20"/>
                <w:szCs w:val="20"/>
                <w:color w:val="auto"/>
              </w:rPr>
            </w:pPr>
            <w:r>
              <w:rPr>
                <w:rFonts w:ascii="Times New Roman" w:cs="Times New Roman" w:eastAsia="Times New Roman" w:hAnsi="Times New Roman"/>
                <w:sz w:val="18"/>
                <w:szCs w:val="18"/>
                <w:color w:val="auto"/>
              </w:rPr>
              <w:t>Common stock, $0.0001 par value, 600,000,000 shares authorized, 127,855,383 and 128,420,923</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shares issued and outstanding at March 31, 2024 and December 31, 2023, respectively</w:t>
            </w: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1,184,371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1,189,424</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364,053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363,284</w:t>
            </w:r>
          </w:p>
        </w:tc>
      </w:tr>
      <w:tr>
        <w:trPr>
          <w:trHeight w:val="209"/>
        </w:trPr>
        <w:tc>
          <w:tcPr>
            <w:tcW w:w="80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1,548,437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1,552,721</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3,054,692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3,080,791</w:t>
            </w:r>
          </w:p>
        </w:tc>
      </w:tr>
      <w:tr>
        <w:trPr>
          <w:trHeight w:val="20"/>
        </w:trPr>
        <w:tc>
          <w:tcPr>
            <w:tcW w:w="6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Crude oil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282,369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215,696</w:t>
            </w:r>
          </w:p>
        </w:tc>
        <w:tc>
          <w:tcPr>
            <w:tcW w:w="2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NGL and natural gas sales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8,098</w:t>
            </w:r>
          </w:p>
        </w:tc>
        <w:tc>
          <w:tcPr>
            <w:tcW w:w="20" w:type="dxa"/>
            <w:vAlign w:val="bottom"/>
          </w:tcPr>
          <w:p>
            <w:pPr>
              <w:spacing w:after="0"/>
              <w:rPr>
                <w:sz w:val="18"/>
                <w:szCs w:val="18"/>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287,764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223,794</w:t>
            </w:r>
          </w:p>
        </w:tc>
        <w:tc>
          <w:tcPr>
            <w:tcW w:w="2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Crude oil and natural gas production</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32,942</w:t>
            </w:r>
          </w:p>
        </w:tc>
        <w:tc>
          <w:tcPr>
            <w:tcW w:w="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12,297</w:t>
            </w:r>
          </w:p>
        </w:tc>
        <w:tc>
          <w:tcPr>
            <w:tcW w:w="20" w:type="dxa"/>
            <w:vAlign w:val="bottom"/>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Exploration and abandonments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2,164</w:t>
            </w:r>
          </w:p>
        </w:tc>
        <w:tc>
          <w:tcPr>
            <w:tcW w:w="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130,850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81,131</w:t>
            </w:r>
          </w:p>
        </w:tc>
        <w:tc>
          <w:tcPr>
            <w:tcW w:w="20" w:type="dxa"/>
            <w:vAlign w:val="bottom"/>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2,502</w:t>
            </w:r>
          </w:p>
        </w:tc>
        <w:tc>
          <w:tcPr>
            <w:tcW w:w="20" w:type="dxa"/>
            <w:vAlign w:val="bottom"/>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4,054</w:t>
            </w:r>
          </w:p>
        </w:tc>
        <w:tc>
          <w:tcPr>
            <w:tcW w:w="2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184,743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135,208</w:t>
            </w:r>
          </w:p>
        </w:tc>
        <w:tc>
          <w:tcPr>
            <w:tcW w:w="20" w:type="dxa"/>
            <w:vAlign w:val="bottom"/>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88,586</w:t>
            </w:r>
          </w:p>
        </w:tc>
        <w:tc>
          <w:tcPr>
            <w:tcW w:w="20" w:type="dxa"/>
            <w:vAlign w:val="bottom"/>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(26,972)</w:t>
            </w:r>
          </w:p>
        </w:tc>
        <w:tc>
          <w:tcPr>
            <w:tcW w:w="20" w:type="dxa"/>
            <w:vAlign w:val="bottom"/>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3,120</w:t>
            </w:r>
          </w:p>
        </w:tc>
        <w:tc>
          <w:tcPr>
            <w:tcW w:w="2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64,764</w:t>
            </w:r>
          </w:p>
        </w:tc>
        <w:tc>
          <w:tcPr>
            <w:tcW w:w="20" w:type="dxa"/>
            <w:vAlign w:val="bottom"/>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14,507</w:t>
            </w:r>
          </w:p>
        </w:tc>
        <w:tc>
          <w:tcPr>
            <w:tcW w:w="2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50,257</w:t>
            </w:r>
          </w:p>
        </w:tc>
        <w:tc>
          <w:tcPr>
            <w:tcW w:w="20" w:type="dxa"/>
            <w:vAlign w:val="bottom"/>
          </w:tcPr>
          <w:p>
            <w:pPr>
              <w:spacing w:after="0"/>
              <w:rPr>
                <w:sz w:val="21"/>
                <w:szCs w:val="21"/>
                <w:color w:val="auto"/>
              </w:rPr>
            </w:pP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0.41</w:t>
            </w:r>
          </w:p>
        </w:tc>
        <w:tc>
          <w:tcPr>
            <w:tcW w:w="20" w:type="dxa"/>
            <w:vAlign w:val="bottom"/>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0.39</w:t>
            </w:r>
          </w:p>
        </w:tc>
        <w:tc>
          <w:tcPr>
            <w:tcW w:w="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125,696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111,055</w:t>
            </w:r>
          </w:p>
        </w:tc>
        <w:tc>
          <w:tcPr>
            <w:tcW w:w="20" w:type="dxa"/>
            <w:vAlign w:val="bottom"/>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129,641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117,765</w:t>
            </w:r>
          </w:p>
        </w:tc>
        <w:tc>
          <w:tcPr>
            <w:tcW w:w="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0.040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0.025</w:t>
            </w:r>
          </w:p>
        </w:tc>
        <w:tc>
          <w:tcPr>
            <w:tcW w:w="20" w:type="dxa"/>
            <w:vAlign w:val="bottom"/>
          </w:tcPr>
          <w:p>
            <w:pPr>
              <w:spacing w:after="0"/>
              <w:rPr>
                <w:sz w:val="20"/>
                <w:szCs w:val="20"/>
                <w:color w:val="auto"/>
              </w:rPr>
            </w:pPr>
          </w:p>
        </w:tc>
      </w:tr>
      <w:tr>
        <w:trPr>
          <w:trHeight w:val="414"/>
        </w:trPr>
        <w:tc>
          <w:tcPr>
            <w:tcW w:w="958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115"/>
        </w:trPr>
        <w:tc>
          <w:tcPr>
            <w:tcW w:w="8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128,421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1,189,424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363,284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1,552,721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($0.04 per share)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($0.04 per share)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Repurchased shares under buyback program</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upon options being exercised</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3,798</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6,438</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127,855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1,184,371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364,053</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1,548,437</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113,165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1,008,896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160,740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1,169,647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($0.025 per share)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($0.025 per share)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upon options being exercised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50,257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50,257</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113,177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1,013,100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207,880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1,220,991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6,438</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50,257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14,507</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 (gain) on derivative instruments, net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53,043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Cash paid on settlement of derivative instruments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2,668</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discounts on long-term debt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4,290</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4,054</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Accretion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Depletion, depreciation and amortization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130,850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81,131</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Exploration and abandonment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15,617</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inventory and other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accrued liabilities and other current liabilities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23,295</w:t>
            </w:r>
          </w:p>
        </w:tc>
      </w:tr>
      <w:tr>
        <w:trPr>
          <w:trHeight w:val="210"/>
        </w:trPr>
        <w:tc>
          <w:tcPr>
            <w:tcW w:w="800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171,439</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190,006</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crude oil and natural gas properties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(147,698)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(379,103)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working capital associated with crude oil and natural gas property additions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65,062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Acquisitions of crude oil and natural gas properties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property additions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800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(319,522)</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under Term Loan Credit Agreement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Repurchased shares under buyback program</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 equivalents paid</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Borrowings under Prior Credit Agreement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exercises of warrants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800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(44,351)</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146,548</w:t>
            </w:r>
          </w:p>
        </w:tc>
      </w:tr>
      <w:tr>
        <w:trPr>
          <w:trHeight w:val="210"/>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17,032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194,515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30,504</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173,380</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47,536</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39,678</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18,078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transactions: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3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768</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Operations</w:t>
      </w:r>
    </w:p>
    <w:p>
      <w:pPr>
        <w:spacing w:after="0" w:line="229" w:lineRule="exact"/>
        <w:rPr>
          <w:sz w:val="20"/>
          <w:szCs w:val="20"/>
          <w:color w:val="auto"/>
        </w:rPr>
      </w:pPr>
    </w:p>
    <w:p>
      <w:pPr>
        <w:jc w:val="both"/>
        <w:ind w:firstLine="64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HighPeak Energy, Inc. ("HighPeak Energy" or the "Company,") is a Delaware corporation, formed in October 2019. See the Company’s Annual Report on </w:t>
      </w:r>
      <w:hyperlink r:id="rId25">
        <w:r>
          <w:rPr>
            <w:rFonts w:ascii="Times New Roman" w:cs="Times New Roman" w:eastAsia="Times New Roman" w:hAnsi="Times New Roman"/>
            <w:sz w:val="18"/>
            <w:szCs w:val="18"/>
            <w:u w:val="single" w:color="auto"/>
            <w:color w:val="0000EE"/>
          </w:rPr>
          <w:t>Form 10-K for the year ended 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filed with the U.S. Securities and Exchange Commission (“SEC”) on March 6, 2024, for further information regarding the formation of the Company. HighPeak Energy’s common stock and warrants are listed and traded on the Nasdaq Global Market (the "Nasdaq") under the ticker symbols “HPK” and “HPKEW,” respectively. The Company is an independent crude oil and natural gas exploration and production company that explores for, develops and produces crude oil, NGL and natural gas in the Permian Basin in West Texas, more specifically, the Midland Basin primarily in Howard and Borden Counties. Our acreage is composed of two core areas, Flat Top primarily in the northern portion of Howard County extending into southern Borden County, southwest Scurry County and northwest Mitchell County and Signal Peak in the southern portion of Howard County.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Presentation. </w:t>
      </w:r>
      <w:r>
        <w:rPr>
          <w:rFonts w:ascii="Times New Roman" w:cs="Times New Roman" w:eastAsia="Times New Roman" w:hAnsi="Times New Roman"/>
          <w:sz w:val="18"/>
          <w:szCs w:val="18"/>
          <w:color w:val="auto"/>
        </w:rPr>
        <w:t>In the opinion of management, the unaudited interim condensed consolidated financial statements of the Company as of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and for the three months ended March 31, 2024 and 2023 include all adjustments and accruals, consisting only of normal, recurring adjustments and accruals necessary for a fair presentation of the results for the interim periods in conformity with generally accepted accounting principles in the United States ("GAAP"). The operating results for the three months ended March 31, 2024 are not indicative of results for a full year.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condensed or omitted in accordance with the rules and regulations of the SEC. These unaudited interim condensed consolidated financial statements should be read together with the consolidated financial statements and notes thereto included in the Company’s Annual Report on Form 10-K for the year ended December 31, 2023.</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condensed consolidated financial statements include the accounts of the Company and its wholly owned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since their acquisition or formation. All material intercompany balances and transactions have been eliminated.</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in the preparation of financial statements. </w:t>
      </w:r>
      <w:r>
        <w:rPr>
          <w:rFonts w:ascii="Times New Roman" w:cs="Times New Roman" w:eastAsia="Times New Roman" w:hAnsi="Times New Roman"/>
          <w:sz w:val="18"/>
          <w:szCs w:val="18"/>
          <w:color w:val="auto"/>
        </w:rPr>
        <w:t>Preparation of the Company's condensed consolidated financial statements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conformity with GAAP requires management to make estimates and assumptions that affect the reported amounts of assets and liabilities, the disclosure of contingent assets and liabilities as of the date of the condensed consolidated financial statements and the reported amounts of revenues and expenses during the reporting periods. Depletion of crude oil and natural gas properties is determined using estimates of proved crude oil, NGL and natural gas reserves and evaluations for impairment of proved and unproved crude oil and natural gas properties, in part, is determined using estimates of proved and risk adjusted probable and possible crude oil, NGL and natural gas reserves. There are numerous uncertainties inherent in the estimation of quantities of proved, probable and possible reserves and in the projection of future rates of production and the timing of development expenditures. Similarly, if needed, evaluations for impairment of proved crude oil and natural gas properties are subject to numerous uncertainties including, among others, estimates of future recoverable reserves, commodity price outlooks and future undiscounted and discounted net cash flows. In addition, evaluations for impairment of unproved crude oil and natural gas properties on a project-by-project basis are also subject to numerous uncertainties including, among others, estimates of future recoverable reserves, results of exploration activities, commodity price outlooks, planned future sales or expirations of all or a portion of such projects. Other items subject to such estimates and assumptions include, but are not limited to, the carrying value of crude oil and natural gas properties, asset retirement obligations, equity-based compensation, fair value of derivatives, expected credit losses and estimates of income taxes. Actual results could differ from the estimates and assumptions utilized.</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The Company’s cash and cash equivalents include depository accounts held by banks with original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maturities of 90 days or less. The Company’s cash and cash equivalents are generally held in financial institutions in amounts that may exceed the insurance limits of the Federal Deposit Insurance Corporation. However, management believes that the Company’s counterparty risks are minimal based on the reputation and history of the institutions selected.</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As of March 31, 2024 and December 31, 2023, the Company’s accounts receivables primarily consist of amounts due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sale of crude oil, NGL and natural gas of $99.4 million and $82.5 million, respectively, and are based on estimates of sales volumes and realized prices the Company anticipates it will receive, joint interest receivables of $6.4 million and $4.4 million, respectively, current U.S. federal income tax receivables of $2.8 million and $3.2 million, respectively, and receivables related to settlements of derivative contracts of $446,000 and $4.5 million, respectively. The Company’s share of crude oil, NGL and natural gas production is sold to various purchasers who must be prequalified under the Company’s credit risk policies and procedures. The Company’s credit risk related to collecting accounts receivables is mitigated by using credit and other financial criteria to evaluate the credit standing of the entity obligated to make payment on the accounts receivable, and where appropriate, the Company obtains assurances of payment, such as a guarantee by the parent company of the counterparty or other credit support.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are stated at amounts due from purchasers or joint interest owners, net of an allowance for expected losses as estimated by the Company when collection is doubtful. For receivables from joint interest owners, the Company typically has the ability to withhold future revenue disbursements to recover any non-payment of joint interest billings. Accounts receivable from purchasers or joint interest owners outstanding longer than the contractual payment terms are considered past due. The Company determines its allowance for each type of receivable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As of March 31, 2024 and December 31, 2023, the Company had no allowance for credit losses related to accounts receivable.</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credit risk. </w:t>
      </w:r>
      <w:r>
        <w:rPr>
          <w:rFonts w:ascii="Times New Roman" w:cs="Times New Roman" w:eastAsia="Times New Roman" w:hAnsi="Times New Roman"/>
          <w:sz w:val="18"/>
          <w:szCs w:val="18"/>
          <w:color w:val="auto"/>
        </w:rPr>
        <w:t>The Company is subject to credit risk resulting from the concentration of its crude oil and natural gas receivables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significant purchasers. For the three months ended March 31, 2024 and the year ended December 31, 2023, sales to the Company’s largest purchaser accounted for approximately 76% and 82%, respectively, and sales to the Company’s second largest purchaser accounted for approximately 17% and 14%, respectively, of the Company’s total crude oil, NGL and natural gas sales revenues. The Company generally does not require collateral and does not believe the loss of these particular purchasers would materially impact its operating results, as crude oil and natural gas are fungible products with well-established markets and numerous purchasers in various regions.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Inventory is comprised primarily of crude oil and natural gas drilling and completion or repair items such as pumps, tubing, casing,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vessels, operating supplies and ordinary maintenance materials and parts. The materials and supplies inventory is primarily acquired for use in future drilling and completion or repair operations and is carried at the lower of cost or net realizable value, on a weighted average cost basis. Valuation allowances for materials and supplies inventories are recorded as reductions to the carrying values of the materials and supplies inventories in the Company’s condensed consolidated balance sheet and as charges to other expense in the condensed consolidated statements of operations. The Company’s materials and supplies inventory as of March 31, 2024 and December 31, 2023 is $11.2 million and $7.3 million, respectively, and the Company has not recognized any valuation allowance to date.</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Prepaid expenses. </w:t>
      </w:r>
      <w:r>
        <w:rPr>
          <w:rFonts w:ascii="Times New Roman" w:cs="Times New Roman" w:eastAsia="Times New Roman" w:hAnsi="Times New Roman"/>
          <w:sz w:val="18"/>
          <w:szCs w:val="18"/>
          <w:color w:val="auto"/>
        </w:rPr>
        <w:t>Prepaid expenses are comprised primarily of caliche that will be used on future locations and roads in our development areas,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fees related to strategic alternatives that will be deducted from eventual commissions on a future transaction, prepaid insurance costs that will be amortized over the life of the policies, tubulars and proppant that the Company has prepaid the suppliers to guarantee their availability when needed for our current drilling program and prepaid agency fees and software maintenance fees that will be amortized over the life of the contracts. Prepaid expenses as of March 31, 2024 and December 31, 2023 are $2.8 million and $1.0 million, respectively.</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and natural gas properties. </w:t>
      </w:r>
      <w:r>
        <w:rPr>
          <w:rFonts w:ascii="Times New Roman" w:cs="Times New Roman" w:eastAsia="Times New Roman" w:hAnsi="Times New Roman"/>
          <w:sz w:val="18"/>
          <w:szCs w:val="18"/>
          <w:color w:val="auto"/>
        </w:rPr>
        <w:t>The Company utilizes the successful efforts method of accounting for its crude oil and natural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properties. Under this method, all costs associated with productive and nonproductive development wells are capitalized while nonproductive exploration costs and geological and geophysical expenditures are expensed.</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carry the costs of drilling an exploratory well as an asset in its condensed consolidated balance sheet following the completion of drilling unless both of the following conditions are met: (i) the well has found a sufficient quantity of reserves to justify its completion as a producing well and (ii) the Company is making sufficient progress assessing the reserves and the economic and operating viability of the project.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Due to the capital-intensive nature and the geographical location of certain projects, it may take an extended period of time to evaluate the future potential of an exploration project and the economics associated with making a determination on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data in the area, transportation or processing facilities and/or getting partner approval to drill additional appraisal wells. These activities are ongoing and are being pursued constantly. Consequently, the Company’s assessment of suspended exploratory well costs is continuous until a decision can be made that the project has found sufficient proved reserves to sanction the project or is noncommercial and is charged to exploration and abandonment expense. See Note 6 for additional information.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capitalized costs of proved properties are depleted using the unit-of-production method based on proved reserves for leasehold costs and proved developed reserves for drilling, completion and other crude oil and natural gas property costs. Costs of unproved leasehold costs are excluded from depletion until proved reserves are established or, if unsuccessful, impairment is determined.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Proceeds from the sales of individual properties are credited to proved or unproved crude oil and natural gas properties, as the case may be, if doing so does not materially impact the depletion rate of an amortization base. Generally, no gain or loss is recorded until an entire amortization base is sold. However, gain or loss is recorded from the sale of less than an entire amortization base if the disposition is significant enough to materially impact the depletion rate of the remaining properties in the amortization base.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performs assessments of its long-lived assets to be held and used, including proved crude oil and natural gas properties accounted for under the successful efforts method of accounting, whenever events or circumstances indicate that the carrying value of those assets may not be recoverable. If there is an indication the carrying value of the assets may not be recovered, an impairment loss is recognized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Unproved crude oil and natural gas properties are periodically assessed for impairment on a project-by-project basis. These impairment assessments are affected by the estimates of future recoverable reserves, results of exploration activities, commodity price outlooks, planned future sales or expirations of all or a portion of such projects. If the estimated future net cash flows attributable to such projects are not expected to be sufficient to fully recover the costs invested in each project, the Company will recognize an impairment charge at that time.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property and equipment, net. </w:t>
      </w:r>
      <w:r>
        <w:rPr>
          <w:rFonts w:ascii="Times New Roman" w:cs="Times New Roman" w:eastAsia="Times New Roman" w:hAnsi="Times New Roman"/>
          <w:sz w:val="18"/>
          <w:szCs w:val="18"/>
          <w:color w:val="auto"/>
        </w:rPr>
        <w:t>Other property and equipment is recorded at cost. The carrying values of other property and equipment, net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accumulated depreciation of $935,000 and $904,000 as of March 31, 2024 and December 31, 2023, respectively, are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equipment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property and equipment,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3,572</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property and equipment are depreciated over their estimated useful life on a straight-line basis. Land is not depreciated. Transportation equipment is generally depreciated over five years, buildings are generally depreciated over forty years, field equipment is generally depreciated over seven years and furniture and fixtures is generally depreciated over five years. Leasehold improvements are amortized over the lesser of their estimated useful lives or the underlying terms of the associated leases.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an asset may not be recoverable. If such assets are considered to be impaired, the impairment to be recorded is measured by the amount by which the carrying amount of the asset exceeds its estimated fair value. The estimated fair value is determined using either a discounted future cash flow model or another appropriate fair value method.</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Aid-in-construction assets. </w:t>
      </w:r>
      <w:r>
        <w:rPr>
          <w:rFonts w:ascii="Times New Roman" w:cs="Times New Roman" w:eastAsia="Times New Roman" w:hAnsi="Times New Roman"/>
          <w:sz w:val="18"/>
          <w:szCs w:val="18"/>
          <w:color w:val="auto"/>
        </w:rPr>
        <w:t>As of March 31, 2024 and December 31, 2023, the Company had aid-in-construction assets totaling $4.7 million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$5.2 million, respectively, included in other noncurrent assets. The Company has received and will continue to receive payments based on gross system throughput, including any third-party natural gas that is potentially tied into the Flat Top gathering system in the future. The contract calls for future aid-in-construction fundings if expansions of the system are necessary as determined in the sole discretion of the Company.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The Company enters into leases for drilling rigs, storage tanks, equipment and buildings and recognizes lease expense on a straight-line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a lease. The exercise of those options is at the Company’s sole discretion and is evaluated at inception and throughout the contract to determine if a modification of the lease term is required. Leases with an initial term of 12 months or less are generally not recorded as lease right-of-use assets and liabilities. See Note 10 for additional information.</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liabilities. </w:t>
      </w:r>
      <w:r>
        <w:rPr>
          <w:rFonts w:ascii="Times New Roman" w:cs="Times New Roman" w:eastAsia="Times New Roman" w:hAnsi="Times New Roman"/>
          <w:sz w:val="18"/>
          <w:szCs w:val="18"/>
          <w:color w:val="auto"/>
        </w:rPr>
        <w:t>Current liabilities as of March 31, 2024 and December 31, 2023 totaled approximately $288.0 million and $287.4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including current maturities of long-term debt, trade accounts payable, accrued capital expenditures, revenues and royalties payable, derivative liabilities and accruals for operating and general and administrative expenses, interest expense, operating leases, dividends and dividend equivalents and other miscellaneous items.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issuance costs and original issue discount. </w:t>
      </w:r>
      <w:r>
        <w:rPr>
          <w:rFonts w:ascii="Times New Roman" w:cs="Times New Roman" w:eastAsia="Times New Roman" w:hAnsi="Times New Roman"/>
          <w:sz w:val="18"/>
          <w:szCs w:val="18"/>
          <w:color w:val="auto"/>
        </w:rPr>
        <w:t>The Company has paid a total of $25.1 million in debt issuance costs, $7,000 and $28.4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which were incurred during the three months ended March 31, 2024 and the year ended December 31, 2023, respectively, primarily related to the completion of the Term Loan Credit Agreement and Senior Credit Facility Agreement and amendments to the Prior Credit Agreement. Amortization based on the straight-line method over the terms of the Term Loan Credit Agreement, Senior Credit Facility Agreement, Prior Credit Agreement, 10.000% Senior Notes and 10.625% Senior Notes which approximates the effective interest method was $2.1 million and $2.7 million during the three months ended March 31, 2024 and 2023, respectively. In addition, the Company realized a total of $64.8 million in original issue discounts on the issuance of its Term Loan Credit Agreement, 10.000% Senior Notes and 10.625% Senior Notes that is being amortized over the life of the agreements which approximates the effective interest method and was $2.5 million and $4.3 million during the three months ended March 31, 2024 and 2023, respectively. All unamortized debt issuance costs and discounts as of the termination of the Prior Credit Agreement and redemption of the 10.000% Senior Notes and 10.625% Senior Notes during September 2023 were charged to expense and included in loss on extinguishment of debt in the year ended December 31, 2023. See Note 7 for more information. As of March 31, 2024 and December 31, 2023, the remaining net debt issuance costs and discounts related to the Term Loan Credit Agreement are netted against the outstanding long-term debt on the accompanying condensed consolidated balance sheets.</w:t>
      </w:r>
    </w:p>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retirement obligations. </w:t>
      </w:r>
      <w:r>
        <w:rPr>
          <w:rFonts w:ascii="Times New Roman" w:cs="Times New Roman" w:eastAsia="Times New Roman" w:hAnsi="Times New Roman"/>
          <w:sz w:val="18"/>
          <w:szCs w:val="18"/>
          <w:color w:val="auto"/>
        </w:rPr>
        <w:t>The Company records a liability for the fair value of an asset retirement obligation in the period in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asset is acquired or placed into service if a reasonable estimate of fair value can be made. Asset retirement obligations are generally capitalized as part of the carrying value of the long-lived asset to which it relates. Conditional asset retirement obligations meet the definition of liabilities and are recorded when incurred and when fair value can be reasonably estimated. See Note 8 for additional information.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follows FASB ASC 606, “Revenue from Contracts with Customers,” (“ASC 606”) whereby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recognizes revenues from the sales of crude oil, NGL and natural gas to its purchasers and presents them disaggregated on the Company’s condensed consolidated statements of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with purchasers to sell its crude oil, NGL and natural gas production. Revenue on these contracts is recognized in accordance with the five-step revenue recognition model prescribed in ASC 606. Specifically, revenue is recognized when the Company’s performance obligations under these contracts are satisfied, which generally occurs with the transfer of control of the crude oil and natural gas to the purchaser. Control is generally considered transferred when the following criteria are met: (i) transfer of physical custody, (ii) transfer of title, (iii) transfer of risk of loss and</w:t>
      </w:r>
    </w:p>
    <w:p>
      <w:pPr>
        <w:spacing w:after="0" w:line="3" w:lineRule="exact"/>
        <w:rPr>
          <w:sz w:val="20"/>
          <w:szCs w:val="20"/>
          <w:color w:val="auto"/>
        </w:rPr>
      </w:pPr>
    </w:p>
    <w:p>
      <w:pPr>
        <w:jc w:val="both"/>
        <w:ind w:firstLine="8"/>
        <w:spacing w:after="0" w:line="253" w:lineRule="auto"/>
        <w:tabs>
          <w:tab w:leader="none" w:pos="3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crude oil and natural gas marketing contracts is typically received from the purchaser one to two months after the date of sale. As of March 31, 2024 and December 31, 2023, the Company had receivables related to contracts with purchasers of approximately $99.4 million and $82.5 million, respectively.</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Crude Oil Contracts. </w:t>
      </w:r>
      <w:r>
        <w:rPr>
          <w:rFonts w:ascii="Times New Roman" w:cs="Times New Roman" w:eastAsia="Times New Roman" w:hAnsi="Times New Roman"/>
          <w:sz w:val="18"/>
          <w:szCs w:val="18"/>
          <w:color w:val="auto"/>
        </w:rPr>
        <w:t>The Company’s crude oil marketing contracts transfer physical custody and title at or near the wellhead, which is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control of the crude oil has been transferred to the purchaser. The crude oil produced is sold under contracts using market-based pricing which is then adjusted for the differentials based upon delivery location and crude oil quality. Since the differentials are incurred after the transfer of control of the crude oil, the differentials are included in crude oil sales on the condensed consolidated statements of operations as they represent part of the transaction price of the contract.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Natural Gas Contracts. </w:t>
      </w:r>
      <w:r>
        <w:rPr>
          <w:rFonts w:ascii="Times New Roman" w:cs="Times New Roman" w:eastAsia="Times New Roman" w:hAnsi="Times New Roman"/>
          <w:sz w:val="18"/>
          <w:szCs w:val="18"/>
          <w:color w:val="auto"/>
        </w:rPr>
        <w:t>The majority of the Company’s natural gas is sold at the lease location, which is generally when control of the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transferred to the purchaser. The natural gas is sold under (i) percentage of proceeds processing contracts or (ii) a hybrid of percentage of proceeds and fee-based contracts. Under the majority of the Company’s contracts, the purchaser gathers the natural gas in the field where it is produced and transports it to natural gas processing plants where NGL products are extracted. The NGL products and remaining residue natural gas are then sold by the purchaser. Under percentage of proceeds and hybrid percentage of proceeds and fee-based contracts, the Company receives a percentage of the value for the extracted liquids and the residue natural gas. Since control of the natural gas transfers upstream of the transportation and processing activities, revenue is recognized as the net amount received from the purchaser.</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w:t>
      </w:r>
      <w:r>
        <w:rPr>
          <w:rFonts w:ascii="Times New Roman" w:cs="Times New Roman" w:eastAsia="Times New Roman" w:hAnsi="Times New Roman"/>
          <w:sz w:val="18"/>
          <w:szCs w:val="18"/>
          <w:color w:val="auto"/>
        </w:rPr>
        <w:t>All the Company’s derivatives are accounted for as non-hedge derivatives and are recorded at estimated fair value in the condensed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balance sheets. All changes in the fair values of its derivative contracts are recorded as gains or losses in the earnings of the periods in which they occur. The Company enters into derivatives under master netting arrangements, which, in an event of default, allows the Company to offset payables to and receivables from the defaulting counterparty. The Company classifies the fair value amounts of derivative assets and liabilities executed under master netting arrangements as net current or noncurrent derivative assets or net current or noncurrent derivative liabilities, whichever the case may be, by commodity and counterparty.</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credit risk related to derivatives is a counterparties’ failure to perform under derivative contracts owed to the Company. 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International Swap Dealers Association Master Agreements (“ISDA Agreements”) with each of its derivative counterparties. The terms of the ISDA Agreements provide the Company and the counterparties with rights of set off upon the occurrence of defined acts of default by either the Company or a counterparty to a derivative, whereby the party not in default may set off all derivative liabilities owed to the defaulting party against all derivative asset receivables from the defaulting party. See Note 5 for additional information.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The provision for income taxes is determined using the asset and liability approach of accounting for income taxes. Under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 deferred income taxes reflect the net tax effects of temporary differences between the carrying amounts of assets and liabilities for financial reporting purposes and the carrying amounts for income tax purposes and net operating loss and tax credit carryforwards. The amount of deferred taxes on these temporary differences is determined using the tax rates that are expected to apply to the period when the asset is realized or the liability is settled, as applicable, based on tax rates and laws in the respective tax jurisdiction enacted as of the balance sheet date.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its deferred tax assets for recoverability and establishes a valuation allowance based on projected future taxable income, applicable tax strategies and the expected timing of the reversals of existing temporary differences. A valuation allowance is provided when it is more likely than not (likelihood of greater than 50 percent) that some portion or all the deferred tax assets will not be realized. The Company has not established a valuation allowance as of March 31, 2024 or December 31, 2023.</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Tax benefits from an uncertain tax positions are recognized only if it is more likely than not that the tax position will be sustained upon examination by the taxing authorities, based upon the technical merits of the position. If all or a portion of the unrecognized tax benefit is sustained upon examination by the taxing authorities, the tax benefit will be recognized as a reduction to the Company’s deferred tax liability and will affect the Company’s effective tax rate in the period it is recognized. See Note 13 for additional information.</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7" w:name="page18"/>
    <w:bookmarkEnd w:id="1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Tax-related interest charges are recorded as interest expense and any tax-related penalties as other expense in the condensed consolidated statements of operations of which there have been none to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also subject to Texas Margin Tax. The Company realized $223,000 and zero in current Texas Margin Tax during the three months ended March 31, 2024 and 2023, respectively, in the accompanying condensed consolidated financial statements.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Stock-based compensation expense for stock option awards is measured at the grant date or modification date,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using the fair value of the award, and is recorded, net of forfeitures, on a straight-line basis over the requisite service period of the respective award. The fair value of stock option awards is determined on the grant date or modification date, as applicable, using a Black-Scholes option valuation model with the following inputs; (i) the grant date’s closing stock price, (ii) the exercise price of the stock options, (iii) the expected term of the stock option, (iv) the estimated risk-free adjusted interest rate for the duration of the option’s expected term, (v) the expected annual dividend yield on the underlying stock and (vi) the expected volatility over the option’s expected term.</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for restricted stock awarded to outside directors, employee members of the Board and certain other employees is measured at the grant date using the fair value of the award and is recognized on a straight-line basis over the requisite service period of the respective award.</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Segments. </w:t>
      </w:r>
      <w:r>
        <w:rPr>
          <w:rFonts w:ascii="Times New Roman" w:cs="Times New Roman" w:eastAsia="Times New Roman" w:hAnsi="Times New Roman"/>
          <w:sz w:val="18"/>
          <w:szCs w:val="18"/>
          <w:color w:val="auto"/>
        </w:rPr>
        <w:t>Based on the Company’s organizational structure, the Company has one operating segment, which is crude oil and natural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exploration and production. In addition, the Company has a single, company-wide management team that allocates capital resources to maximize profitability and measures financial performance as a single enterprise.</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Recently adopted accounting pronouncements. </w:t>
      </w:r>
      <w:r>
        <w:rPr>
          <w:rFonts w:ascii="Times New Roman" w:cs="Times New Roman" w:eastAsia="Times New Roman" w:hAnsi="Times New Roman"/>
          <w:sz w:val="18"/>
          <w:szCs w:val="18"/>
          <w:color w:val="auto"/>
        </w:rPr>
        <w:t>In June 2016, the FASB issued ASU 2016-13, “Financial Instruments – Credit Losses”.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update affects entities holding financial assets and net investment in leases that are not accounted for at fair value through net income. The amendments affect loans, debt securities, trade receivables, net investment in leases, off-balance sheet credit exposures, reinsurance receivables, and any other financial assets not excluded from the scope that have the contractual right to receive cash. The Company adopted this update effective January 1, 2023. The adoption of this update did not have a material impact on the Company’s financial position, results of operations or liquidity since it does not have a history of credit losses.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pronouncements not yet adopted. </w:t>
      </w:r>
      <w:r>
        <w:rPr>
          <w:rFonts w:ascii="Times New Roman" w:cs="Times New Roman" w:eastAsia="Times New Roman" w:hAnsi="Times New Roman"/>
          <w:sz w:val="18"/>
          <w:szCs w:val="18"/>
          <w:color w:val="auto"/>
        </w:rPr>
        <w:t>In December 2023, the FASB issued ASU 2023-09, “Income Taxes (Topic 740):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Improvements to Income Tax Disclosures,” which enhances the transparency and decision usefulness of income tax disclosures. The amendments address more transparency about income tax information through improvements to income tax disclosures primarily related to the rate reconciliation and income taxes paid information. The ASU also includes certain other amendments to improve the effectiveness of income tax disclosures. The amendments in this ASU are effective for public business entities for annual periods beginning after December 15, 2024 on a prospective basis. The Company is currently evaluating the impact of this standard on its disclosures.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ASU updates reportable segment disclosure requirements, primarily through enhanced disclosures about significant segment expenses and information used to assess segment performance. The amendments in this ASU are effective for public entities for fiscal years beginning after December 15, 2023 and interim periods within fiscal years beginning after December 15, 2024. The Company is currently evaluating the impact of this standard on its disclosures.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March 2024, the SEC adopted new climate rules that require a wide range of climate-related disclosures, including material climate-related risks, information on climate-related targets or goals that are material to the registrant’s business, results of operations or financial condition, Scope 1 and Scope 2 greenhouse gas emissions on a phased-in basis by large accelerated filers and accelerated filers when those emissions are material and the filing of an attestation report covering the same, and disclosure of the financial statement effects of severe weather events and other natural conditions including costs and losses. Compliance dates under the final rule are phased in by registrant category. Multiple lawsuits have been filed challenging the SEC’s new climate rules, which have been consolidated and will be heard in the U.S. Court of Appeals for the Eighth Circuit. In April 2024, the SEC issued an order staying the final rules until judicial review is complete. The Company is currently evaluating the impact of the final rules on its disclosures.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the impact of all ASUs. ASUs were assessed and determined to be either not applicable, the effects of adoption are not expected to be material or are clarifications of ASUs previously disclosed.</w:t>
      </w:r>
    </w:p>
    <w:p>
      <w:pPr>
        <w:spacing w:after="0" w:line="16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incurred a total of $2.2 million and $5.5 million, respectively, in acquisition costs primarily to acquire crude oil and natural gas leases largely contiguous to its Flat Top and Signal Peak operating areas.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determines fair value based on the price that would be received from selling an asset or paid to transfer a liability in an orderly transaction between market participants at the measurement date. Fair value measurements are based upon inputs that market participants use in pricing an asset or liability, which are characterized according to a hierarchy that prioritizes those inputs based on the degree to which they are observable. Observable inputs represent market data obtained from independent sources, whereas unobservable inputs reflect a company’s own market assumptions, which are used if observable inputs are not reasonably available without undue cost and effort. The fair value input hierarchy level to which an asset or liability measurement in its entirety falls is determined based on the lowest level input that is significant to the measurement in its entirety.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 input levels of the fair value hierarchy are as follows:</w:t>
      </w:r>
    </w:p>
    <w:p>
      <w:pPr>
        <w:spacing w:after="0" w:line="225" w:lineRule="exact"/>
        <w:rPr>
          <w:sz w:val="20"/>
          <w:szCs w:val="20"/>
          <w:color w:val="auto"/>
        </w:rPr>
      </w:pPr>
    </w:p>
    <w:p>
      <w:pPr>
        <w:ind w:left="580" w:hanging="235"/>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assets or liabilities in active markets.</w:t>
      </w:r>
    </w:p>
    <w:p>
      <w:pPr>
        <w:spacing w:after="0" w:line="27" w:lineRule="exact"/>
        <w:rPr>
          <w:rFonts w:ascii="Times New Roman" w:cs="Times New Roman" w:eastAsia="Times New Roman" w:hAnsi="Times New Roman"/>
          <w:sz w:val="18"/>
          <w:szCs w:val="18"/>
          <w:color w:val="auto"/>
        </w:rPr>
      </w:pPr>
    </w:p>
    <w:p>
      <w:pPr>
        <w:jc w:val="both"/>
        <w:ind w:left="580" w:hanging="235"/>
        <w:spacing w:after="0" w:line="250"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assets or liabilities in active markets; quoted prices for identical assets or liabilities in markets that are not active; inputs other than quoted prices that are observable for the asset or liability (e.g., interest rates) and inputs derived principally from or corroborated by observable market data by correlation or other means.</w:t>
      </w:r>
    </w:p>
    <w:p>
      <w:pPr>
        <w:spacing w:after="0" w:line="1" w:lineRule="exact"/>
        <w:rPr>
          <w:rFonts w:ascii="Times New Roman" w:cs="Times New Roman" w:eastAsia="Times New Roman" w:hAnsi="Times New Roman"/>
          <w:sz w:val="18"/>
          <w:szCs w:val="18"/>
          <w:color w:val="auto"/>
        </w:rPr>
      </w:pPr>
    </w:p>
    <w:p>
      <w:pPr>
        <w:jc w:val="both"/>
        <w:ind w:left="580" w:hanging="235"/>
        <w:spacing w:after="0" w:line="260"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typically reflecting management’s estimate of assumptions that market participants would use in pricing the asset or liability. The fair values are therefore, determined using model-based techniques, including discounted cash flow models.</w:t>
      </w:r>
    </w:p>
    <w:p>
      <w:pPr>
        <w:spacing w:after="0" w:line="177"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and liabilities measured at fair value on a recurring basis. </w:t>
      </w:r>
      <w:r>
        <w:rPr>
          <w:rFonts w:ascii="Times New Roman" w:cs="Times New Roman" w:eastAsia="Times New Roman" w:hAnsi="Times New Roman"/>
          <w:sz w:val="18"/>
          <w:szCs w:val="18"/>
          <w:color w:val="auto"/>
        </w:rPr>
        <w:t>Assets and liabilities measured at fair value on a recurring basis as of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2024 and December 31, 2023 are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92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in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for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2,639</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1,380</w:t>
            </w: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4,019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4,019</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16,440</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1,054</w:t>
            </w: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17,494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17,494</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recurring fair value measurements, net</w:t>
            </w:r>
          </w:p>
        </w:tc>
        <w:tc>
          <w:tcPr>
            <w:tcW w:w="92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(13,475)</w:t>
            </w:r>
          </w:p>
        </w:tc>
      </w:tr>
      <w:tr>
        <w:trPr>
          <w:trHeight w:val="413"/>
        </w:trPr>
        <w:tc>
          <w:tcPr>
            <w:tcW w:w="598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115"/>
        </w:trPr>
        <w:tc>
          <w:tcPr>
            <w:tcW w:w="59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92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in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for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31,480</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16,059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16,059</w:t>
            </w: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47,539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47,539</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13,054</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13,119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13,119</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recurring fair value measurements, net</w:t>
            </w:r>
          </w:p>
        </w:tc>
        <w:tc>
          <w:tcPr>
            <w:tcW w:w="92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34,420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Commodity price derivatives. </w:t>
      </w:r>
      <w:r>
        <w:rPr>
          <w:rFonts w:ascii="Times New Roman" w:cs="Times New Roman" w:eastAsia="Times New Roman" w:hAnsi="Times New Roman"/>
          <w:sz w:val="18"/>
          <w:szCs w:val="18"/>
          <w:color w:val="auto"/>
        </w:rPr>
        <w:t>The Company’s commodity price derivatives are currently made up of crude oil swap contracts, enhanced collars,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premium put options and basis swaps. The Company measures derivatives using an industry-standard pricing model that is provided by the counterparties. The inputs utilized in the third-party discounted cash flow and option-pricing models for valuing commodity price derivatives include forward prices for crude oil, contracted volumes, volatility factors and time to maturity, which are considered Level 2 inputs.</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and liabilities measured at fair value on a nonrecurring basis. </w:t>
      </w:r>
      <w:r>
        <w:rPr>
          <w:rFonts w:ascii="Times New Roman" w:cs="Times New Roman" w:eastAsia="Times New Roman" w:hAnsi="Times New Roman"/>
          <w:sz w:val="18"/>
          <w:szCs w:val="18"/>
          <w:color w:val="auto"/>
        </w:rPr>
        <w:t>Certain assets and liabilities are measured at fair value on a nonrecurring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These assets and liabilities are not measured at fair value on an ongoing basis but are subject to fair value adjustments in certain circumstances. Specifically, (i) stock-based compensation is measured at fair value on the date of grant based on Level 1 inputs for restricted stock awards or Level 2 inputs for stock option awards based upon market data, (ii) the estimates and fair value measurements used for the evaluation of proved property for potential impairment using Level 3 inputs based upon market conditions in the area and (iii) asset retirement obligations are measured at estimated fair value on the date the liabilities are incurred using Level 3 inputs based on expected future costs to retire the assets, market conditions and estimated lives of the assets. The Company assesses the recoverability of the carrying amount of certain assets and liabilities whenever events or changes in circumstances indicate the carrying amount of an asset or liability may not be recoverable. These assets and liabilities can include inventories, proved and unproved crude oil and natural gas properties and other long-lived assets that are written down to fair value when they are impaired or held for sale. The Company did not record any impairments to proved or unproved crude oil and natural gas properties for the periods presented in the accompanying condensed consolidated financial statements.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not carried at fair value. </w:t>
      </w:r>
      <w:r>
        <w:rPr>
          <w:rFonts w:ascii="Times New Roman" w:cs="Times New Roman" w:eastAsia="Times New Roman" w:hAnsi="Times New Roman"/>
          <w:sz w:val="18"/>
          <w:szCs w:val="18"/>
          <w:color w:val="auto"/>
        </w:rPr>
        <w:t>As of March 31, 2024 and December 31, 2023, the Company had no financial instruments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not carried at fair value in the consolidating balance sheets. The Company has other financial instruments consisting primarily of cash and cash equivalents, accounts receivable, accounts payable, long-term debt (specifically the Term Loan Credit Agreement and Senior Credit Facility Agreement), and other current assets and liabilities that approximate fair value due to the nature of the instrument and their relatively short maturities.</w:t>
      </w:r>
    </w:p>
    <w:p>
      <w:pPr>
        <w:spacing w:after="0" w:line="18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5. Derivative Financial Instruments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primarily utilizes commodity swap contracts, deferred premium put options and enhanced collars to (i) reduce the effect of price volatility on the commodities the Company produces and sells, (ii) support the Company’s capital budgeting and expenditure plans, (iii) protect the Company’s commitments under the Term Loan Credit Agreement and Senior Credit Facility Agreement and (iv) support the payment of contractual obligations.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derivative instruments on the Company’s condensed consolidated statements of operations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20" w:type="dxa"/>
            <w:vAlign w:val="bottom"/>
            <w:tcBorders>
              <w:bottom w:val="single" w:sz="8" w:color="auto"/>
            </w:tcBorders>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gain (loss) on derivative instruments, net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(47,895)</w:t>
            </w:r>
          </w:p>
        </w:tc>
        <w:tc>
          <w:tcPr>
            <w:tcW w:w="10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paid on settlement of derivative instruments, net</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(53,043)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3,120</w:t>
            </w:r>
          </w:p>
        </w:tc>
      </w:tr>
    </w:tbl>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production derivatives. </w:t>
      </w:r>
      <w:r>
        <w:rPr>
          <w:rFonts w:ascii="Times New Roman" w:cs="Times New Roman" w:eastAsia="Times New Roman" w:hAnsi="Times New Roman"/>
          <w:sz w:val="18"/>
          <w:szCs w:val="18"/>
          <w:color w:val="auto"/>
        </w:rPr>
        <w:t>The Company sells its crude oil production at the lease and the sales contracts governing such crude oil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are tied directly to, or are correlated with, NYMEX WTI Cushing and Argus WTI Midland crude oil prices. As such, the Company primarily uses NYMEX WTI Cushing derivative contracts as well as Argus WTI Midland basis swaps to manage future crude oil price volatility. The Argus WTI Midland basis differential represents the amount of premium to NYMEX WTI Cushing.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outstanding NYMEX WTI Cushing and Argus WTI Midland crude oil derivative instruments as of March 31, 2024 and the weighted average crude oil prices and premiums payable per barrel for those contracts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7"/>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Enhanced Collars &amp; Deferred</w:t>
            </w:r>
          </w:p>
        </w:tc>
      </w:tr>
      <w:tr>
        <w:trPr>
          <w:trHeight w:val="238"/>
        </w:trPr>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Swaps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Premium Puts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7"/>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Floor or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Deferred</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Strike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Ceiling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Premium</w:t>
            </w: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Type of</w:t>
            </w:r>
          </w:p>
        </w:tc>
        <w:tc>
          <w:tcPr>
            <w:tcW w:w="12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20" w:type="dxa"/>
            <w:vAlign w:val="bottom"/>
          </w:tcPr>
          <w:p>
            <w:pPr>
              <w:spacing w:after="0"/>
              <w:rPr>
                <w:sz w:val="18"/>
                <w:szCs w:val="18"/>
                <w:color w:val="auto"/>
              </w:rPr>
            </w:pPr>
          </w:p>
        </w:tc>
        <w:tc>
          <w:tcPr>
            <w:tcW w:w="11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Payable per</w:t>
            </w:r>
          </w:p>
        </w:tc>
      </w:tr>
      <w:tr>
        <w:trPr>
          <w:trHeight w:val="238"/>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20" w:type="dxa"/>
            <w:vAlign w:val="bottom"/>
          </w:tcPr>
          <w:p>
            <w:pPr>
              <w:spacing w:after="0"/>
              <w:rPr>
                <w:sz w:val="20"/>
                <w:szCs w:val="20"/>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Day</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Bbl</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Bbl</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Bbl</w:t>
            </w:r>
          </w:p>
        </w:tc>
      </w:tr>
      <w:tr>
        <w:trPr>
          <w:trHeight w:val="210"/>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69.73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0.61</w:t>
            </w:r>
          </w:p>
        </w:tc>
      </w:tr>
      <w:tr>
        <w:trPr>
          <w:trHeight w:val="216"/>
        </w:trPr>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70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28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14,000</w:t>
            </w:r>
          </w:p>
        </w:tc>
        <w:tc>
          <w:tcPr>
            <w:tcW w:w="12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60.41</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0.85</w:t>
            </w:r>
          </w:p>
        </w:tc>
      </w:tr>
      <w:tr>
        <w:trPr>
          <w:trHeight w:val="216"/>
        </w:trPr>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70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28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14,000</w:t>
            </w:r>
          </w:p>
        </w:tc>
        <w:tc>
          <w:tcPr>
            <w:tcW w:w="12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60.41</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76.37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10,600</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65.68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70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28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76.37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7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 – Jun</w:t>
            </w:r>
          </w:p>
        </w:tc>
        <w:tc>
          <w:tcPr>
            <w:tcW w:w="70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28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75.85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7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uses credit and other financial criteria to evaluate the credit standings of, and to select, counterparties to its derivative financial instruments. Although the Company does not obtain collateral or otherwise secure the fair value of its derivative financial instruments, associated credit risk is mitigated by the Company’s credit risk policies and procedures.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Net derivative liabilities associated with the Company’s open commodity derivative instruments by counterparty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16"/>
        </w:trPr>
        <w:tc>
          <w:tcPr>
            <w:tcW w:w="6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63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Macquarie Bank Limited</w:t>
            </w:r>
          </w:p>
        </w:tc>
        <w:tc>
          <w:tcPr>
            <w:tcW w:w="3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Mercuria Energy Trading SA</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Fifth Third Bank, National Association</w:t>
            </w:r>
          </w:p>
        </w:tc>
        <w:tc>
          <w:tcPr>
            <w:tcW w:w="3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r>
      <w:tr>
        <w:trPr>
          <w:trHeight w:val="250"/>
        </w:trPr>
        <w:tc>
          <w:tcPr>
            <w:tcW w:w="630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(13,475)</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Exploratory/Extension Well Costs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capitalizes exploratory/extension wells and project costs until a determination is made that the well or project has either found proved reserves, is impaired or is sold. The Company’s capitalized exploratory/extension well and project costs are included in proved properties in the condensed consolidated balance sheets. If the exploratory/extension well or project is determined to be impaired, the impaired costs are charged to exploration and abandonments expense.</w:t>
      </w:r>
    </w:p>
    <w:p>
      <w:pPr>
        <w:sectPr>
          <w:pgSz w:w="11900" w:h="16838" w:orient="portrait"/>
          <w:cols w:equalWidth="0" w:num="1">
            <w:col w:w="11240"/>
          </w:cols>
          <w:pgMar w:left="320" w:top="580" w:right="339" w:bottom="1440" w:gutter="0" w:footer="0" w:header="0"/>
        </w:sectPr>
      </w:pP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capitalized exploratory/extension well costs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capitalized exploratory/extension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Additions to exploratory/extension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Reclassification to proved properties</w:t>
      </w:r>
    </w:p>
    <w:p>
      <w:pPr>
        <w:spacing w:after="0" w:line="9" w:lineRule="exact"/>
        <w:rPr>
          <w:sz w:val="20"/>
          <w:szCs w:val="20"/>
          <w:color w:val="auto"/>
        </w:rPr>
      </w:pPr>
    </w:p>
    <w:p>
      <w:pPr>
        <w:ind w:right="2900" w:firstLine="486"/>
        <w:spacing w:after="0" w:line="323" w:lineRule="auto"/>
        <w:rPr>
          <w:sz w:val="20"/>
          <w:szCs w:val="20"/>
          <w:color w:val="auto"/>
        </w:rPr>
      </w:pPr>
      <w:r>
        <w:rPr>
          <w:rFonts w:ascii="Times New Roman" w:cs="Times New Roman" w:eastAsia="Times New Roman" w:hAnsi="Times New Roman"/>
          <w:sz w:val="18"/>
          <w:szCs w:val="18"/>
          <w:color w:val="auto"/>
        </w:rPr>
        <w:t>Exploratory/extension well costs charged to exploration and abandonment expense Ending capitalized exploratory/extension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All capitalized exploratory/extension well costs have been capitalized for less than one year based on the date of drilling.</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long-term debt, including the effects of debt issuance costs, are as follows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960" w:hanging="953"/>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40,888</w:t>
      </w:r>
    </w:p>
    <w:p>
      <w:pPr>
        <w:spacing w:after="0" w:line="22"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25,818</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(41,299)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960" w:hanging="953"/>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25,178</w:t>
      </w:r>
    </w:p>
    <w:p>
      <w:pPr>
        <w:spacing w:after="0" w:line="1990" w:lineRule="exact"/>
        <w:rPr>
          <w:sz w:val="20"/>
          <w:szCs w:val="20"/>
          <w:color w:val="auto"/>
        </w:rPr>
      </w:pPr>
    </w:p>
    <w:p>
      <w:pPr>
        <w:sectPr>
          <w:pgSz w:w="11900" w:h="16838" w:orient="portrait"/>
          <w:cols w:equalWidth="0" w:num="2">
            <w:col w:w="9360" w:space="320"/>
            <w:col w:w="1560"/>
          </w:cols>
          <w:pgMar w:left="320" w:top="580" w:right="3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Credit Agreement due 2026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Senior Credit Facility Agreement due 2026</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Discounts, net (a)</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 net (b)</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(22,639)</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1,124,798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1,150,299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1,004,798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1,030,299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ind w:left="640" w:right="20" w:hanging="308"/>
        <w:spacing w:after="0" w:line="261"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as of March 31, 2024 and December 31, 2023 consisted of $30.0 million in discounts less accumulated amortization of $5.4 million and $2.9 million, respectively.</w:t>
      </w:r>
    </w:p>
    <w:p>
      <w:pPr>
        <w:ind w:left="660" w:hanging="328"/>
        <w:spacing w:after="0" w:line="26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issuance costs as of March 31, 2024 and December 31, 2023 consisted of $25.1 million and $25.0 million, respectively, in costs less accumulated amortization of $4.5 million and $2.4 million, respectively.</w:t>
      </w:r>
    </w:p>
    <w:p>
      <w:pPr>
        <w:spacing w:after="0" w:line="181"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2" w:name="page23"/>
    <w:bookmarkEnd w:id="22"/>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 Loan Credit Agreement. </w:t>
      </w:r>
      <w:r>
        <w:rPr>
          <w:rFonts w:ascii="Times New Roman" w:cs="Times New Roman" w:eastAsia="Times New Roman" w:hAnsi="Times New Roman"/>
          <w:sz w:val="18"/>
          <w:szCs w:val="18"/>
          <w:color w:val="auto"/>
        </w:rPr>
        <w:t>On September 12, 2023, the Company entered into a Term Loan Credit Agreement with Texas Capital Bank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(“Texas Capital”) as the administrative agent and Chambers Energy Management, LP (“Chambers”) as collateral agent and lenders from time-to-time party thereto to establish a term loan (“Term Loan Credit Agreement”) totaling $1.2 billion in borrowings, less a 2.5% original issue discount of $30.0 million at closing and customary debt issuance costs which totaled approximately $24.0 million. The Term Loan Credit Agreement matures on September 30, 2026. Loans under the Term Loan Credit Agreement bear interest at a rate per annum equal to the Adjusted Term SOFR (as defined in the Term Loan Credit Agreement) plus an applicable margin of 7.50%. To the extent that a payment default exists and is continuing, at the election of the Required Lenders (as defined in the Term Loan Credit Agreement) under the Term Loan Credit Agreement, all amounts outstanding under the Term Loan Credit Agreement will bear interest at 2.00% per annum above the rate and margin otherwise applicable thereto. The Company is able to repay any amounts borrowed prior to the maturity date, subject to a concurrent payment of (i) the Make-Whole Amount (as defined in the Term Loan Credit Agreement) for any optional prepayment prior to the date 18 months after the closing date, (ii) 1.00% of the principal amount being repaid for any optional prepayment on or after the date 18 months after the closing date but prior to the date 24 months after the closing date and (iii) without any premium for any optional prepayment on or after the date that is 24 months after the closing date. The Term Loan Credit Agreement is guaranteed by the Company and certain of its subsidiaries and is secured by a first lien security interest in substantially all assets of the Company and certain of its subsidiaries.</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Term Loan Credit Agreement also contains certain financial covenants, including (i) an asset coverage ratio that may not be less than 1.50 to 1.00 and (ii) a total net leverage ratio that may not exceed 2.00 to 1.00. Additionally, the Term Loan Credit Agreement contains additional restrictive covenants that limit the ability of the Company and its restricted subsidiaries to, among other things, incur additional indebtedness (with such exceptions including, among other things, a super priority revolving credit facility limited to $100 million), incur additional liens, make investments and loans, enter into mergers and acquisitions, materially increase dividends and other payments, enter into certain hedging transactions, sell assets, engage in transactions with affiliates and make certain capital expenditures based on the Company’s total net leverage ratio.</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Term Loan Credit Agreement contains customary mandatory prepayments, including quarterly installments of $30.0 million in aggregate principal amount which began March 31, 2024, the prepayment of gross proceeds from an incurred indebtedness other than Permitted Indebtedness (as defined in the Term Loan Credit Agreement), the prepayment of net cash proceeds for asset sales and hedge terminations in excess of $20.0 million within one calendar year, and prepayments of Excess Cash Flow (as defined in the Term Loan Credit Agreement) which began with the fiscal quarter ending March 31, 2024. In addition, the Term Loan Credit Agreement is subject to customary events of default, including a change in control. If an event of default occurs and is continuing, the collateral agent or the majority lenders may accelerate any amounts outstanding and terminate lender commitments.</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Collateral Agency Agreement. </w:t>
      </w:r>
      <w:r>
        <w:rPr>
          <w:rFonts w:ascii="Times New Roman" w:cs="Times New Roman" w:eastAsia="Times New Roman" w:hAnsi="Times New Roman"/>
          <w:sz w:val="18"/>
          <w:szCs w:val="18"/>
          <w:color w:val="auto"/>
        </w:rPr>
        <w:t>On September 12, 2023, the Company entered into a collateral agency agreement (the “Collateral Agency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among the Company, Texas Capital, as collateral agent, Chambers, as term representative, and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Collateral Agency Agreement provides for the appointment of Texas Capital, as collateral agent, for the present and future holders of the first lien obligations (including the obligations of the Company and certain of its subsidiaries under the Term Loan Credit Agreement) to receive, hold, administer and distribute the collateral that is at any time delivered to Texas Capital or the subject of the Security Documents (as defined in the Collateral Agency Agreement) and to enforce the Security Documents and all interests, rights, powers and remedies of Texas Capital with respect thereto or thereunder and the proceeds thereof.</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Credit Facility Agreement. </w:t>
      </w:r>
      <w:r>
        <w:rPr>
          <w:rFonts w:ascii="Times New Roman" w:cs="Times New Roman" w:eastAsia="Times New Roman" w:hAnsi="Times New Roman"/>
          <w:sz w:val="18"/>
          <w:szCs w:val="18"/>
          <w:color w:val="auto"/>
        </w:rPr>
        <w:t>On November 1, 2023, the Company entered into a credit agreement with Fifth Third Bank, 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(“Fifth Third”) as the administrative agent and as the collateral agent and a number of banks included in the syndicate to establish a senior revolving credit facility (“Senior Credit Facility Agreement”) that matures on September 30, 2026. The Senior Credit Facility Agreement has aggregate maximum commitments of $100.0 million and effective March 29, 2024 pursuant to the First Amendment, current commitments of $100.0 million. Loans under the Senior Credit Facility Agreement bear interest at either the Adjusted Term SOFR (as defined in the Senior Credit Facility Agreement) or the Base Rate (as defined in the Senior Credit Facility Agreement) at the Company’s option, plus an applicable margin ranging (i) for Adjusted Term SOFR loans, from 4.00% to 5.00%, and (ii) for Base Rate loans, from 3.00% to 4.00%, in each case calculated based on the ratio at such time of the outstanding principal loan amounts to the aggregate amount of lenders’ commitments. To the extent that a payment default exists and is continuing, at the election of the Required Lenders (as defined in the Senior Credit Facility Agreement) under the Senior Credit Facility Agreement, all amounts outstanding under the Senior Credit Facility Agreement will bear interest at 2.00% per annum above the rate and margin otherwise applicable thereto. The Company is able to repay any amounts borrowed prior to the maturity date without premium or penalty. The Senior Credit Facility Agreement is guaranteed by the Company and certain of its subsidiaries and is secured by a first lien security interest in substantially all assets of the Company and certain of its subsidiaries.</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Prior Credit Agreement</w:t>
      </w:r>
      <w:r>
        <w:rPr>
          <w:rFonts w:ascii="Times New Roman" w:cs="Times New Roman" w:eastAsia="Times New Roman" w:hAnsi="Times New Roman"/>
          <w:sz w:val="18"/>
          <w:szCs w:val="18"/>
          <w:color w:val="auto"/>
        </w:rPr>
        <w:t>. In December 2020, the Company entered into a Credit Agreement with Fifth Third as the administrative agent and sole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lender to establish a revolving credit facility (the “Prior Credit Agreement”) that was set to mature on June 17, 2024. In March 2023, the Company entered into the Eighth Amendment to, among other things, (a) increase the borrowing base to $700.0 million, (b) add an aggregate elected commitments concept at an initial amount of $575.0 million, (c) provide that the applicable margin shall be determined in reference to such aggregate elected commitments (as opposed to being determined in reference to the borrowing base before giving effect to the Eighth Amendment), (d) modify the permitted dividends and distributions conditions such that minimum availability under the credit facility must be 25% of such aggregate elected commitments (as opposed to the borrowing base before giving effect to the Eighth Amendment), (e) permit quarterly dividends and distributions in an amount not to exceed $4.0 million provided that there is no default and that after giving effect thereto and any concurrent borrowing, the Company is in pro forma compliance with its financial covenants, (f) require the Company, on or before June 30, 2023, to redeem or refinance the 10.000% Senior Notes, allocate a portion of its cash flow that will retire the 10.000% Senior Notes on or before November 30, 2023 or amend the terms of the 10.000% Senior Notes to extend the scheduled repayment thereof to no earlier than February 15, 2025, (g) permit the redemption of Specified Additional Debt (defined in the Prior Credit Agreement to mean any unsecured senior, senior subordinated or subordinated Debt of the Borrower incurred after the Effective Date and any refinancing of such Debt, including without limitation, the 10.000% Senior Notes; provided that any such Debt may be refinanced only to the extent that the aggregate principal amount of such refinanced Debt does not result in an increase in the principal amount thereof plus amounts to fund any original issue discount or upfront fees relating thereto plus amounts to fund accrued interest, fees, expenses and premiums, with all Capitalized terms defined in such Prior Credit Agreement) with the proceeds of Loans if pre-approved by all Lenders provided that there is no default and that after giving effect thereto, the Company is in pro forma compliance with its financial covenants and (h) add Texas Capital Bank as a Lender.</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July 2023, the Company entered into the Ninth Amendment to, among other things, provide for (i) a waiver of the minimum current ratio covenant for the fiscal quarter ended June 30, 2023 under the Prior Credit Agreement, (ii) a waiver of the failure to subject one or more certain accounts to an Account Control Agreement within the period provided in the Prior Credit Agreement, (iii) a postponement of the April 2023 borrowing base redetermination until September 2023, (iv) a postponement of the date on which the Company was previously obligated thereunder to either extend the maturity of the 10.000% Senior Notes due February 2024, redeem or refinance the 10.000% Senior Notes or allocate a portion of the Company’s cash flow satisfactory to the Administrative Agent and the Majority Lenders that will retire the 10.000% Senior Notes on or before November 30, 2023 to September 1, 2023 or such later date as agreed to in writing by the Majority Lenders in their reasonable discretion, (v) certain pricing increases and additional minimum hedging requirements, (vi) an additional requirement to deliver a 13-week cash flow forecast on a weekly basis through completion of the September 2023 borrowing base redetermination and (vii) a temporary restriction on borrowing further amounts under the Prior Credit Agreement until the Company has received at least $95 million of net proceeds from the sales of the Company’s equity securities, which has been subsequently satisfied and the restriction no longer applies.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the aforementioned Term Loan Credit Agreement, the Prior Credit Agreement was terminated, all outstanding obligations for principal, interest and fees were paid off in full, and all liens securing such obligations and guarantees of such obligations and securing any letter of credit or hedging obligations (other than those novated pursuant to the terms of the Term Loan Credit Agreement) permitted by the Prior Credit Agreement to be secured by such liens were released. In addition, unamortized debt issuance costs as of the termination date of $2.7 million were charged to expense and included in loss on extinguishment of debt during the third quarter of 2023.</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10.000% Senior Notes. </w:t>
      </w:r>
      <w:r>
        <w:rPr>
          <w:rFonts w:ascii="Times New Roman" w:cs="Times New Roman" w:eastAsia="Times New Roman" w:hAnsi="Times New Roman"/>
          <w:sz w:val="18"/>
          <w:szCs w:val="18"/>
          <w:color w:val="auto"/>
        </w:rPr>
        <w:t>In February 2022, the Company issued $225.0 million aggregate principal amount of its 10.000% Senior Notes due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(“10.000% Senior Notes”), which were set to mature on February 15, 2024. The Company received proceeds of $202.9 million, net of $22.1 million of issuance costs and discounts. The net proceeds were used to pay down the balance of the Prior Credit Agreement to zero at closing and to fund our ongoing capital development program with subsequent draws on the Prior Credit Agreement. Interest on the 10.000% Senior Notes was payable on February 15 and August 15 of each year. In connection with the aforementioned Term Loan Credit Agreement, the 10.000% Senior Notes were redeemed at a redemption price of 100% of the principal amount thereof plus accrued and unpaid interest and fees. In addition, unamortized discounts and debt issuance costs as of the redemption date of $3.2 million and $1.5 million, respectively, were charged to expense and included in loss on extinguishment of debt during the third quarter of 2023.</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10.625% Senior Notes. </w:t>
      </w:r>
      <w:r>
        <w:rPr>
          <w:rFonts w:ascii="Times New Roman" w:cs="Times New Roman" w:eastAsia="Times New Roman" w:hAnsi="Times New Roman"/>
          <w:sz w:val="18"/>
          <w:szCs w:val="18"/>
          <w:color w:val="auto"/>
        </w:rPr>
        <w:t>In November 2022 and December 2022, the Company issued $225.0 million and $25.0 million, respectively,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separate indentures, of its 10.625% Senior Notes due 2024 (“10.625% Senior Notes”), which were set to mature on November 15, 2024. The Company received proceeds of $223.7 million, net of $26.3 million of issuance costs and discounts. The net proceeds were used to reduce the outstanding balance of the Prior Credit Agreement at closing and for general corporate purposes. Interest on the 10.625% Senior Notes was payable on May 15 and November 15 of each year. In addition, the Company paid additional interest of $8.3 million in June 2023 in accordance with the indentures whereby if the Company did not receive a rating increase by June 30, 2023, it was required to pay said additional interest that is included in interest expense during the nine months ended September 30, 2023. In connection with the aforementioned Term Loan Credit Agreement, the 10.625% Senior Notes were redeemed at a redemption price of 100% of the principal amount thereof plus accrued and unpaid interest and fees, plus the applicable premium calculated as $4.5 million, which was the present value at September 14, 2023 of all required interest payments due on the 10.625% Senior Notes through November 15, 2023. In addition, unamortized discounts and debt issuance costs as of the redemption date of $11.7 million and $3.7 million, respectively, were charged to expense and included in loss on extinguishment of debt during the third quarter of 2023.</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Loan Credit Agreement and the Senior Credit Facility Agreement have hedging requirements to which the Company adheres.</w:t>
      </w:r>
    </w:p>
    <w:p>
      <w:pPr>
        <w:spacing w:after="0" w:line="225"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8. Asset Retirement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asset retirement obligations primarily relate to the future plugging and abandonment of wells and remediation of related facilities. Market risk premiums associated with asset retirement obligations are estimated to represent a component of the Company’s credit-adjusted risk-free rate that is utilized in the calculations of asset retirement obligations.</w:t>
      </w:r>
    </w:p>
    <w:p>
      <w:pPr>
        <w:sectPr>
          <w:pgSz w:w="11900" w:h="16838" w:orient="portrait"/>
          <w:cols w:equalWidth="0" w:num="1">
            <w:col w:w="11240"/>
          </w:cols>
          <w:pgMar w:left="320" w:top="819" w:right="339" w:bottom="1440" w:gutter="0" w:footer="0" w:header="0"/>
        </w:sectPr>
      </w:pPr>
    </w:p>
    <w:p>
      <w:pPr>
        <w:spacing w:after="0" w:line="176" w:lineRule="exact"/>
        <w:rPr>
          <w:sz w:val="20"/>
          <w:szCs w:val="20"/>
          <w:color w:val="auto"/>
        </w:rPr>
      </w:pPr>
    </w:p>
    <w:p>
      <w:pPr>
        <w:jc w:val="right"/>
        <w:ind w:right="3620"/>
        <w:spacing w:after="0"/>
        <w:rPr>
          <w:sz w:val="20"/>
          <w:szCs w:val="20"/>
          <w:color w:val="auto"/>
        </w:rPr>
      </w:pPr>
      <w:r>
        <w:rPr>
          <w:rFonts w:ascii="Times New Roman" w:cs="Times New Roman" w:eastAsia="Times New Roman" w:hAnsi="Times New Roman"/>
          <w:sz w:val="18"/>
          <w:szCs w:val="18"/>
          <w:color w:val="auto"/>
        </w:rPr>
        <w:t>Asset retirement obligations activity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Liabilities incurred from new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jc w:val="center"/>
        <w:ind w:right="6420"/>
        <w:spacing w:after="0"/>
        <w:rPr>
          <w:sz w:val="20"/>
          <w:szCs w:val="20"/>
          <w:color w:val="auto"/>
        </w:rPr>
      </w:pPr>
      <w:r>
        <w:rPr>
          <w:rFonts w:ascii="Times New Roman" w:cs="Times New Roman" w:eastAsia="Times New Roman" w:hAnsi="Times New Roman"/>
          <w:sz w:val="18"/>
          <w:szCs w:val="18"/>
          <w:color w:val="auto"/>
        </w:rPr>
        <w:t>Accretion of discount</w:t>
      </w:r>
    </w:p>
    <w:p>
      <w:pPr>
        <w:spacing w:after="0" w:line="45" w:lineRule="exact"/>
        <w:rPr>
          <w:sz w:val="20"/>
          <w:szCs w:val="20"/>
          <w:color w:val="auto"/>
        </w:rPr>
      </w:pPr>
    </w:p>
    <w:p>
      <w:pPr>
        <w:jc w:val="center"/>
        <w:ind w:right="6400"/>
        <w:spacing w:after="0"/>
        <w:rPr>
          <w:sz w:val="20"/>
          <w:szCs w:val="20"/>
          <w:color w:val="auto"/>
        </w:rPr>
      </w:pPr>
      <w:r>
        <w:rPr>
          <w:rFonts w:ascii="Times New Roman" w:cs="Times New Roman" w:eastAsia="Times New Roman" w:hAnsi="Times New Roman"/>
          <w:sz w:val="18"/>
          <w:szCs w:val="18"/>
          <w:color w:val="auto"/>
        </w:rPr>
        <w:t>Ending asset retirement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960" w:hanging="953"/>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13,245</w:t>
      </w:r>
    </w:p>
    <w:p>
      <w:pPr>
        <w:spacing w:after="0" w:line="22"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w:t>
      </w:r>
    </w:p>
    <w:p>
      <w:pPr>
        <w:spacing w:after="0" w:line="9"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w:t>
      </w:r>
    </w:p>
    <w:p>
      <w:pPr>
        <w:spacing w:after="0" w:line="9" w:lineRule="exact"/>
        <w:rPr>
          <w:sz w:val="20"/>
          <w:szCs w:val="20"/>
          <w:color w:val="auto"/>
        </w:rPr>
      </w:pPr>
    </w:p>
    <w:p>
      <w:pPr>
        <w:ind w:left="960" w:hanging="95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861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9861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8960" w:space="720"/>
            <w:col w:w="1560"/>
          </w:cols>
          <w:pgMar w:left="320" w:top="819" w:right="339" w:bottom="1440" w:gutter="0" w:footer="0" w:header="0"/>
          <w:type w:val="continuous"/>
        </w:sectPr>
      </w:pPr>
    </w:p>
    <w:p>
      <w:pPr>
        <w:spacing w:after="0" w:line="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all asset retirement obligations are considered noncurrent and classified as such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Incentive Plans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401(k) Plan. </w:t>
      </w:r>
      <w:r>
        <w:rPr>
          <w:rFonts w:ascii="Times New Roman" w:cs="Times New Roman" w:eastAsia="Times New Roman" w:hAnsi="Times New Roman"/>
          <w:sz w:val="18"/>
          <w:szCs w:val="18"/>
          <w:color w:val="auto"/>
        </w:rPr>
        <w:t>The HighPeak Energy Employees, Inc 401(k) Plan (the “401(k) Plan”) is a defined contribution plan established under Section 401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Internal Revenue Code of 1986, as amended (the “Code”). All regular full-time and part-time employees of the Company are eligible to participate in the 401(k) Plan after three continuous months of employment with the Company. Participants may contribute up to 80 percent of their annual base salary into the 401(k) Plan. Matching contributions are made to the 401(k) Plan in cash by the Company in amounts equal to 100 percent of a participant’s contributions to the 401(k) Plan up to four percent of the participant’s annual base salary (the “Matching Contribution”). Each participant’s account is credited with the participant’s contributions, Matching Contributions and allocations of the 401(k) Plan’s earnings. Participants are fully vested in their account balances at their eligibility date. During the three months ended March 31, 2024 and 2023, the Company contributed $201,000 and $81,000 to the 401(k) Plan, respectively.</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Long-Term Incentive Plan. </w:t>
      </w:r>
      <w:r>
        <w:rPr>
          <w:rFonts w:ascii="Times New Roman" w:cs="Times New Roman" w:eastAsia="Times New Roman" w:hAnsi="Times New Roman"/>
          <w:sz w:val="18"/>
          <w:szCs w:val="18"/>
          <w:color w:val="auto"/>
        </w:rPr>
        <w:t>The Company’s Second Amended &amp; Restated Long Term Incentive Plan (“LTIP”) provides for the grant of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restricted stock, stock awards, dividend equivalents, cash awards and substitute awards to officers, employees, directors and consultants of the Company. The number of shares available for grant pursuant to awards under the LTIP as of March 31, 2024 and December 31, 2023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Approved and authorized shares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16,414,015</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16,414,015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awards issued under plan</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(15,756,458)</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(15,759,791)</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grant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657,557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654,224</w:t>
            </w:r>
          </w:p>
        </w:tc>
      </w:tr>
    </w:tbl>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options. </w:t>
      </w:r>
      <w:r>
        <w:rPr>
          <w:rFonts w:ascii="Times New Roman" w:cs="Times New Roman" w:eastAsia="Times New Roman" w:hAnsi="Times New Roman"/>
          <w:sz w:val="18"/>
          <w:szCs w:val="18"/>
          <w:color w:val="auto"/>
        </w:rPr>
        <w:t>Stock option awards were granted to employees on August 24, 2020, November 4, 2021, May 4, 2022, August 15, 2022 and July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21, 2023. Stock-based compensation expense related to the Company’s stock option awards for the three months ended March 31, 2024 and 2023 was $52,000 and $314,000, respectively, and as of March 31, 2024 there was $49,000 of unrecognized stock-based compensation expense related to unvested stock option awards. The unrecognized compensation expense will be recognized on a straight-line basis over the remaining vesting periods of the awards, which is a period of less than one year. The 1,949,000 stock options granted in July 2023 were 100% vested upon grant on July 21, 2023. However, to encourage long-term alignment with the Company stockholders, the stock options are not exercisable until the earlier of (i) August 31, 2026, (ii) upon a change in control or (iii) upon the death or disability of the grantee.</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25" w:name="page26"/>
    <w:bookmarkEnd w:id="2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on the grant date using a Black-Scholes option valuation model, which requires the Company to make several assumptions. The expected term of options granted was determined based on the simplified method of the midpoint between the vesting dates and the contractual term of the options. The risk-free interest rate is based on the U.S. treasury yield curve rate for the expected term of the option at the date of grant and the volatility was based on the volatility of either an index of exploration and production crude oil and natural gas companies or on a peer group of companies with similar characteristics of the Company on the date of grant since the Company had minimal or did not have any trading history. More detailed stock options activity and details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8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Term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Value (in</w:t>
            </w:r>
          </w:p>
        </w:tc>
      </w:tr>
      <w:tr>
        <w:trPr>
          <w:trHeight w:val="238"/>
        </w:trPr>
        <w:tc>
          <w:tcPr>
            <w:tcW w:w="5980" w:type="dxa"/>
            <w:vAlign w:val="bottom"/>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11,517,228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12.20</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128,429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Awards granted</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1,949,000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13,449,061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11.95</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47,672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13,445,728</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11.95</w:t>
            </w:r>
          </w:p>
        </w:tc>
        <w:tc>
          <w:tcPr>
            <w:tcW w:w="1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65,821</w:t>
            </w:r>
          </w:p>
        </w:tc>
      </w:tr>
      <w:tr>
        <w:trPr>
          <w:trHeight w:val="197"/>
        </w:trPr>
        <w:tc>
          <w:tcPr>
            <w:tcW w:w="5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December 31, 2023</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13,387,074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11.88</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47,672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11,438,074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12.12</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40,383</w:t>
            </w:r>
          </w:p>
        </w:tc>
      </w:tr>
      <w:tr>
        <w:trPr>
          <w:trHeight w:val="216"/>
        </w:trPr>
        <w:tc>
          <w:tcPr>
            <w:tcW w:w="5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Vested at March 31, 2024</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13,387,074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11.88</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65,821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11,438,074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12.12</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55,550</w:t>
            </w:r>
          </w:p>
        </w:tc>
      </w:tr>
    </w:tbl>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issued to employee members of the Board and certain employees. </w:t>
      </w:r>
      <w:r>
        <w:rPr>
          <w:rFonts w:ascii="Times New Roman" w:cs="Times New Roman" w:eastAsia="Times New Roman" w:hAnsi="Times New Roman"/>
          <w:sz w:val="18"/>
          <w:szCs w:val="18"/>
          <w:color w:val="auto"/>
        </w:rPr>
        <w:t>A total of 1,500,500 shares of restricted stock was approved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Board to be granted to certain employee members of the Board of the Company on November 4, 2021, which vest on the three -year anniversary of such grant assuming the employees remain in his or her position as of the anniversary date. Therefore, stock-based compensation expense of $1.8 million and $1.8 million was recognized during the three months ended March 31, 2024 and 2023, respectively, and the remaining $4.2 million as of March 31, 2024 will be recognized over the remaining restricted period, which was based upon the closing price of the stock on the date of the restricted stock issuance. The Board also approved a total of 600,000 shares of restricted stock to be granted to certain employees of the Company on June 1, 2022, which vest on November 4, 2024, assuming the employees remain in his or her position as of that date. Therefore, stock-based compensation expense of $1.8 million and $1.8 million was recognized during the three months ended March 31, 2024 and 2023, respectively, and the remaining $4.1 million as of March 31, 2024 will be recognized over the remaining restricted period, which was based upon the closing price of the stock on the date of the restricted stock issuance.</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issued to outside directors. </w:t>
      </w:r>
      <w:r>
        <w:rPr>
          <w:rFonts w:ascii="Times New Roman" w:cs="Times New Roman" w:eastAsia="Times New Roman" w:hAnsi="Times New Roman"/>
          <w:sz w:val="18"/>
          <w:szCs w:val="18"/>
          <w:color w:val="auto"/>
        </w:rPr>
        <w:t>A total of 58,767 shares of restricted stock was approved by the Board to be granted to the outside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on June 1, 2023, which will vest at the next annual meeting, assuming the Board members maintain their positions on the Board. Therefore, stock-based compensation expense of $189,000 was recognized during the three months ended March 31, 2024 and the remaining $126,000 will be recognized during the second quarter of 2024, which was based upon the closing price of the stock on the date of the restricted stock issuance. In addition, a total of 21,184 shares of restricted stock was approved by the Board to be granted to the outside directors of the Company on June 1, 2022, which vested during the second quarter of 2023. Therefore, stock-based compensation expense of $183,000 was recognized during the three months ended March 31, 2023, which was based upon the closing price of the stock on the date of the restricted stock issuance.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The Company follows ASC Topic 842, “Leases” to account for its operating and finance leases. Therefore, as of March 31, 2024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had right-of-use assets totaling $382,000 included in other noncurrent assets and operating lease liabilities totaling $400,000 included in current liabilities, and as of December 31, 2023 the Company had right-of-use assets totaling $510,000 included in other noncurrent assets and operating lease liabilities totaling $528,000 included in current liabilities on the accompanying condensed consolidated balance sheets. The Company does not currently have any finance right-of-use leases. Maturities of the operating lease obligations are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60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3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3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r>
      <w:tr>
        <w:trPr>
          <w:trHeight w:val="413"/>
        </w:trPr>
        <w:tc>
          <w:tcPr>
            <w:tcW w:w="6000" w:type="dxa"/>
            <w:vAlign w:val="bottom"/>
            <w:tcBorders>
              <w:top w:val="single" w:sz="8" w:color="CCEEFF"/>
            </w:tcBorders>
          </w:tcPr>
          <w:p>
            <w:pPr>
              <w:spacing w:after="0"/>
              <w:rPr>
                <w:sz w:val="24"/>
                <w:szCs w:val="24"/>
                <w:color w:val="auto"/>
              </w:rPr>
            </w:pPr>
          </w:p>
        </w:tc>
        <w:tc>
          <w:tcPr>
            <w:tcW w:w="36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15"/>
        </w:trPr>
        <w:tc>
          <w:tcPr>
            <w:tcW w:w="600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26" w:name="page27"/>
    <w:bookmarkEnd w:id="26"/>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actions. </w:t>
      </w:r>
      <w:r>
        <w:rPr>
          <w:rFonts w:ascii="Times New Roman" w:cs="Times New Roman" w:eastAsia="Times New Roman" w:hAnsi="Times New Roman"/>
          <w:sz w:val="18"/>
          <w:szCs w:val="18"/>
          <w:color w:val="auto"/>
        </w:rPr>
        <w:t>From time to time, the Company may be a party to various proceedings and claims incidental to its business. While many of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annual results of operations. The Company records reserves for contingencies when information available indicates that a loss is probable, and the amount of the loss can be reasonably estimated.</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Indemnifications. </w:t>
      </w:r>
      <w:r>
        <w:rPr>
          <w:rFonts w:ascii="Times New Roman" w:cs="Times New Roman" w:eastAsia="Times New Roman" w:hAnsi="Times New Roman"/>
          <w:sz w:val="18"/>
          <w:szCs w:val="18"/>
          <w:color w:val="auto"/>
        </w:rPr>
        <w:t>The Company has agreed to indemnify its directors, officers and certain employees and agents with respect to claims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damages arising from acts or omissions taken in such capacity, as well as with respect to certain litigation.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w:t>
      </w:r>
      <w:r>
        <w:rPr>
          <w:rFonts w:ascii="Times New Roman" w:cs="Times New Roman" w:eastAsia="Times New Roman" w:hAnsi="Times New Roman"/>
          <w:sz w:val="18"/>
          <w:szCs w:val="18"/>
          <w:color w:val="auto"/>
        </w:rPr>
        <w:t>Environmental expenditures that relate to an existing condition caused by past operations and have no future economic benefits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expensed. Environmental expenditures that extend the life of the related property or mitigate or prevent future environmental contamination are capitalized. Liabilities for expenditures that will not qualify for capitalization are recorded when environmental assessment and/or remediation is probable, and the costs can be reasonably estimated. Such liabilities are undiscounted unless the timing of cash payments for the liability is fixed or reliably determinable. Environmental liabilities normally involve estimates that are subject to revision until settlement or remediation occurs.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delivery commitments. </w:t>
      </w:r>
      <w:r>
        <w:rPr>
          <w:rFonts w:ascii="Times New Roman" w:cs="Times New Roman" w:eastAsia="Times New Roman" w:hAnsi="Times New Roman"/>
          <w:sz w:val="18"/>
          <w:szCs w:val="18"/>
          <w:color w:val="auto"/>
        </w:rPr>
        <w:t>In May 2021, the Company entered into a crude oil marketing contract with DK Trading &amp; Supply,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(“Delek”) as the purchaser and DKL Permian Gathering, LLC (“DKL”) as the gatherer and transporter. The contract includes the Company’s current and future crude oil production from the majority of its horizontal wells in Flat Top where DKL is continually constructing a crude oil gathering system and custody transfer meters to most of the Company’s central tank batteries. The contract contains a minimum volume commitment commencing October 2021 based on the gross barrels delivered at the Company’s central tank battery facilities and is 5,000 Bopd for the first year, 7,500 Bopd for the second year and 10,000 Bopd for the remaining eight years of the contract. However, the Company has the ability under the contract to cumulatively bank excess volumes delivered to offset future minimum volume commitments. For the period from October 1, 2021 to March 31, 2024, the Company has delivered approximately 29,854 Bopd under the contract which is approximately 81 percent of the total contracted volume for the life of the contract. The monetary commitment for the remaining 6.5 MMBbl as of March 31, 2024, if the Company never delivers any additional volumes under the agreement, is approximately $5.5 million.</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purchasing replacement contract. </w:t>
      </w:r>
      <w:r>
        <w:rPr>
          <w:rFonts w:ascii="Times New Roman" w:cs="Times New Roman" w:eastAsia="Times New Roman" w:hAnsi="Times New Roman"/>
          <w:sz w:val="18"/>
          <w:szCs w:val="18"/>
          <w:color w:val="auto"/>
        </w:rPr>
        <w:t>In May 2021, the Company entered into a replacement natural gas purchase contract with WTG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Gas Processing, L.P. (“WTG”) as the gatherer, processor and purchaser of the Company’s current and future gross natural gas production in Flat Top. The replacement contract provides the Company with improved natural gas and NGL pricing and required WTG to expand its current low-pressure gathering system, which eliminates the need for in-field compression in Flat Top to accommodate the Company’s increased natural gas production volumes based on the current plan of development. The Company provides WTG with certain aid-in-construction payments to be reimbursed over time based on throughput through the system. The replacement contract does not contain any minimum volume commitments.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Power contracts. </w:t>
      </w:r>
      <w:r>
        <w:rPr>
          <w:rFonts w:ascii="Times New Roman" w:cs="Times New Roman" w:eastAsia="Times New Roman" w:hAnsi="Times New Roman"/>
          <w:sz w:val="18"/>
          <w:szCs w:val="18"/>
          <w:color w:val="auto"/>
        </w:rPr>
        <w:t>In June 2022, the Company entered into a contract with TXU Energy Retail Company LLC (“TXU”) to provide a block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electric power at an attractive variable rate, which fluctuates based on the usage by the Company through May 31, 2032. In March 2024, the Company entered into a contract to provide an additional block of electric power under similar terms. In conjunction with these contracts, the Company has a $4.6 million Letter of Credit in place in lieu of a deposit to TXU that is cancellable at the end of the contract term.</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Sand commitments. </w:t>
      </w:r>
      <w:r>
        <w:rPr>
          <w:rFonts w:ascii="Times New Roman" w:cs="Times New Roman" w:eastAsia="Times New Roman" w:hAnsi="Times New Roman"/>
          <w:sz w:val="18"/>
          <w:szCs w:val="18"/>
          <w:color w:val="auto"/>
        </w:rPr>
        <w:t>The Company is party to an amended agreement whereby it has agreed to purchase at least 750,000 tons of sand over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fifteen-month period beginning April 1, 2024. There are stipulations in the agreement that reduce this commitment should there be a downturn in crude oil prices. Generally, if the Company never takes delivery of any sand under the agreement, the monetary commitment that remains as of March 31, 2024 is approximately $19.1 million.</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Underwritten Equity Offering. </w:t>
      </w:r>
      <w:r>
        <w:rPr>
          <w:rFonts w:ascii="Times New Roman" w:cs="Times New Roman" w:eastAsia="Times New Roman" w:hAnsi="Times New Roman"/>
          <w:sz w:val="18"/>
          <w:szCs w:val="18"/>
          <w:color w:val="auto"/>
        </w:rPr>
        <w:t>In connection with the Company’s underwritten equity offering in July 2023, certain of the Company’s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John Paul DeJoria Family Trust and Jack Hightower, the Company’s Chairman and Chief Executive Officer, and entities and individuals associated with them, purchased an aggregate of approximately 10 million shares of Common Stock in the offering at the public offering price per share. In connection therewith, the Underwriter received a reduced underwriting discount on such shares purchased by these persons or entities compared with other shares sold to the public in the offering.</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Water Treatment. </w:t>
      </w:r>
      <w:r>
        <w:rPr>
          <w:rFonts w:ascii="Times New Roman" w:cs="Times New Roman" w:eastAsia="Times New Roman" w:hAnsi="Times New Roman"/>
          <w:sz w:val="18"/>
          <w:szCs w:val="18"/>
          <w:color w:val="auto"/>
        </w:rPr>
        <w:t>In May 2022, the Company entered into an agreement with Pilot Exploration, Inc. (“Pilot”) to utilize Pilot’s proprietary water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technology in the Company’s Flat Top area to treat produced water such that it can be reused in the Company’s completion operations or sold to third parties for their completion operations. During the one-year term of the agreement, beginning on October 1, 2022, the Company agreed to a minimum volume commitment of 29.2 million barrels of produced water while maintaining the ability to bank excess produced water processed each month toward the minimum volume commitment. During the three months ended March 31, 2023, the Company paid $1.5 million to Pilot for such services. In April 2023, the Company terminated the contract with Pilot in exchange for $6.5 million that was paid and charged to other expense during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Major Customers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Delek accounted for approximately 76% and 76% and Energy Transfer Crude Marketing, LLC (“ETC”) accounted for approximately 17% and 19% of the Company’s revenues during the three months ended March 31, 2024 and 2023, respectively. Based on the current demand for crude oil and natural gas and the availability of other purchasers, management believes the loss of either of these major purchasers would not have a material adverse effect on our financial condition and results of operations because crude oil and natural gas are fungible products with well-established markets and numerous purchasers.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The Company is subject to corporate income taxes and Texas margin tax. The Company and its subsidiaries file a U.S. federal corporate income tax return on a consolidated basis.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(“IRA 2022”), which among other tax provisions, created a 15 percent corporate alternative minimum tax (“CAMT”) on the “adjusted financial statement income” of certain large corporations (generally, corporations reporting at least $1.0 billion of average adjusted pre-tax net income on their consolidated financial statements) as well as an excise tax of 1% on the fair market value of certain public company stock repurchases for tax years beginning after December 31, 2022. Based on application of currently available guidance, the Company’s income tax expense for the three months ended March 31, 2024 and 2023 was not impacted by the CAMT. The Company’s excise tax during the three months ended March 31, 2024 was immaterial and was recognized as part of the cost basis of the stock repurchased.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provision for income taxes attributable to income before income taxes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20" w:type="dxa"/>
            <w:vAlign w:val="bottom"/>
            <w:tcBorders>
              <w:bottom w:val="single" w:sz="8" w:color="auto"/>
            </w:tcBorders>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current income taxes:</w:t>
            </w:r>
          </w:p>
        </w:tc>
        <w:tc>
          <w:tcPr>
            <w:tcW w:w="10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Federal</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provision for current income taxes</w:t>
            </w:r>
          </w:p>
        </w:tc>
        <w:tc>
          <w:tcPr>
            <w:tcW w:w="10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Federal</w:t>
            </w:r>
          </w:p>
        </w:tc>
        <w:tc>
          <w:tcPr>
            <w:tcW w:w="10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13,920</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w:t>
            </w:r>
          </w:p>
        </w:tc>
      </w:tr>
      <w:tr>
        <w:trPr>
          <w:trHeight w:val="209"/>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provision for deferred income taxes</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14,507</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14,507</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8" w:name="page29"/>
    <w:bookmarkEnd w:id="28"/>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reconciliation between the provision for income taxes computed by multiplying pre-tax income by the U.S. federal statutory rate and the reported amounts of provision for income taxes is as follows (in thousands, except rate):</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 at U.S.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tax benefit due to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State deferred income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income tax rate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320" w:type="dxa"/>
            <w:vAlign w:val="bottom"/>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1,834</w:t>
            </w:r>
          </w:p>
        </w:tc>
        <w:tc>
          <w:tcPr>
            <w:tcW w:w="120" w:type="dxa"/>
            <w:vAlign w:val="bottom"/>
          </w:tcPr>
          <w:p>
            <w:pPr>
              <w:spacing w:after="0"/>
              <w:rPr>
                <w:sz w:val="16"/>
                <w:szCs w:val="16"/>
                <w:color w:val="auto"/>
              </w:rPr>
            </w:pPr>
          </w:p>
        </w:tc>
        <w:tc>
          <w:tcPr>
            <w:tcW w:w="300" w:type="dxa"/>
            <w:vAlign w:val="bottom"/>
          </w:tcPr>
          <w:p>
            <w:pPr>
              <w:jc w:val="right"/>
              <w:ind w:right="1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13,600</w:t>
            </w:r>
          </w:p>
        </w:tc>
      </w:tr>
      <w:tr>
        <w:trPr>
          <w:trHeight w:val="216"/>
        </w:trPr>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587</w:t>
            </w:r>
          </w:p>
        </w:tc>
      </w:tr>
      <w:tr>
        <w:trPr>
          <w:trHeight w:val="234"/>
        </w:trPr>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2,297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14,507</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bl>
    <w:p>
      <w:pPr>
        <w:spacing w:after="0" w:line="179" w:lineRule="exact"/>
        <w:rPr>
          <w:sz w:val="20"/>
          <w:szCs w:val="20"/>
          <w:color w:val="auto"/>
        </w:rPr>
      </w:pPr>
    </w:p>
    <w:p>
      <w:pPr>
        <w:sectPr>
          <w:pgSz w:w="11900" w:h="16838" w:orient="portrait"/>
          <w:cols w:equalWidth="0" w:num="2">
            <w:col w:w="7200" w:space="720"/>
            <w:col w:w="3320"/>
          </w:cols>
          <w:pgMar w:left="320" w:top="580" w:right="339" w:bottom="1440" w:gutter="0" w:footer="0" w:header="0"/>
          <w:type w:val="continuous"/>
        </w:sect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liabilities were as follows as of March 31, 2024 and December 31,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limitations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41,352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13,503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Unrecognized derivative losses, net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70,575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61,223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98"/>
        </w:trPr>
        <w:tc>
          <w:tcPr>
            <w:tcW w:w="80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Crude oil and natural gas properties, principally due to differences in basis and depreciation and the</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deduction of intangible drilling costs for tax purposes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(250,859)</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Unrecognized derivative gains, net</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(269,332)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(258,291)</w:t>
            </w:r>
          </w:p>
        </w:tc>
      </w:tr>
      <w:tr>
        <w:trPr>
          <w:trHeight w:val="250"/>
        </w:trPr>
        <w:tc>
          <w:tcPr>
            <w:tcW w:w="800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(197,068)</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effective income tax rate differs from the U.S. statutory rate of 21 percent primarily due to deferred state income taxes and other permanent differences between GAAP income and taxable income.</w:t>
      </w:r>
    </w:p>
    <w:p>
      <w:pPr>
        <w:spacing w:after="0" w:line="16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9" w:name="page30"/>
    <w:bookmarkEnd w:id="2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required by ASC Topic 740, “Income Taxes,” (“ASC 740”) the Company uses reasonable judgments and makes estimates and assumptions related to evaluating the probability of uncertain tax positions. The Company bases its estimates and assumptions on the potential liability related to an assessment of whether the income tax position will “more likely than not” be sustained in an income tax audit. Based on that analysis, the Company believes the Company has not taken any material uncertain tax positions, and therefore has not recorded an income tax liability related to uncertain tax positions. However, if actual results materially differ, the Company’s effective income tax rate and cash flows could be affected in the period of discovery or resolution. The Company also reviews the estimates and assumptions used in evaluating the probability of realizing the future benefits of the Company’s deferred tax assets and records a valuation allowance when the Company believes that a portion or all the deferred tax assets may not be realized. If the Company is unable to realize the expected future benefits of its deferred tax assets, the Company is required to provide a valuation allowance. The Company uses its history and experience, overall profitability, future management plans, tax planning strategies, and current economic information to evaluate the amount of valuation allowance to record. As of March 31, 2024 and December 31, 2023, the Company had not recorded a valuation allowance for deferred tax assets arising from its operations because the Company believed they met the “more likely than not” criteria as defined by the recognition and measurement provisions of ASC 740. The Company reversed a portion of its deferred tax asset related to stock-based compensation based on the assumption that the tax deduction will be subject to IRC Section 162(m) limits when the stock options are exercised and the restricted stock vests. IRC Section 162(m) limits compensation deductions to $1.0 million per year for certain Company executives.</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also subject to Texas margin tax. The Company realized $223,000 and zero in current Texas margin tax in the accompanying condensed consolidated financial statements for the three months ended March 31, 2024 and 2023, respectively. In addition, the Company has recognized a net deferred Texas margin tax liability of $7.3 million and $7.1 million as of March 31, 2024 and December 31, 2023, respectively,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Earnings Per Share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two-class method of calculating earnings per share because certain of the Company’s stock-based awards qualify as participating securities.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basic earnings per share attributable to common stockholders is computed as (i) net income as reported, (ii) less participating basic earnings (iii) divided by weighted average basic common shares outstanding. The Company’s diluted earnings per share attributable to common stockholders is computed as (i) basic earnings attributable to common stockholders, (ii) plus reallocation of participating earnings (iii) divided by weighted average diluted common shares outstanding.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Company’s earnings from operations and earnings attributable to common stockholders to the basic and diluted earnings used to determine the Company’s earnings per share amounts for the three months ended March 31, 2024 and 2023 under the two-class method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6,438</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50,257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Participating basic earnings (a)</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(4,638)</w:t>
            </w: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attributable to common stockholders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Reallocation of participating earnings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5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income attributable to common stockholders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5,834</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45,694</w:t>
            </w:r>
          </w:p>
        </w:tc>
      </w:tr>
      <w:tr>
        <w:trPr>
          <w:trHeight w:val="196"/>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125,696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111,055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warrants and unvested stock options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4,588</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unvested restricted stock</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2,122</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129,641</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117,765</w:t>
            </w: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720" w:hanging="388"/>
        <w:spacing w:after="0" w:line="254"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stock options represent participating securities because they participate in dividend equivalents with the common equity holders of the Company. Participating earnings represent the distributed and undistributed earnings of the Company attributable to the participating securities. Certain unvested restricted stock awarded to outside directors, employee members of the Board and certain employees do not represent participating securities because, while they participate in dividends with the common equity holders of the Company, the dividends associated with such unvested restricted stock are forfeitable in connection with the forfeitability of the underlying restricted stock. Unvested stock options do not represent participating securities because, while they participate in dividend equivalents with the common equity holders of the Company, the dividend equivalents associated with unvested stock options are forfeitable in connection with the forfeitability of the underlying stock options.</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calculation for weighted average shares reflects shares outstanding over the reporting period based on the actual number of days the shares were outstanding.</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NOTE 15.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Repurchase Program. </w:t>
      </w:r>
      <w:r>
        <w:rPr>
          <w:rFonts w:ascii="Times New Roman" w:cs="Times New Roman" w:eastAsia="Times New Roman" w:hAnsi="Times New Roman"/>
          <w:sz w:val="18"/>
          <w:szCs w:val="18"/>
          <w:color w:val="auto"/>
        </w:rPr>
        <w:t>In February 2024, the Company’s board of directors approved a common stock repurchase program to acquire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$75.0 million of the Company’s outstanding common stock, excluding excise tax, which expires on December 31, 2024.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three months ended March 31, 2024 and 2023, the Company repurchased, excluding excise tax, approximately $8.8 million and zero of common stock under this repurchase program, respectively. As of March 31, 2024, approximately $66.2 million remained available for use to repurchase shares under the Company’s common stock repurchase program, excluding excise tax.</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Common Stock. </w:t>
      </w:r>
      <w:r>
        <w:rPr>
          <w:rFonts w:ascii="Times New Roman" w:cs="Times New Roman" w:eastAsia="Times New Roman" w:hAnsi="Times New Roman"/>
          <w:sz w:val="18"/>
          <w:szCs w:val="18"/>
          <w:color w:val="auto"/>
        </w:rPr>
        <w:t>During the three months ended March 31, 2024, the Company did not issue any shares of HighPeak Energy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During the three months ended March 31, 2023, the Company issued 11,984 shares of HighPeak Energy common stock as a result of warrants (150 shares) and stock options (11,834 shares) being exercised.</w:t>
      </w:r>
    </w:p>
    <w:p>
      <w:pPr>
        <w:spacing w:after="0" w:line="171"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Dividends and Dividend Equivalents</w:t>
      </w:r>
      <w:r>
        <w:rPr>
          <w:rFonts w:ascii="Times New Roman" w:cs="Times New Roman" w:eastAsia="Times New Roman" w:hAnsi="Times New Roman"/>
          <w:sz w:val="18"/>
          <w:szCs w:val="18"/>
          <w:color w:val="auto"/>
        </w:rPr>
        <w:t>. In February 2024, the Board declared a quarterly dividend of $0.04 per share of common stock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resulted in a total of $5.1 million in dividends being paid on March 25, 2024. In addition, under the terms of the LTIP, the Company paid a dividend equivalent per share to all vested stock option holders of $536,000 in March 2024 and accrued a dividend equivalent per share to all unvested stock option holders which will be payable upon vesting, assuming no forfeitures. In addition, the Company accrued an additional combined $86,000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2023, the Board declared a quarterly dividend of $0.025 per share of common stock outstanding which resulted in a total of $2.8 million in dividends being paid on February 24, 2023. In addition, under the terms of the LTIP, the Company paid a dividend equivalent per share to all vested stock option holders of $283,000 in February 2023 and accrued a dividend equivalent per share to all unvested stock option holders which was payable upon vesting of up to an additional $5,000, assuming no forfeitures. In addition, the Company accrued an additional combined $53,000 in dividends on the restricted stock issued to directors, management directors and certain employees that will be payable upon vesting.</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Outstanding securities. </w:t>
      </w:r>
      <w:r>
        <w:rPr>
          <w:rFonts w:ascii="Times New Roman" w:cs="Times New Roman" w:eastAsia="Times New Roman" w:hAnsi="Times New Roman"/>
          <w:sz w:val="18"/>
          <w:szCs w:val="18"/>
          <w:color w:val="auto"/>
        </w:rPr>
        <w:t>At March 31, 2024 and December 31, 2023, the Company had 127,855,383 and 128,420,923 shares of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respectively, and 7,934,977 and 7,934,977 warrants outstanding, respectively, with an exercise price of $11.50 per share that expire on August 21, 2025.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dividend equivalents. </w:t>
      </w:r>
      <w:r>
        <w:rPr>
          <w:rFonts w:ascii="Times New Roman" w:cs="Times New Roman" w:eastAsia="Times New Roman" w:hAnsi="Times New Roman"/>
          <w:sz w:val="18"/>
          <w:szCs w:val="18"/>
          <w:color w:val="auto"/>
        </w:rPr>
        <w:t>In May 2024, the Board approved a quarterly dividend of $0.04 per share of common stock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will result in a total of approximately $5.1 million in dividends to be paid on June 25, 2024. In addition, under the terms of the LTIP, the Company will pay a dividend equivalent per share to all vested stock option holders of $536,000 in June 2024 and will accrue a dividend equivalent per share to all unvested stock option holders which is payable upon vesting, assuming no forfeitures. In addition, the Company will accrue an additional combined $86,000 in dividends on the restricted stock issued to directors, management directors and certain employees that will be payable upon vesting.</w:t>
      </w:r>
    </w:p>
    <w:p>
      <w:pPr>
        <w:spacing w:after="0" w:line="183"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DISCUSSION AND ANALYSIS OF FINANCIAL CONDITION AND RESULTS OF OPERATIONS</w:t>
      </w:r>
    </w:p>
    <w:p>
      <w:pPr>
        <w:spacing w:after="0" w:line="227"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i w:val="1"/>
          <w:iCs w:val="1"/>
          <w:u w:val="single" w:color="auto"/>
          <w:color w:val="auto"/>
        </w:rPr>
        <w:t>The following discussion and analysis is intended to assist you in understanding our business and results of operations together with our present financial condition. This section should be read in conjunction with our historical consolidated financial statements and related notes. This discussion contains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u w:val="single" w:color="auto"/>
          <w:color w:val="auto"/>
        </w:rPr>
        <w:t>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reflecting our current expectations, estimates and assumptions concerning events and financial trends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may affect our future operating results or financial position. These forward-looking statements involve risks and uncertainties and actual results and the timing of events may differ materially from those contained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u w:val="single" w:color="auto"/>
          <w:color w:val="auto"/>
        </w:rPr>
        <w:t>looking statements due to a number of factors. Factors that could cause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contribute to such differences include, but are not limited to, market prices for crude oil, NGL and natural gas, capital expenditures, economic and competitive conditions, regulatory changes and other uncertainties. Please read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Cautionary Statement Concerning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u w:val="single" w:color="auto"/>
          <w:color w:val="auto"/>
        </w:rPr>
        <w:t>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w:t>
      </w:r>
      <w:r>
        <w:rPr>
          <w:rFonts w:ascii="Times New Roman" w:cs="Times New Roman" w:eastAsia="Times New Roman" w:hAnsi="Times New Roman"/>
          <w:sz w:val="18"/>
          <w:szCs w:val="18"/>
          <w:i w:val="1"/>
          <w:iCs w:val="1"/>
          <w:u w:val="single" w:color="auto"/>
          <w:color w:val="auto"/>
        </w:rPr>
        <w:t>assume no obligation to update any of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u w:val="single" w:color="auto"/>
          <w:color w:val="auto"/>
        </w:rPr>
        <w:t>looking statements,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6950710</wp:posOffset>
            </wp:positionH>
            <wp:positionV relativeFrom="paragraph">
              <wp:posOffset>-177800</wp:posOffset>
            </wp:positionV>
            <wp:extent cx="1809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HighPeak Energy, Inc., a Delaware corporation, which was formed in October 2019, is an independent crude oil and natural gas exploration and production company that explores for, develops and produces crude oil, NGL and natural gas in the Permian Basin in West Texas, more specifically, the Midland Basin. The Company’s assets are located primarily in Howard and Borden Counties, Texas, and to a lesser extent Scurry and Mitchell Counties, which lie within the northeastern part of the crude oil-rich Midland Basin. As of March 31, 2024, the assets consisted of two generally contiguous leasehold positions of approximately 143,414 gross (132,891 net) acres, approximately 63% of which were held by production, with an average working interest of approximately 93%. Our acreage is composed of two core areas, Flat Top primarily in the northern portion of Howard County extending into southern Borden County, southwest Scurry County and northwest Mitchell County and Signal Peak in the southern portion of Howard County. We operate approximately 97% of the net acreage across the Company’s assets and more than 90% of the net operated acreage provides for horizontal wells with lateral lengths of 10,000 feet or greater. For the three months ended March 31, 2024, approximately 91% and 9% of sales volumes from the assets were attributable to liquids (both crude oil and NGL) and natural gas, respectively. As of March 31, 2024, HighPeak Energy was developing its properties using two (2) drilling rigs and one (1) frac crew and expects to average two 2) drilling rigs and one (1) frac crew for the remainder of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 Repurchase Program. </w:t>
      </w:r>
      <w:r>
        <w:rPr>
          <w:rFonts w:ascii="Times New Roman" w:cs="Times New Roman" w:eastAsia="Times New Roman" w:hAnsi="Times New Roman"/>
          <w:sz w:val="18"/>
          <w:szCs w:val="18"/>
          <w:color w:val="auto"/>
        </w:rPr>
        <w:t>In February 2024, the Board approved a repurchase program of up to $75 million of the Company’s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approval grants HighPeak’s management the authority to repurchase shares opportunistically in the open market from time to time, through block trades, in privately negotiated transactions or by such other means which comply with applicable state and federal laws. This is the Company’s first authorization for a stock repurchase program since its founding.</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intends to fund the repurchases from available working capital, cash provided from operations and borrowings under its Senior Credit Facility Agreement. The timing, number and value of shares repurchased under the program will be at the discretion of management and the Board of Directors and will depend on a number of factors, including general market and economic conditions, business conditions, the trading price of the Company’s common stock, the nature of other investment opportunities available to the Company and compliance with the Company’s debt and other agreements. The stock repurchase program does not obligate HighPeak to acquire any particular dollar amount or number of shares of its common stock and the stock repurchase program may be suspended from time to time, modified, extended or discontinued by the Company’s Board of Directors. During the three months ended March 31, 2024, the Company repurchased 565,540 shares of its common stock at an average cost of $15.50 per share for a total of approximately $8.8 million, excluding any potential excise taxes. The stock repurchase program authority will expire December 31, 2024.</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dividend equivalents. </w:t>
      </w:r>
      <w:r>
        <w:rPr>
          <w:rFonts w:ascii="Times New Roman" w:cs="Times New Roman" w:eastAsia="Times New Roman" w:hAnsi="Times New Roman"/>
          <w:sz w:val="18"/>
          <w:szCs w:val="18"/>
          <w:color w:val="auto"/>
        </w:rPr>
        <w:t>In February 2024, the Board declared a quarterly dividend of $0.04 per share of common stock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resulted in a total of $5.1 million in dividends being paid on March 25, 2024. In addition, under the terms of the LTIP, the Company paid a dividend equivalent per share to all vested stock option holders of $536,000 in March 2024 and accrued a dividend equivalent per share to all unvested stock option holders which is payable upon vesting, assuming no forfeitures. In addition, the Company accrued an additional combined $86,000 in March 2024 in dividends on the restricted stock issued to directors, management directors and certain employees that will be payable upon vesting.</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During the three months ended March 31, 2024, the Company incurred a total of $2.2 million in acquisition costs related to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extensions and to acquire crude oil and natural gas leases covering additional bolt-on undeveloped acreage contiguous to its Flat Top and Signal Peak operating areas.</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2" w:name="page33"/>
    <w:bookmarkEnd w:id="32"/>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and Natural Gas Industry Considerations. </w:t>
      </w:r>
      <w:r>
        <w:rPr>
          <w:rFonts w:ascii="Times New Roman" w:cs="Times New Roman" w:eastAsia="Times New Roman" w:hAnsi="Times New Roman"/>
          <w:sz w:val="18"/>
          <w:szCs w:val="18"/>
          <w:color w:val="auto"/>
        </w:rPr>
        <w:t>Since mid-2020, crude oil prices have improved, with demand steadily increasing.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 sanctions and import bans on Russia have been implemented by various countries in response to the war in Ukraine, further impacting global crude oil supply. As a result of crude oil and natural gas supply constraints, there have been significant increases in European energy costs, which have resulted in inflationary pressures throughout Europe, increasing prospects of recession in many countries throughout the continent. In April 2023, OPEC announced production cuts of around 1.16 million Bopd. On June 4, 2023, OPEC agreed to extend these previously announced production cuts through the end of 2024. On July 3, 2023, Saudi Arabia announced it was extending voluntary cuts through August 2023. However, as a result of current global supply and demand imbalances, crude oil prices remain strong, although down from the prior year. In addition, the war between Russia and Ukraine and ongoing conflicts between Israel and Hamas, Israel and Iran and other tensions in the Middle East have resulted in global supply chain disruptions, which has led to significant cost inflation.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Global crude oil price levels and inflationary pressures will ultimately depend on various factors that are beyond the Company’s control, such as</w:t>
      </w:r>
    </w:p>
    <w:p>
      <w:pPr>
        <w:spacing w:after="0" w:line="27" w:lineRule="exact"/>
        <w:rPr>
          <w:sz w:val="20"/>
          <w:szCs w:val="20"/>
          <w:color w:val="auto"/>
        </w:rPr>
      </w:pPr>
    </w:p>
    <w:p>
      <w:pPr>
        <w:jc w:val="both"/>
        <w:ind w:firstLine="8"/>
        <w:spacing w:after="0" w:line="252" w:lineRule="auto"/>
        <w:tabs>
          <w:tab w:leader="none" w:pos="2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increasing expectations that the world may be heading into a global recession, (ii) the ability of OPEC and other crude oil producing nations to manage the global crude oil supply, (iii) the impact of sanctions and import bans on production from Russia and any resulting impact on production from the Israel-Hamas and the Israel-Iran conflicts, (iv) the timing and supply impact of any Iranian or Venezuelan sanction relief on their ability to export crude oil, (v) the global supply chain constraints associated with manufacturing and distribution delays, (vi) oilfield service demand and cost inflation, and (vii) political stability of crude oil consuming countries. The Company continues to assess and monitor the impact of these factors and consequences on the Company and its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HighPeak Energy’s financial position and future prospects, including its revenues, operating results, profitability, liquidity, future growth and the value of its assets, depend heavily on prevailing commodity prices. The crude oil and natural gas industry is cyclical and commodity prices are highly volatile and subject to a high degree of uncertainty. For example, during the period from January 1, 2020 through March 31, 2024, the calendar month average NYMEX WTI crude oil price per Bbl ranged from a low of $16.70 to a high of $114.34, and the last trading day NYMEX natural gas price per MMBtu ranged from a low of $1.50 to a high of $9.35.</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market for crude oil strengthened in 2021 from historic lows in 2020 and continued to remain strong in 2023 and continuing in 2024, although the market has decreased from 2022 levels overall, as a result of increased demand outpacing increased supply. However, there are many factors beyond the Company’s control, including commodity markets, unavailability or high cost of drilling rigs, equipment, supplies, personnel, frac crews and oilfield services or supply constraints remain subject to heightened levels of uncertainty as a result of the conflicts between Russia and Ukraine, Israel and Hamas and Israel and Iran, elevated interest rates and associated policies of the Federal Reserve, which could adversely affect HighPeak Energy. For additional information on the risks, see “Part I, Item 1A. Risk Factors” in the Company’s Annual Report on Form 10-K for the year ended December 31, 2023, filed with the SEC on March 6, 2024 (the “Annual Report”).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Given the dynamic nature of this situation, the Company is maintaining flexibility in its capital plan as indicated by its recent shift to an anticipated two (2) drilling rig program for the remainder of 2024. The Company will continue to evaluate drilling and completion activity on an economic basis, with future activity levels assessed monthly. Despite continuing impacts of the factors listed above and future uncertainty, we are focused on maintaining our ability to sustain strong operational performance and financial stability while maximizing returns, improving leverage metrics, and increasing the value of our Midland Basin assets.</w:t>
      </w:r>
    </w:p>
    <w:p>
      <w:pPr>
        <w:spacing w:after="0" w:line="183"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Strategic Alternatives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23, 2023, the Company announced the intention of its Board to initiate a process to evaluate certain strategic alternatives to maximize shareholder value, including a potential sale of the Company. Texas Capital Securities and Wells Fargo Securities, LLC have been retained as a financial advisors with respect to this strategic alternatives process. To date, however, this process has been exploratory in nature and accordingly remains in preliminary stages, with our discussions to date with prospective counterparties generally excluding substantive discussions regarding potential valuation, structure or other key transaction terms. The Company has not set a timetable for the conclusion of this review, nor has it made any decisions related to any further actions or potential strategic alternatives at this time. There can be no assurance that the review will progress beyond this exploratory phase or result in any transaction or other strategic change or outcome. The Company does not intend to comment further regarding the strategic alternatives process unless and until our Board has approved a specific course of action or we have otherwise determined that further disclosure is appropriate or required by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Operating Performance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financial and operating performance for the three months ended March 31, 2024 included the following highlights:</w:t>
      </w:r>
    </w:p>
    <w:p>
      <w:pPr>
        <w:spacing w:after="0" w:line="225" w:lineRule="exact"/>
        <w:rPr>
          <w:sz w:val="20"/>
          <w:szCs w:val="20"/>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$6.4 million ($0.05 per diluted share) for the three months ended March 31, 2024 compared with $50.3 million for three months ended March 31, 2023. The primary components of the $43.8 million decrease in net income include: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$56.2 million decrease in the Company's net derivative instruments gain/loss from a $3.1 million gain to a $53.0 million loss quarter over quarter as a result of its crude oil commodity contracts entered into and the increase in crude oil prices thereafter;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$49.7 million increase in DD&amp;A expense due to a 34% increase in daily sales volumes as a result of the Company’s successful horizontal drilling program in addition to a 19% increase in the DD&amp;A rate from $24.22 to $28.92 per Boe as a result of significant inflationary pressures on capital costs;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$16.7 million increase in interest expense due to the increase in the Company’s overall indebtedness and higher interest rates, partially offset by decreased amortization of debt issuance costs and discounts;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 million increase in the Company’s general and administrative expenses primarily attributable to accrued bonuses and higher salaries and benefits as a result of the growth of the Company;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 million increase in production and ad valorem taxes, primarily attributable to the 34% increase in daily sales volumes as a result of the Company’s successful horizontal drilling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$64.0 million increase in crude oil, NGL and natural gas revenues due to a 34% increase in daily sales volumes resulting from the Company’s successful horizontal drilling program, partially offset by a 5% decrease in average realized commodity prices per Boe, excluding the effects of derivatives;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$12.2 million decrease in the Company’s income tax expense due to the net income realized during the three months ended March 31, 2024 compared with the net income during the three months ended March 31, 2023;</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$2.7 million decrease in the Company’s crude oil and natural gas production costs primarily as a result of lower expense workover costs compared with the same period in 2023 as well as lower power and fuel costs with the continued reduction in generator power used throughout the field now that we have overhead electric covering the majority of our properties partially offset by higher electricity charges due to the aforementioned overhead electric expansion and increased salt water disposal costs with the increased produced water volumes given the Company’s successful horizontal drilling program adding a significant number of newly completed producing wells;</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$2.4 million increase in the Company’s interest income due to the increased cash on hand;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 million decrease in the Company’s exploration and abandonment expense primarily due to less abandoned leasehold costs.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2024, average daily sales volumes totaled 49,729 Boepd, compared with 37,222 Boepd during the same period in 2023, an increase of 34%, due to the Company’s successful horizontal drilling program.</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realized crude oil prices per Bbl, excluding the effects of derivatives, increased during the three months ended March 31, 2024 to $77.65, compared with $76.07 for the same period in 2023. Weighted average NGL prices per Bbl decreased during the three months ended March 31, 2024 to $24.94, compared with $27.04 for the same period in 2023. Weighted average natural gas prices per Mcf decreased to $1.33 during the three months ended March 31, 2024, compared with $2.21 during the same period in 2023.</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totaled $171.4 million for the three months ended March 31, 2024, compared with $190.0 million for the three months ended March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financial instrument exposure. </w:t>
      </w:r>
      <w:r>
        <w:rPr>
          <w:rFonts w:ascii="Times New Roman" w:cs="Times New Roman" w:eastAsia="Times New Roman" w:hAnsi="Times New Roman"/>
          <w:sz w:val="18"/>
          <w:szCs w:val="18"/>
          <w:color w:val="auto"/>
        </w:rPr>
        <w:t>As of March 31, 2024, the Company was a party to the following open derivative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7"/>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Enhanced Collars &amp; Deferred</w:t>
            </w:r>
          </w:p>
        </w:tc>
      </w:tr>
      <w:tr>
        <w:trPr>
          <w:trHeight w:val="238"/>
        </w:trPr>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Swaps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Premium Puts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7"/>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Floor or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Deferred</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Strike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Ceiling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Premium</w:t>
            </w:r>
          </w:p>
        </w:tc>
      </w:tr>
      <w:tr>
        <w:trPr>
          <w:trHeight w:val="216"/>
        </w:trPr>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Per</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20" w:type="dxa"/>
            <w:vAlign w:val="bottom"/>
          </w:tcPr>
          <w:p>
            <w:pPr>
              <w:spacing w:after="0"/>
              <w:rPr>
                <w:sz w:val="18"/>
                <w:szCs w:val="18"/>
                <w:color w:val="auto"/>
              </w:rPr>
            </w:pPr>
          </w:p>
        </w:tc>
        <w:tc>
          <w:tcPr>
            <w:tcW w:w="11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Payable per</w:t>
            </w:r>
          </w:p>
        </w:tc>
      </w:tr>
      <w:tr>
        <w:trPr>
          <w:trHeight w:val="238"/>
        </w:trPr>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2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2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Day</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Bbl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Bbl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Bbl</w:t>
            </w:r>
          </w:p>
        </w:tc>
      </w:tr>
      <w:tr>
        <w:trPr>
          <w:trHeight w:val="209"/>
        </w:trPr>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Apr – Jun</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4,000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 – Jun</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Apr – Jun</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5,500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69.73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0.61</w:t>
            </w:r>
          </w:p>
        </w:tc>
      </w:tr>
      <w:tr>
        <w:trPr>
          <w:trHeight w:val="216"/>
        </w:trPr>
        <w:tc>
          <w:tcPr>
            <w:tcW w:w="1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 – Jun</w:t>
            </w:r>
          </w:p>
        </w:tc>
        <w:tc>
          <w:tcPr>
            <w:tcW w:w="800" w:type="dxa"/>
            <w:vAlign w:val="bottom"/>
            <w:tcBorders>
              <w:bottom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26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14,000</w:t>
            </w: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60.41</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Jul – Sep</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4,000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 – Sep</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Jul – Sep</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0.85</w:t>
            </w:r>
          </w:p>
        </w:tc>
      </w:tr>
      <w:tr>
        <w:trPr>
          <w:trHeight w:val="216"/>
        </w:trPr>
        <w:tc>
          <w:tcPr>
            <w:tcW w:w="1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 – Sep</w:t>
            </w:r>
          </w:p>
        </w:tc>
        <w:tc>
          <w:tcPr>
            <w:tcW w:w="800" w:type="dxa"/>
            <w:vAlign w:val="bottom"/>
            <w:tcBorders>
              <w:bottom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26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14,000</w:t>
            </w: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60.41</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Oct – Dec</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5,500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76.37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 – Dec</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Oct – Dec</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10,600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65.68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 – Dec</w:t>
            </w:r>
          </w:p>
        </w:tc>
        <w:tc>
          <w:tcPr>
            <w:tcW w:w="800" w:type="dxa"/>
            <w:vAlign w:val="bottom"/>
            <w:tcBorders>
              <w:bottom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26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Jan – Mar</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5,500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76.37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 Mar</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Jan – Mar</w:t>
            </w:r>
          </w:p>
        </w:tc>
        <w:tc>
          <w:tcPr>
            <w:tcW w:w="8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 – Jun</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Apr – Jun</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7,000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1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 – Jun</w:t>
            </w:r>
          </w:p>
        </w:tc>
        <w:tc>
          <w:tcPr>
            <w:tcW w:w="800" w:type="dxa"/>
            <w:vAlign w:val="bottom"/>
            <w:tcBorders>
              <w:bottom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26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Jul – Sep</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75.85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 – Sep</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Jul – Sep</w:t>
            </w:r>
          </w:p>
        </w:tc>
        <w:tc>
          <w:tcPr>
            <w:tcW w:w="8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estimated fair value of the outstanding open derivative financial instruments as of March 31, 2024 was a net liability of $13.5 million which is included in current assets, noncurrent assets, current liabilities and noncurrent liabilities on the Company’s consolidated balance sheet as of March 31, 2024. During the three months ended March 31, 2024, the Company recognized a net derivative loss of $53.0 million, including a $47.9 million mark-to-market loss and $5.1 million in net monthly settlement payments.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Operations and Drilling Highlights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Average daily crude oil, NGL and natural gas sales volumes are as follows: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5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5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5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r>
      <w:tr>
        <w:trPr>
          <w:trHeight w:val="210"/>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(Bbls)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39,959</w:t>
            </w:r>
          </w:p>
        </w:tc>
        <w:tc>
          <w:tcPr>
            <w:tcW w:w="20" w:type="dxa"/>
            <w:vAlign w:val="bottom"/>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NGL (Bbls)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5,147</w:t>
            </w:r>
          </w:p>
        </w:tc>
        <w:tc>
          <w:tcPr>
            <w:tcW w:w="2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(Mcf)</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27,733</w:t>
            </w:r>
          </w:p>
        </w:tc>
        <w:tc>
          <w:tcPr>
            <w:tcW w:w="20" w:type="dxa"/>
            <w:vAlign w:val="bottom"/>
          </w:tcPr>
          <w:p>
            <w:pPr>
              <w:spacing w:after="0"/>
              <w:rPr>
                <w:sz w:val="18"/>
                <w:szCs w:val="18"/>
                <w:color w:val="auto"/>
              </w:rPr>
            </w:pPr>
          </w:p>
        </w:tc>
      </w:tr>
      <w:tr>
        <w:trPr>
          <w:trHeight w:val="234"/>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(Boe)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49,729</w:t>
            </w:r>
          </w:p>
        </w:tc>
        <w:tc>
          <w:tcPr>
            <w:tcW w:w="20" w:type="dxa"/>
            <w:vAlign w:val="bottom"/>
          </w:tcPr>
          <w:p>
            <w:pPr>
              <w:spacing w:after="0"/>
              <w:rPr>
                <w:sz w:val="20"/>
                <w:szCs w:val="20"/>
                <w:color w:val="auto"/>
              </w:rPr>
            </w:pPr>
          </w:p>
        </w:tc>
      </w:tr>
      <w:tr>
        <w:trPr>
          <w:trHeight w:val="414"/>
        </w:trPr>
        <w:tc>
          <w:tcPr>
            <w:tcW w:w="11260" w:type="dxa"/>
            <w:vAlign w:val="bottom"/>
            <w:gridSpan w:val="14"/>
          </w:tcPr>
          <w:p>
            <w:pPr>
              <w:ind w:left="660"/>
              <w:spacing w:after="0"/>
              <w:rPr>
                <w:sz w:val="20"/>
                <w:szCs w:val="20"/>
                <w:color w:val="auto"/>
              </w:rPr>
            </w:pPr>
            <w:r>
              <w:rPr>
                <w:rFonts w:ascii="Times New Roman" w:cs="Times New Roman" w:eastAsia="Times New Roman" w:hAnsi="Times New Roman"/>
                <w:sz w:val="18"/>
                <w:szCs w:val="18"/>
                <w:color w:val="auto"/>
              </w:rPr>
              <w:t>The Company’s liquids production was 91 percent of total production on a Boe basis for the three months ended March 31, 2024.</w:t>
            </w:r>
          </w:p>
        </w:tc>
      </w:tr>
      <w:tr>
        <w:trPr>
          <w:trHeight w:val="432"/>
        </w:trPr>
        <w:tc>
          <w:tcPr>
            <w:tcW w:w="6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Costs incurred are as follows (in thousands):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5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5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5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r>
      <w:tr>
        <w:trPr>
          <w:trHeight w:val="209"/>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Unproved property acquisition costs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1,930</w:t>
            </w:r>
          </w:p>
        </w:tc>
        <w:tc>
          <w:tcPr>
            <w:tcW w:w="20" w:type="dxa"/>
            <w:vAlign w:val="bottom"/>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Proved acquisition costs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18"/>
                <w:szCs w:val="18"/>
                <w:color w:val="auto"/>
              </w:rPr>
            </w:pPr>
          </w:p>
        </w:tc>
      </w:tr>
      <w:tr>
        <w:trPr>
          <w:trHeight w:val="209"/>
        </w:trPr>
        <w:tc>
          <w:tcPr>
            <w:tcW w:w="6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acquisitions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2,171</w:t>
            </w:r>
          </w:p>
        </w:tc>
        <w:tc>
          <w:tcPr>
            <w:tcW w:w="20" w:type="dxa"/>
            <w:vAlign w:val="bottom"/>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121,871</w:t>
            </w:r>
          </w:p>
        </w:tc>
        <w:tc>
          <w:tcPr>
            <w:tcW w:w="20" w:type="dxa"/>
            <w:vAlign w:val="bottom"/>
          </w:tcPr>
          <w:p>
            <w:pPr>
              <w:spacing w:after="0"/>
              <w:rPr>
                <w:sz w:val="18"/>
                <w:szCs w:val="18"/>
                <w:color w:val="auto"/>
              </w:rPr>
            </w:pPr>
          </w:p>
        </w:tc>
      </w:tr>
      <w:tr>
        <w:trPr>
          <w:trHeight w:val="216"/>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costs</w:t>
            </w: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25,908</w:t>
            </w:r>
          </w:p>
        </w:tc>
        <w:tc>
          <w:tcPr>
            <w:tcW w:w="20" w:type="dxa"/>
            <w:vAlign w:val="bottom"/>
          </w:tcPr>
          <w:p>
            <w:pPr>
              <w:spacing w:after="0"/>
              <w:rPr>
                <w:sz w:val="18"/>
                <w:szCs w:val="18"/>
                <w:color w:val="auto"/>
              </w:rPr>
            </w:pPr>
          </w:p>
        </w:tc>
      </w:tr>
      <w:tr>
        <w:trPr>
          <w:trHeight w:val="210"/>
        </w:trPr>
        <w:tc>
          <w:tcPr>
            <w:tcW w:w="6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finding and development costs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149,950</w:t>
            </w:r>
          </w:p>
        </w:tc>
        <w:tc>
          <w:tcPr>
            <w:tcW w:w="20" w:type="dxa"/>
            <w:vAlign w:val="bottom"/>
          </w:tcPr>
          <w:p>
            <w:pPr>
              <w:spacing w:after="0"/>
              <w:rPr>
                <w:sz w:val="18"/>
                <w:szCs w:val="18"/>
                <w:color w:val="auto"/>
              </w:rPr>
            </w:pPr>
          </w:p>
        </w:tc>
      </w:tr>
      <w:tr>
        <w:trPr>
          <w:trHeight w:val="216"/>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8"/>
                <w:szCs w:val="18"/>
                <w:color w:val="auto"/>
              </w:rPr>
            </w:pPr>
          </w:p>
        </w:tc>
      </w:tr>
      <w:tr>
        <w:trPr>
          <w:trHeight w:val="209"/>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incurred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150,070</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11260" w:type="dxa"/>
            <w:vAlign w:val="bottom"/>
            <w:gridSpan w:val="14"/>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total number of horizontal producing wells drilled and completed during the three months ended March 31,</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5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Drilled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Completed</w:t>
            </w:r>
          </w:p>
        </w:tc>
      </w:tr>
      <w:tr>
        <w:trPr>
          <w:trHeight w:val="210"/>
        </w:trPr>
        <w:tc>
          <w:tcPr>
            <w:tcW w:w="5980" w:type="dxa"/>
            <w:vAlign w:val="bottom"/>
          </w:tcPr>
          <w:p>
            <w:pPr>
              <w:spacing w:after="0"/>
              <w:rPr>
                <w:sz w:val="18"/>
                <w:szCs w:val="18"/>
                <w:color w:val="auto"/>
              </w:rPr>
            </w:pPr>
          </w:p>
        </w:tc>
        <w:tc>
          <w:tcPr>
            <w:tcW w:w="8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w:t>
            </w:r>
          </w:p>
        </w:tc>
        <w:tc>
          <w:tcPr>
            <w:tcW w:w="20" w:type="dxa"/>
            <w:vAlign w:val="bottom"/>
          </w:tcPr>
          <w:p>
            <w:pPr>
              <w:spacing w:after="0"/>
              <w:rPr>
                <w:sz w:val="18"/>
                <w:szCs w:val="18"/>
                <w:color w:val="auto"/>
              </w:rPr>
            </w:pPr>
          </w:p>
        </w:tc>
      </w:tr>
      <w:tr>
        <w:trPr>
          <w:trHeight w:val="210"/>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Flat Top area</w:t>
            </w: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240" w:type="dxa"/>
            <w:vAlign w:val="bottom"/>
            <w:gridSpan w:val="4"/>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12</w:t>
            </w:r>
          </w:p>
        </w:tc>
        <w:tc>
          <w:tcPr>
            <w:tcW w:w="1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Signal Peak area</w:t>
            </w: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14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21"/>
                <w:szCs w:val="21"/>
                <w:color w:val="auto"/>
              </w:rPr>
            </w:pPr>
          </w:p>
        </w:tc>
      </w:tr>
      <w:tr>
        <w:trPr>
          <w:trHeight w:val="413"/>
        </w:trPr>
        <w:tc>
          <w:tcPr>
            <w:tcW w:w="5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115"/>
        </w:trPr>
        <w:tc>
          <w:tcPr>
            <w:tcW w:w="59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36" w:name="page37"/>
    <w:bookmarkEnd w:id="3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2024, HighPeak Energy was developing its properties using two (2) drilling rigs and one (1) frac crew. The continued threat of an extensive recession, the scope, duration and magnitude of the direct and indirect effects of pandemics, the war between Russia and Ukraine, the Israel-Hamas and Israel-Iran conflicts and the production cuts announced by OPEC are continuing to evolve and in ways that are difficult or impossible to anticipate. Given the dynamic nature of this situation, the Company is maintaining flexibility with its capital plan and will continue to evaluate drilling and completion activity on an economic basis, with future activity levels assessed monthly.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the Company successfully completed and placed on production twelve (12) gross (12.0 net) horizontal wells, all in the Flat Top area. The Company had twenty-eight (28) gross (18.4 net) wells that had been drilled and were in various stages of completion as of March 31, 2024, twenty-six (26) gross (16.9 net) of which are in the Flat Top area, and two (2) gross (1.5 net) of which are in the Signal Peak area. In addition, as of March 31, 2024, the Company was in the process of drilling two (2) gross (2.0 net) horizontal wells, one in each of the Flat Top and Signal Peak areas.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Crude Oil, NGL and natural gas revenues.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Average daily sales volumes are as follows: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320" w:type="dxa"/>
            <w:vAlign w:val="bottom"/>
          </w:tcPr>
          <w:p>
            <w:pPr>
              <w:spacing w:after="0"/>
              <w:rPr>
                <w:sz w:val="24"/>
                <w:szCs w:val="24"/>
                <w:color w:val="auto"/>
              </w:rPr>
            </w:pPr>
          </w:p>
        </w:tc>
        <w:tc>
          <w:tcPr>
            <w:tcW w:w="258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3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(Bbls)</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39,959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31,507</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NGL (Bbls)</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5,147</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(Mcf)</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27,733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14,611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(Boe)</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49,729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37,222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average daily Boe sales volumes for the three months ended March 31, 2024, compared with the same period in 2023 was primarily due to the Company’s successful horizontal drilling program.</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crude oil, NGL and natural gas prices that the Company reports are based on the market prices received for each commodity. The weighted average realized prices, excluding the effects of derivatives,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per Bbl</w:t>
            </w:r>
          </w:p>
        </w:tc>
        <w:tc>
          <w:tcPr>
            <w:tcW w:w="2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77.65</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76.07</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NGL per Bbl</w:t>
            </w:r>
          </w:p>
        </w:tc>
        <w:tc>
          <w:tcPr>
            <w:tcW w:w="2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24.94</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per Mcf</w:t>
            </w:r>
          </w:p>
        </w:tc>
        <w:tc>
          <w:tcPr>
            <w:tcW w:w="2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per Boe</w:t>
            </w:r>
          </w:p>
        </w:tc>
        <w:tc>
          <w:tcPr>
            <w:tcW w:w="2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63.59</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66.80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4"/>
        </w:trPr>
        <w:tc>
          <w:tcPr>
            <w:tcW w:w="38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Crude Oil and natural gas production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Crude oil and natural gas production costs in total and per Boe are as follows (in thousands, except percentages and per Boe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and natural gas production costs</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30,271</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32,942</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Crude oil and natural gas production costs per Boe (excluding expense workovers)</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8.57</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Workover expense</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0.39</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decrease in crude oil and natural gas production costs can primarily be attributed to lower expense workover costs compared with the same period in 2023 as well as lower power and fuel costs with the continued reduction in generator power used throughout the field now that we have overhead electric covering the majority of our properties and lower treating and chemical costs. These decreases were partially offset by higher electricity charges due to the aforementioned overhead electric expansion and increased salt-water disposal costs with the increased produced water volumes. The Company’s sales volumes continue to be curtailed by gas takeaway issues that we continue to work on with our gas processing partners.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Production and ad valorem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Production and ad valorem taxes are as follows (in thousands, except percentages):</w:t>
      </w:r>
    </w:p>
    <w:p>
      <w:pPr>
        <w:spacing w:after="0" w:line="221"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90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14,402</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12,297</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general, production taxes and ad valorem taxes are directly related to commodity sales volumes and price changes; however, Texas ad valorem taxes are based upon an asset valuation assessed by the state as of January 1 of that particular year based on prior year commodity prices, whereas production taxes are based upon current year sales revenues at current commodity prices.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Production and ad valorem taxes per Boe are as follows:</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taxes per Boe</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Ad valorem taxes per Boe</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0.07</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production taxes per Boe for the three months ended March 31, 2024, compared with the same period in 2023, was primarily due to the 5% decrease in realized prices.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abandonments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Exploration and abandonment expense details are as follows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Geologic and geophysical personnel costs</w:t>
            </w:r>
          </w:p>
        </w:tc>
        <w:tc>
          <w:tcPr>
            <w:tcW w:w="264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108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Plugging and abandonment expense</w:t>
            </w:r>
          </w:p>
        </w:tc>
        <w:tc>
          <w:tcPr>
            <w:tcW w:w="1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Geologic and geophysical data costs</w:t>
            </w:r>
          </w:p>
        </w:tc>
        <w:tc>
          <w:tcPr>
            <w:tcW w:w="1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Abandoned leasehold costs</w:t>
            </w:r>
          </w:p>
        </w:tc>
        <w:tc>
          <w:tcPr>
            <w:tcW w:w="16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abandonments expense</w:t>
            </w:r>
          </w:p>
        </w:tc>
        <w:tc>
          <w:tcPr>
            <w:tcW w:w="264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498</w:t>
            </w:r>
          </w:p>
        </w:tc>
        <w:tc>
          <w:tcPr>
            <w:tcW w:w="108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2,164</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Exploration and abandonment costs decreased during the three months ended March 31, 2024 primarily due to a $1.9 million decrease in amount of abandoned leasehold costs related to undeveloped acreage that was not in an area where the Company had current plans to drill and thus the leases were allowed to expire. The Company remains committed to maintaining as much of its undeveloped leasehold acreage position as possible, but from time to time, certain acreage is not able to be extended at reasonable prices and we are not able to get a drilling rig in the area to drill in time to save the leases for a multitude of reasons.</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40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DD&amp;A expense.</w:t>
            </w: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2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DD&amp;A expense and DD&amp;A expense per Boe are as follows (in thousands, except percentages and per Boe amounts):</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0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DD&amp;A expense</w:t>
            </w:r>
          </w:p>
        </w:tc>
        <w:tc>
          <w:tcPr>
            <w:tcW w:w="2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130,850</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81,131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DD&amp;A expense per Boe</w:t>
            </w:r>
          </w:p>
        </w:tc>
        <w:tc>
          <w:tcPr>
            <w:tcW w:w="2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28.92</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DD&amp;A is primarily due to the increased production associated with our successful horizontal drilling program and the increase in rate can be attributed to significant inflationary pressures on capital costs over the past year.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and general and administrative expense per Boe as well as stock-based compensation expense are as follows (in thousands, except percentages and per Boe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4,685</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2,502</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 per Boe</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3,798</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4,054</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general and administrative expense and general and administrative expense per Boe for the three months ended March 31, 2024 is primarily as a result of accrued bonuses which were not recognized until the third quarter of 2023 but are being accrued monthly in 2024, adding new employees and increased salaries and benefits related to the growth of the Company in addition to higher professional services costs related to the growth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tc>
        <w:tc>
          <w:tcPr>
            <w:tcW w:w="1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5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Credit Agreement</w:t>
            </w:r>
          </w:p>
        </w:tc>
        <w:tc>
          <w:tcPr>
            <w:tcW w:w="27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38,973</w:t>
            </w:r>
          </w:p>
        </w:tc>
        <w:tc>
          <w:tcPr>
            <w:tcW w:w="10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Senior Credit Facility Agreement</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Credit Agreement</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7,748</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10.625% Senior Notes</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6,641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 Senior Notes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5,625</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4,290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8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2,668</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4420" w:type="dxa"/>
            <w:vAlign w:val="bottom"/>
          </w:tcPr>
          <w:p>
            <w:pPr>
              <w:spacing w:after="0"/>
              <w:rPr>
                <w:sz w:val="18"/>
                <w:szCs w:val="18"/>
                <w:color w:val="auto"/>
              </w:rPr>
            </w:pPr>
          </w:p>
        </w:tc>
        <w:tc>
          <w:tcPr>
            <w:tcW w:w="27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43,634</w:t>
            </w:r>
          </w:p>
        </w:tc>
        <w:tc>
          <w:tcPr>
            <w:tcW w:w="10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26,972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line="20" w:lineRule="exact"/>
              <w:rPr>
                <w:sz w:val="1"/>
                <w:szCs w:val="1"/>
                <w:color w:val="auto"/>
              </w:rPr>
            </w:pPr>
          </w:p>
        </w:tc>
      </w:tr>
      <w:tr>
        <w:trPr>
          <w:trHeight w:val="413"/>
        </w:trPr>
        <w:tc>
          <w:tcPr>
            <w:tcW w:w="4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39" w:name="page40"/>
    <w:bookmarkEnd w:id="3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interest expense can be attributed to a higher overall debt balance in 2024 compared with 2023 and higher interest rates in 2024 primarily on our Term Loan Credit Agreement compared with interest rates in 2023 on our Prior Credit Agreement, 10.000% Senior Notes and 10.625% Senior Notes. Partially offsetting this increase was a decrease in amortization of discounts and debt issuance costs as a result of the issuance of our longer term $1.2 billion Term Loan Credit Agreement in mid-September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Gain (loss) on derivative instruments, net.</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gain (loss) on derivative instruments, net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(47,895)</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5,314</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Cash paid on settlements of derivative instruments, net</w:t>
            </w:r>
          </w:p>
        </w:tc>
        <w:tc>
          <w:tcPr>
            <w:tcW w:w="1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(53,043)</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primarily utilizes commodity swap contracts and deferred premium collars and deferred premium put option contracts to (i) reduce the effect of price volatility on the commodities the Company produces and sells or consumes, (ii) support the Company’s annual capital budget and expenditure plans and (iii) reduce commodity price risk associated with certain capital projects. The Company’s Term Loan Credit Agreement and Senior Credit Facility Agreement require, and previously the Prior Credit Agreement and the indentures governing the Company’s 10.000% Senior Notes and 10.625% Senior Notes required, the Company to hedge certain quantities of its projected crude oil production. The Company may also, from time to time, utilize interest rate contracts to reduce the effect of interest rate volatility on the Company’s indebtedness. The above mark-to-market gain (loss) and cash settlements relate to crude oil derivative swap contracts, deferred premium collars and deferred premium put option contracts.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1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2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7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2,297</w:t>
            </w:r>
          </w:p>
        </w:tc>
        <w:tc>
          <w:tcPr>
            <w:tcW w:w="10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14,507</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change in provision for income taxes during the three months ended March 31, 2024, compared with the same period in 2023, was due to the Company realizing decreased net income during the three months ended March 31, 2024 compared with the same period in 2023. The effective income tax rate differs from the statutory rate primarily due to certain stock-based compensation, Texas state income taxes and other permanent differences between GAAP income and taxable income. See Note 13 of Notes to Consolidated Financial Statements included in "Item 1. Condensed Consolidated Financial Statements (Unaudited)"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r>
        <w:rPr>
          <w:rFonts w:ascii="Times New Roman" w:cs="Times New Roman" w:eastAsia="Times New Roman" w:hAnsi="Times New Roman"/>
          <w:sz w:val="18"/>
          <w:szCs w:val="18"/>
          <w:color w:val="auto"/>
        </w:rPr>
        <w:t>. The Company’s primary sources of short-term liquidity are (i) cash and cash equivalents, (ii) net cash provided by operating activities,</w:t>
      </w:r>
    </w:p>
    <w:p>
      <w:pPr>
        <w:spacing w:after="0" w:line="31"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under the Senior Credit Facility Agreement, (iv) on an opportunistic basis, other issuances of debt or equity securities and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nonstrategic assets.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short-term and long-term liquidity requirements consist primarily of (i) capital expenditures, (ii) near-term debt maturities, including quarterly mandatory payments under our Term Loan Credit Agreement, (iii) payments of other contractual obligations, (iv) acquisitions of crude oil and natural gas properties and (v) working capital obligations. Funding for these cash needs may be provided by any combination of the Company’s sources of liquidity.</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2024 capital budget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capital budget for 2024 is expected to be in the range of approximately $450 to $525 million for drilling,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completion, facilities and equipping crude oil wells plus $50 to $60 million for field infrastructure buildout and other costs. The 2024 capital budget excludes acquisitions, asset retirement obligations, geological and geophysical expenses, general and administrative expenses and corporate facilities. HighPeak Energy expects to fund its forecasted capital expenditures with cash on its consolidated balance sheet, cash generated by operations and borrowing capacity available under its Senior Credit Facility Agreement. The Company’s capital expenditures for the three months ended March 31, 2024 were $147.8 million, excluding acquisitions.</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there are many factors and consequences beyond the Company’s control impacting our capital budget, such as policies of the Biden Administration, economic downturn or potential recession, geo-political risks and additional actions by businesses, OPEC and other cooperating countries, and governments in response to pandemics, that may have an impact on the Company’s future results and drilling plans. For additional information on the risks, see “Part I, Item 1A. Risk Factors” in the Company’s Annual Report. The Company is maintaining flexibility in its capital plan and will continue to evaluate drilling and completion activity on an economic basis, with future activity levels assessed monthly.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r>
        <w:rPr>
          <w:rFonts w:ascii="Times New Roman" w:cs="Times New Roman" w:eastAsia="Times New Roman" w:hAnsi="Times New Roman"/>
          <w:sz w:val="18"/>
          <w:szCs w:val="18"/>
          <w:color w:val="auto"/>
        </w:rPr>
        <w:t>. Cash flows from operating, investing and financing activities are summarized below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171,439</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190,006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(319,522)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171,299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(44,351)</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146,548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(190,899)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The decrease in net cash flow provided by operating activities for the three months ended March 31, 2024,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was primarily related to an increase in accounts receivable, prepaid expenses, inventory and other assets and a decrease in accounts payable and other current liabilities, partially offset by higher revenues associated with increased production volumes as a result of our successful horizontal drilling program and lower operating expenses due to our cost cutting efforts related primarily to power generation and treating and chemical costs.</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The decrease in net cash used in investing activities for the three months ended March 31, 2024, compared with 2023,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decreases in additions to crude oil and natural gas properties when the Company had fewer drilling rigs and frac crews running compared with the three months ended March 31, 2023, partially offset by a decrease in cash crude oil and natural gas property acquisition costs.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Company's significant financing activities are as follows:</w:t>
      </w:r>
    </w:p>
    <w:p>
      <w:pPr>
        <w:spacing w:after="0" w:line="227" w:lineRule="exact"/>
        <w:rPr>
          <w:sz w:val="20"/>
          <w:szCs w:val="20"/>
          <w:color w:val="auto"/>
        </w:rPr>
      </w:pPr>
    </w:p>
    <w:p>
      <w:pPr>
        <w:jc w:val="both"/>
        <w:ind w:left="780" w:hanging="327"/>
        <w:spacing w:after="0" w:line="266"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months ended March 31, 2024: The Company made a mandatory payment on its Term Loan Credit Facility of $30.0 million, paid $8.8 million to repurchase 565,540 shares of its common stock at an average cost of approximately $15.50 per share, excluding any potential excise taxes, and paid dividends and dividend equivalents of $5.1 million and $530,000, respectively.</w:t>
      </w:r>
    </w:p>
    <w:p>
      <w:pPr>
        <w:spacing w:after="0" w:line="175" w:lineRule="exact"/>
        <w:rPr>
          <w:rFonts w:ascii="Times New Roman" w:cs="Times New Roman" w:eastAsia="Times New Roman" w:hAnsi="Times New Roman"/>
          <w:sz w:val="18"/>
          <w:szCs w:val="18"/>
          <w:color w:val="auto"/>
        </w:rPr>
      </w:pPr>
    </w:p>
    <w:p>
      <w:pPr>
        <w:jc w:val="both"/>
        <w:ind w:left="780" w:right="20" w:hanging="327"/>
        <w:spacing w:after="0" w:line="266"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months ended March 31, 2023: The Company borrowed $150.0 million on the Prior Credit Agreement and received $150,000 in proceeds from the exercise of stock options and warrants partially offset by the payment of dividends and dividend equivalents of $2.8 million and $282,000, respectively and the payment of $544,000 in debt issuance costs primarily related to amendments to the Prior Credit Agreement.</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are exposed to market risk due to the floating interest rates associated with any outstanding balance on the Term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and the Senior Credit Facility Agreement. As of March 31, 2024, we had a $1.17 billion outstanding balance on the Term Loan Credit Agreement and zero outstanding on the Senior Credit Facility Agreement. Our Term Loan Credit Agreement fixes the interest rate for all of the principal balance of the Term Loan Credit Agreement at the end of each quarter for a period of three months and the Senior Credit Facility Agreement allows us to fix the interest rate for all or a portion of the principal balance for a period of six months. To the extent that the interest rate is fixed, interest rate changes will affect the Term Loan Credit Agreement’s and Senior Credit Facility Agreement’s fair value but will not impact results of operations or cash flows. Conversely, for the portion of the Term Loan Credit Agreement and Senior Credit Facility Agreement that has a floating interest rate, interest rate changes will not affect the fair value but will impact future results of operations and cash flows.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Commodity Price Risk. </w:t>
      </w:r>
      <w:r>
        <w:rPr>
          <w:rFonts w:ascii="Times New Roman" w:cs="Times New Roman" w:eastAsia="Times New Roman" w:hAnsi="Times New Roman"/>
          <w:sz w:val="18"/>
          <w:szCs w:val="18"/>
          <w:color w:val="auto"/>
        </w:rPr>
        <w:t>The prices we receive for our crude oil, NGL and natural gas production directly impact our revenue, profitability,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capital, and future rate of growth. Crude oil, NGL and natural gas prices are subject to unpredictable fluctuations resulting from a variety of factors, including changes in supply and demand and the macroeconomic environment, and seasonal anomalies, all of which are typically beyond our control. The markets for crude oil, NGL and natural gas have been volatile, especially over the last several years. Commodity prices have improved from historic lows in 2020 resulting from the impacts of the COVID-19 pandemic. Additionally, commodity prices are subject to heightened levels of uncertainty related to geopolitical issues such as the ongoing armed conflicts between Russia and Ukraine, Israel and Hamas and Israel and Iran. The realized prices we receive for our production also depend on numerous factors that are typically beyond our control. Based on our sales volumes during the three months ended March 31, 2024 and excluding the effects on derivatives, a $1.00 per barrel increase (decrease) in the weighted average crude oil price for the three months ended March 31, 2024 would have increased (decreased) the Company’s revenues by approximately $15.1 million on an annualized basis and a $0.10 per Mcf increase (decrease) in the weighted average natural gas price for the three months ended March 31, 2024 would have increased (decreased) the Company’s revenues by approximately $1.0 million on an annualized basis.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enter into commodity derivative contracts to reduce the risk of fluctuations in commodity prices. The fair value of our commodity derivative contracts is largely determined by estimates of the forward curves of the relevant price indices. As of March 31, 2024, a $1.00 increase (decrease) in the forward curves associated with our crude oil commodity derivative instruments would have decreased (increased) our net derivative positions for these products by approximately $6.0 million.</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The Company's contractual obligations include leases (primarily related to contracted drilling rigs, equipment and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capital funding obligations and other liabilities. Other joint owners in the properties operated by the Company could incur portions of the costs represented by these commitments.</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EBITDAX represents net income before interest expense, interest and other income, income taxes, depletion, depreciation, and amortization, accretion of discount on asset retirement obligations, exploration and abandonment expense, non-cash stock-based compensation expense, noncash derivative gains and losses, other expense, gains and losses on divestitures and certain other items. EBITDAX excludes certain items we believe affect the comparability of operating results and can exclude items that are generally non-recurring in nature or whose timing and/or amount cannot be reasonably estimated. EBITDAX is a non-GAAP measure that we believe provides useful additional information to investors and analysts, as a performance measure, for analysis of our ability to internally generate funds for exploration, development, acquisitions, and to service debt. In addition, EBITDAX is widely used by professional research analysts and others in the valuation, comparison, and investment recommendations of companies in the crude oil and natural gas exploration and production industry, and many investors use the published research of industry research analysts in making investment decisions. EBITDAX should not be considered in isolation or as a substitute for net income, income from operations, net cash provided by operating activities, or other profitability or liquidity measures prepared under GAAP. Because EBITDAX excludes some, but not all items that affect net income and may vary among companies, the EBITDAX amounts presented may not be comparable to similar metrics of other companies.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also subject to financial covenants under our Term Loan Credit Agreement and Senior Credit Facility Agreement based on EBITDAX ratios as further described in Note 7 of Notes to Consolidated Financial Statements included in “Item 1. Condensed Consolidated Financial Statements (Unaudited)” of this Quarterly Report. The Term Loan Credit Agreement and Senior Credit Facility Agreement provide a material source of liquidity for us. Under the terms of our Term Loan Credit Agreement and the Senior Credit Facility Agreement, if we fail to comply with the covenants that establish a maximum permitted ratio of total net leverage or a minimum permitted ratio of asset coverage, we would be in default, an event that would accelerate repayments under the Term Loan Credit Agreement and prevent us from borrowing under the Senior Credit Facility Agreement and would therefore materially limit a significant source of our liquidity. In addition, if we are in default under the Term Loan Credit Agreement and the Senior Credit Facility Agreement and are unable to obtain a waiver of that default from our lenders, lenders under those agreements would be entitled to exercise all of their remedies for default.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our net income (GAAP) to EBITDAX (non-GAAP)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6,438</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50,257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26,972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14,507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130,850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81,131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abandonment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related noncash activity</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47,895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EBITDAX</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233,258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173,859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historical condensed consolidated financial statements and related notes to condensed consolidated financial statements contain information that is pertinent to our management’s discussion and analysis of financial condition and results of operations. Preparation of financial statements in conformity with accounting principles generally accepted in the United States requires that our management make estimates, judgments and assumptions that affect the reported amounts of assets, liabilities, revenues and expenses, and the disclosure of contingent assets and liabilities. However, the accounting principles used by us generally do not change our reported cash flows or liquidity. Interpretation of the existing rules must be done, and judgments made on how the specifics of a given rule apply to us.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management’s opinion, the more significant reporting areas impacted by management’s judgments and estimates are the choice of accounting method for crude oil and natural gas activities, crude oil, NGL and natural gas reserve estimation, asset retirement obligations, impairment of long-lived assets, valuation of stock-based compensation, valuation of business combinations, accounting and valuation of nonmonetary transactions, litigation and environmental contingencies, valuation of financial derivative instruments, uncertain tax positions and income taxes.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Management’s judgments and estimates in all the areas listed above are based on information available from both internal and external sources, including engineers, geologists and historical experience in similar matters. Actual results could differ from the estimates as additional information becomes known.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procedures during the three months ended March 31, 2024. See our disclosure of critical accounting policies in “Item 7. Management’s Discussion and Analysis of Financial Condition and Results of Operations” and “Item 8. Financial Statements and Supplementary Data” of our Annual Report.</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pronouncements issued but not yet adopted. </w:t>
      </w:r>
      <w:r>
        <w:rPr>
          <w:rFonts w:ascii="Times New Roman" w:cs="Times New Roman" w:eastAsia="Times New Roman" w:hAnsi="Times New Roman"/>
          <w:sz w:val="18"/>
          <w:szCs w:val="18"/>
          <w:color w:val="auto"/>
        </w:rPr>
        <w:t>The effects of new accounting pronouncements are discussed in Note 2 of Notes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Condensed Consolidated Financial Statements included in "Item 1. Condensed Consolidated Financial Statements (Unaudited)."</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149" w:gutter="0" w:footer="0" w:header="0"/>
        </w:sectPr>
      </w:pPr>
    </w:p>
    <w:bookmarkStart w:id="42" w:name="page43"/>
    <w:bookmarkEnd w:id="42"/>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major market risk exposure is the pricing it receives for its sales of crude oil, NGL and natural gas. Pricing for crude oil, NGL and natural gas has been volatile and unpredictable for several years, and HighPeak Energy expects this volatility to continue in the future.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period from January 1, 2020 through March 31, 2024, the calendar month average NYMEX WTI crude oil price per Bbl ranged from a low of $16.70 to a high of $114.34, and the last trading day NYMEX natural gas price per MMBtu ranged from a low of $1.50 to a high of $9.35. A $1.00 per barrel increase (decrease) in the weighted average crude oil price for the three months ended March 31, 2024 would have increased (decreased) the Company’s revenues by approximately $15.1 million on an annualized basis, excluding the effects of derivatives, and a $0.10 per Mcf increase (decrease) in the weighted average natural gas price for the three months ended March 31, 2024 would have increased (decreased) the Company’s revenues by approximately $1.0 million on an annualized basis, excluding the effects of derivatives.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Due to this volatility, the Company uses commodity derivative instruments, such as swaps, puts and collars, to hedge price risk associated with a portion of anticipated production. These hedging instruments allow the Company to reduce, but not eliminate, the potential effects of the variability in cash flow from operations due to fluctuations in crude oil and natural gas prices and provide increased certainty of cash flows for its drilling program. These instruments provide only partial price protection against declines in crude oil and natural gas prices and may partially limit the Company’s potential gains from future increases in prices. The Company enters into hedging arrangements to protect its capital expenditure budget. The Company’s Term Loan Credit Agreement and Senior Credit Facility Agreement require the Company to hedge certain quantities of its projected crude oil production. The Company does not enter into any commodity derivative instruments, including derivatives, for speculative or trading purposes.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Counterparty and Customer Credit Risk. </w:t>
      </w:r>
      <w:r>
        <w:rPr>
          <w:rFonts w:ascii="Times New Roman" w:cs="Times New Roman" w:eastAsia="Times New Roman" w:hAnsi="Times New Roman"/>
          <w:sz w:val="18"/>
          <w:szCs w:val="18"/>
          <w:color w:val="auto"/>
        </w:rPr>
        <w:t>The Company’s derivative contracts, if any, expose it to credit risk in the event of nonperformance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counterparties. It is anticipated that if the Company enters into any commodity contracts, the collateral defined in the Collateral Agency Agreement may be used as collateral for the Company’s commodity derivatives. The Company evaluates the credit standing of its counterparties as it deems appropriate. It is anticipated that any counterparties to HighPeak Energy’s derivative contracts would have investment grade ratings.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principal exposures to credit risk are through receivables from the sale of crude oil and natural gas production due to the concentration of its crude oil and natural gas receivables with a few significant customers. The inability or failure of the Company’s significant customers to meet their obligations to the Company or their insolvency or liquidation may adversely affect the Company’s financial results.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average forward prices based on March 28, 2024 market quotes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Year Ending</w:t>
            </w:r>
          </w:p>
        </w:tc>
      </w:tr>
      <w:tr>
        <w:trPr>
          <w:trHeight w:val="216"/>
        </w:trPr>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Remainder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forward NYMEX crude oil price per 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w:t>
            </w: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Average forward NYMEX natural gas price per MMBtu</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414"/>
        </w:trPr>
        <w:tc>
          <w:tcPr>
            <w:tcW w:w="6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average forward prices based on May 6, 2024 market quotes were as follows: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0"/>
        </w:trPr>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Year Ending</w:t>
            </w:r>
          </w:p>
        </w:tc>
      </w:tr>
      <w:tr>
        <w:trPr>
          <w:trHeight w:val="216"/>
        </w:trPr>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Remainder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forward NYMEX crude oil price per 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76.62</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w:t>
            </w: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Average forward NYMEX natural gas price per MMBtu</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bl>
    <w:p>
      <w:pPr>
        <w:spacing w:after="0" w:line="17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Risk. </w:t>
      </w:r>
      <w:r>
        <w:rPr>
          <w:rFonts w:ascii="Times New Roman" w:cs="Times New Roman" w:eastAsia="Times New Roman" w:hAnsi="Times New Roman"/>
          <w:sz w:val="18"/>
          <w:szCs w:val="18"/>
          <w:color w:val="auto"/>
        </w:rPr>
        <w:t>The Company's primary concentration of credit risk is associated with (i) the collection of receivables resulting from the sale of crude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oil and natural gas production and (ii) the risk of a counterparty's failure to meet its obligations under derivative contracts with the Company.</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monitors exposure to counterparties primarily by reviewing credit ratings, financial criteria and payment history. Where appropriate, the Company obtains assurances of payment, such as a guarantee by the parent company of the counterparty or other credit support. The Company's crude oil and natural gas is sold to various purchasers who must be prequalified under the Company's credit risk policies and procedures. Historically, the Company's credit losses on crude oil and natural gas receivables have not been material.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entered into International Swap Dealers Association Master Agreements (“ISDA Agreements”) with its derivative counterparties. The terms of the ISDA Agreements provide the Company and the counterparties with right of set off upon the occurrence of defined acts of default by either the Company or a counterparty to a derivative contract, whereby the party not in default may set off all derivative liabilities owed to the defaulting party against all derivative asset receivables from the defaulting party.</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As of March 31, 2024, we had $1.2 billion outstanding under the Term Loan Credit Agreement and had $93.1 million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borrowing capacity under the Senior Credit Facility Agreement. The Company is subject to interest rate risk on its variable rate debt from our Term Loan Credit Agreement and Senior Credit Facility Agreement. The Company also periodically has fixed rate debt but does not currently utilize derivative instruments to manage the economic effect of changes in interest rates. The impact of a 1% increase in interest rates on our outstanding debt as of March 31, 2024 would have resulted in an annual increase in interest expense of approximately $11.7 million.</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771" w:gutter="0" w:footer="0" w:header="0"/>
        </w:sectPr>
      </w:pPr>
    </w:p>
    <w:bookmarkStart w:id="43" w:name="page44"/>
    <w:bookmarkEnd w:id="43"/>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Exchange Act, HighPeak Energy has evaluated, under the supervision and with the participation of the Company’s management, including HighPeak Energy’s principal executive officer and principal financial officer, the effectiveness of the design and operation of its disclosure controls and procedures (as defined in Rule 13a-15(e) and 15d-15(e) under the Exchange Act) as of the end of the fiscal period covered by this Quarterly Report. Based on that evaluation, HighPeak Energy’s principal executive officer and principal financial officer concluded that the Company’s disclosure controls and procedures were effective, as of the end of the period covered by this Quarterly Report, in ensuring that information required to be disclosed by the Company in the reports that it files or submits under the Exchange Act is recorded, processed, summarized and reported within the time periods specified in the SEC’s rules and forms, including that such information is accumulated and communicated to the Company’s management, including the principal executive officer and principal financial officer, to allow timely decisions regarding required disclosure.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defined in Rule 13a-15(f) under the Exchange Act) that occurred during the three months ended March 31, 2024 that have materially affected or are reasonably likely to materially affect the Company’s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various proceedings and claims incidental to its business. While many of these 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results of operations.</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information set forth in this Quarterly Report, the risks that are discussed in the Company’s Annual Report under the headings “Risk Factors,” “Business and Properties,” “Management’s Discussion and Analysis of Financial Condition and Results of Operations” and “Quantitative and Qualitative Disclosures About Market Risk,” should be carefully considered, as such risks could materially affect the Company's business, financial condition or future results. There has been no material change in the Company's risk factors that were described in the Company’s Annual Report.</w:t>
      </w:r>
    </w:p>
    <w:p>
      <w:pPr>
        <w:spacing w:after="0" w:line="18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repurchase activity for the three months ended March 31, 2024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Dollar Value</w:t>
            </w: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of Shares that</w:t>
            </w: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May Yet to Be</w:t>
            </w: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5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Paid Per</w:t>
            </w:r>
          </w:p>
        </w:tc>
        <w:tc>
          <w:tcPr>
            <w:tcW w:w="15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38"/>
        </w:trPr>
        <w:tc>
          <w:tcPr>
            <w:tcW w:w="310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Borders>
              <w:bottom w:val="single" w:sz="8" w:color="auto"/>
            </w:tcBorders>
          </w:tcPr>
          <w:p>
            <w:pPr>
              <w:jc w:val="center"/>
              <w:ind w:right="31"/>
              <w:spacing w:after="0" w:line="239" w:lineRule="exact"/>
              <w:rPr>
                <w:sz w:val="20"/>
                <w:szCs w:val="20"/>
                <w:color w:val="auto"/>
              </w:rPr>
            </w:pPr>
            <w:r>
              <w:rPr>
                <w:rFonts w:ascii="Times New Roman" w:cs="Times New Roman" w:eastAsia="Times New Roman" w:hAnsi="Times New Roman"/>
                <w:sz w:val="17"/>
                <w:szCs w:val="17"/>
                <w:b w:val="1"/>
                <w:bCs w:val="1"/>
                <w:color w:val="auto"/>
              </w:rPr>
              <w:t>Purchased</w:t>
            </w:r>
            <w:r>
              <w:rPr>
                <w:rFonts w:ascii="Times New Roman" w:cs="Times New Roman" w:eastAsia="Times New Roman" w:hAnsi="Times New Roman"/>
                <w:sz w:val="27"/>
                <w:szCs w:val="27"/>
                <w:b w:val="1"/>
                <w:bCs w:val="1"/>
                <w:color w:val="auto"/>
                <w:vertAlign w:val="superscript"/>
              </w:rPr>
              <w:t>(1)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231"/>
              <w:spacing w:after="0" w:line="239" w:lineRule="exact"/>
              <w:rPr>
                <w:sz w:val="20"/>
                <w:szCs w:val="20"/>
                <w:color w:val="auto"/>
              </w:rPr>
            </w:pPr>
            <w:r>
              <w:rPr>
                <w:rFonts w:ascii="Times New Roman" w:cs="Times New Roman" w:eastAsia="Times New Roman" w:hAnsi="Times New Roman"/>
                <w:sz w:val="17"/>
                <w:szCs w:val="17"/>
                <w:b w:val="1"/>
                <w:bCs w:val="1"/>
                <w:color w:val="auto"/>
                <w:w w:val="97"/>
              </w:rPr>
              <w:t>Share</w:t>
            </w:r>
            <w:r>
              <w:rPr>
                <w:rFonts w:ascii="Times New Roman" w:cs="Times New Roman" w:eastAsia="Times New Roman" w:hAnsi="Times New Roman"/>
                <w:sz w:val="27"/>
                <w:szCs w:val="27"/>
                <w:b w:val="1"/>
                <w:bCs w:val="1"/>
                <w:color w:val="auto"/>
                <w:w w:val="97"/>
                <w:vertAlign w:val="superscript"/>
              </w:rPr>
              <w:t>(2)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4"/>
                <w:szCs w:val="14"/>
                <w:b w:val="1"/>
                <w:bCs w:val="1"/>
                <w:color w:val="auto"/>
              </w:rPr>
              <w:t>(3)(4)</w:t>
            </w:r>
          </w:p>
        </w:tc>
      </w:tr>
      <w:tr>
        <w:trPr>
          <w:trHeight w:val="209"/>
        </w:trPr>
        <w:tc>
          <w:tcPr>
            <w:tcW w:w="3100" w:type="dxa"/>
            <w:vAlign w:val="bottom"/>
          </w:tcPr>
          <w:p>
            <w:pPr>
              <w:spacing w:after="0"/>
              <w:rPr>
                <w:sz w:val="18"/>
                <w:szCs w:val="18"/>
                <w:color w:val="auto"/>
              </w:rPr>
            </w:pPr>
          </w:p>
        </w:tc>
        <w:tc>
          <w:tcPr>
            <w:tcW w:w="4660" w:type="dxa"/>
            <w:vAlign w:val="bottom"/>
            <w:gridSpan w:val="8"/>
          </w:tcPr>
          <w:p>
            <w:pPr>
              <w:ind w:left="400"/>
              <w:spacing w:after="0"/>
              <w:rPr>
                <w:sz w:val="20"/>
                <w:szCs w:val="20"/>
                <w:color w:val="auto"/>
              </w:rPr>
            </w:pPr>
            <w:r>
              <w:rPr>
                <w:rFonts w:ascii="Times New Roman" w:cs="Times New Roman" w:eastAsia="Times New Roman" w:hAnsi="Times New Roman"/>
                <w:sz w:val="18"/>
                <w:szCs w:val="18"/>
                <w:b w:val="1"/>
                <w:bCs w:val="1"/>
                <w:color w:val="auto"/>
              </w:rPr>
              <w:t>($ in thousands, except per share amounts and shares)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2024 - January 31, 2024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2024 - February 29, 2024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2024 - March 31, 2024</w:t>
            </w:r>
          </w:p>
        </w:tc>
        <w:tc>
          <w:tcPr>
            <w:tcW w:w="640" w:type="dxa"/>
            <w:vAlign w:val="bottom"/>
            <w:tcBorders>
              <w:bottom w:val="single" w:sz="8" w:color="CCEEFF"/>
            </w:tcBorders>
            <w:gridSpan w:val="2"/>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565,540</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565,540</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66,236</w:t>
            </w:r>
          </w:p>
        </w:tc>
      </w:tr>
      <w:tr>
        <w:trPr>
          <w:trHeight w:val="209"/>
        </w:trPr>
        <w:tc>
          <w:tcPr>
            <w:tcW w:w="3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gridSpan w:val="3"/>
          </w:tcPr>
          <w:p>
            <w:pPr>
              <w:jc w:val="right"/>
              <w:ind w:right="31"/>
              <w:spacing w:after="0"/>
              <w:rPr>
                <w:sz w:val="20"/>
                <w:szCs w:val="20"/>
                <w:color w:val="auto"/>
              </w:rPr>
            </w:pPr>
            <w:r>
              <w:rPr>
                <w:rFonts w:ascii="Times New Roman" w:cs="Times New Roman" w:eastAsia="Times New Roman" w:hAnsi="Times New Roman"/>
                <w:sz w:val="18"/>
                <w:szCs w:val="18"/>
                <w:color w:val="auto"/>
              </w:rPr>
              <w:t>565,540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565,540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cancelled and retired.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commissions paid to repurchase stock.</w:t>
      </w:r>
    </w:p>
    <w:p>
      <w:pPr>
        <w:spacing w:after="0" w:line="9" w:lineRule="exact"/>
        <w:rPr>
          <w:rFonts w:ascii="Times New Roman" w:cs="Times New Roman" w:eastAsia="Times New Roman" w:hAnsi="Times New Roman"/>
          <w:sz w:val="18"/>
          <w:szCs w:val="18"/>
          <w:color w:val="auto"/>
        </w:rPr>
      </w:pPr>
    </w:p>
    <w:p>
      <w:pPr>
        <w:ind w:right="480" w:firstLine="8"/>
        <w:spacing w:after="0" w:line="250"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our board of directors approved a stock repurchase program for up to $75.0 million, excluding excise tax. The stock repurchase program expires on December 31, 2024 and may be suspended, modified, or discontinued by the board of directors at any time</w:t>
      </w:r>
    </w:p>
    <w:p>
      <w:pPr>
        <w:ind w:firstLine="8"/>
        <w:spacing w:after="0" w:line="260" w:lineRule="auto"/>
        <w:tabs>
          <w:tab w:leader="none" w:pos="2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of 2022, which was enacted into law on August 16, 2022, imposed a nondeductible 1% excise tax on the net value of certain stock repurchases made after December 31, 2022. All dollar amounts presented exclude such excise taxes, as applicable.</w:t>
      </w:r>
    </w:p>
    <w:p>
      <w:pPr>
        <w:spacing w:after="0" w:line="200" w:lineRule="exact"/>
        <w:rPr>
          <w:sz w:val="20"/>
          <w:szCs w:val="20"/>
          <w:color w:val="auto"/>
        </w:rPr>
      </w:pPr>
    </w:p>
    <w:p>
      <w:pPr>
        <w:spacing w:after="0" w:line="22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of the Company adopted or terminated a “Rule 10b5-1 trading arrangement” or “non-Rule 10b5-1 trading arrangement,” as each term is defined in Item 408(a) of Regulation S-K.</w:t>
      </w:r>
    </w:p>
    <w:p>
      <w:pPr>
        <w:spacing w:after="0" w:line="16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80" w:type="dxa"/>
            <w:vAlign w:val="bottom"/>
            <w:gridSpan w:val="10"/>
          </w:tcPr>
          <w:p>
            <w:pPr>
              <w:ind w:left="2740"/>
              <w:spacing w:after="0"/>
              <w:rPr>
                <w:sz w:val="20"/>
                <w:szCs w:val="20"/>
                <w:color w:val="auto"/>
              </w:rPr>
            </w:pPr>
            <w:r>
              <w:rPr>
                <w:rFonts w:ascii="Times New Roman" w:cs="Times New Roman" w:eastAsia="Times New Roman" w:hAnsi="Times New Roman"/>
                <w:sz w:val="18"/>
                <w:szCs w:val="18"/>
                <w:b w:val="1"/>
                <w:bCs w:val="1"/>
                <w:color w:val="auto"/>
              </w:rPr>
              <w:t>HIGHPEAK ENERGY, INC.</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60" w:type="dxa"/>
            <w:vAlign w:val="bottom"/>
            <w:gridSpan w:val="13"/>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44"/>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6220" w:type="dxa"/>
            <w:vAlign w:val="bottom"/>
            <w:gridSpan w:val="9"/>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25"/>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c>
          <w:tcPr>
            <w:tcW w:w="6220" w:type="dxa"/>
            <w:vAlign w:val="bottom"/>
            <w:tcBorders>
              <w:bottom w:val="single" w:sz="8" w:color="auto"/>
            </w:tcBorders>
            <w:gridSpan w:val="9"/>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Second Amended &amp; Restated Certificate of Incorporation of HighPeak Energy, Inc. (incorporated by reference to Exhibit 3.1 to the</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Company’s Current Report on Form 8-K (File No. 001-39464) filed with the SEC on June 2, 2023).</w:t>
              </w:r>
            </w:hyperlink>
          </w:p>
        </w:tc>
        <w:tc>
          <w:tcPr>
            <w:tcW w:w="30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Amended and Restated Bylaws of HighPeak Energy, Inc. (incorporated by reference to Exhibit 3.1 to the Company’s Current Report on Form</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8-K (File No. 001-39464) filed with the SEC on November 9, 2020).</w:t>
              </w:r>
            </w:hyperlink>
          </w:p>
        </w:tc>
        <w:tc>
          <w:tcPr>
            <w:tcW w:w="5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Registration Rights Agreement, dated as of August 21, 2020, by and among HighPeak Energy, Inc., HighPeak Pure Acquisition, LLC,</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HighPeak Energy, LP, HighPeak Energy II, LP, HighPeak Energy III, LP and certain other security holders named therein (incorporated by</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20" w:type="dxa"/>
            <w:vAlign w:val="bottom"/>
            <w:gridSpan w:val="11"/>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reference to Exhibit 4.4 to the Company’s Current Report on Form 8-K (File No. 001-39464) filed with the SEC on August 27, 2020).</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20" w:type="dxa"/>
            <w:vAlign w:val="bottom"/>
            <w:gridSpan w:val="11"/>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Stockholders’ Agreement, dated as of August 21, 2020, by and among HighPeak Energy, Inc., HighPeak Pure Acquisition, LLC, HighPeak</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20" w:type="dxa"/>
            <w:vAlign w:val="bottom"/>
            <w:gridSpan w:val="11"/>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Energy, LP, HighPeak Energy II, LP, HighPeak Energy III, LP, Jack Hightower and certain directors of Pure Acquisition Corp. (incorporated</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by reference to Exhibit 4.3 to the Company’s Current Report on Form 8-K (File No. 001-39464) filed with the SEC on August 27, 2020).</w:t>
              </w:r>
            </w:hyperlink>
          </w:p>
        </w:tc>
        <w:tc>
          <w:tcPr>
            <w:tcW w:w="30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20" w:type="dxa"/>
            <w:vAlign w:val="bottom"/>
            <w:gridSpan w:val="11"/>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Amendment and Assignment to Warrant Agreement, dated as of August 21, 2020, by and among Pure Acquisition Corp., Continental Stock</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Transfer &amp; Trust Company and HighPeak Energy, Inc. (incorporated by reference to Exhibit 4.2 to the Company’s Registration Statement on</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20" w:type="dxa"/>
            <w:vAlign w:val="bottom"/>
            <w:gridSpan w:val="11"/>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S-4 and Form S-1 (File No. 333-235313) filed with the SEC on August 5, 2020).</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40" w:type="dxa"/>
            <w:vAlign w:val="bottom"/>
            <w:gridSpan w:val="4"/>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First Amendment to Revolving Credit Agreement, dated March 29, 2024, by and among HighPeak Energy, Inc., as borrower, Fifth Third</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Bank, National Association, as administrative agent, the guarantors party thereto and the lenders party thereto (incorporated by reference to</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Exhibit 10.1 to the Company’s Current Report on Form 8-K (File No. 001-39464) filed with the SEC on April 2, 2024).</w:t>
              </w:r>
            </w:hyperlink>
          </w:p>
        </w:tc>
        <w:tc>
          <w:tcPr>
            <w:tcW w:w="16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Chief Executive Officer Pursuant to Section 302 of the Sarbanes Oxley Act of 2002 (18 U.S.C. Section 7241).</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Chief Financial Officer Pursuant to Section 302 of the Sarbanes Oxley Act of 2002 (18 U.S.C. Section 7241).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Chief Executive Officer Pursuant to Section 906 of the Sarbanes Oxley Act of 2002 (18 U.S.C. Section 1350).</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the Company’s Chief Financial Officer Pursuant to Section 906 of the Sarbanes Oxley Act of 2002 (18 U.S.C. Section 1350).</w:t>
            </w:r>
          </w:p>
        </w:tc>
        <w:tc>
          <w:tcPr>
            <w:tcW w:w="0" w:type="dxa"/>
            <w:vAlign w:val="bottom"/>
          </w:tcPr>
          <w:p>
            <w:pPr>
              <w:spacing w:after="0"/>
              <w:rPr>
                <w:sz w:val="1"/>
                <w:szCs w:val="1"/>
                <w:color w:val="auto"/>
              </w:rPr>
            </w:pPr>
          </w:p>
        </w:tc>
      </w:tr>
      <w:tr>
        <w:trPr>
          <w:trHeight w:val="453"/>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3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802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HIGHPEAK ENERGY, INC.</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May 8, 2024</w:t>
            </w:r>
          </w:p>
        </w:tc>
        <w:tc>
          <w:tcPr>
            <w:tcW w:w="28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Steven Tholen</w:t>
            </w:r>
          </w:p>
        </w:tc>
      </w:tr>
      <w:tr>
        <w:trPr>
          <w:trHeight w:val="191"/>
        </w:trPr>
        <w:tc>
          <w:tcPr>
            <w:tcW w:w="32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2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Steven Tholen</w:t>
            </w:r>
          </w:p>
        </w:tc>
      </w:tr>
      <w:tr>
        <w:trPr>
          <w:trHeight w:val="234"/>
        </w:trPr>
        <w:tc>
          <w:tcPr>
            <w:tcW w:w="32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May 8, 2024</w:t>
            </w:r>
          </w:p>
        </w:tc>
        <w:tc>
          <w:tcPr>
            <w:tcW w:w="28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Keith Forbes</w:t>
            </w:r>
          </w:p>
        </w:tc>
      </w:tr>
      <w:tr>
        <w:trPr>
          <w:trHeight w:val="191"/>
        </w:trPr>
        <w:tc>
          <w:tcPr>
            <w:tcW w:w="32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2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Keith Forbes</w:t>
            </w:r>
          </w:p>
        </w:tc>
      </w:tr>
      <w:tr>
        <w:trPr>
          <w:trHeight w:val="234"/>
        </w:trPr>
        <w:tc>
          <w:tcPr>
            <w:tcW w:w="32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576"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 Jack Hightower,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HighPeak Energy,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20" w:right="320" w:hanging="388"/>
        <w:spacing w:after="0" w:line="266" w:lineRule="auto"/>
        <w:tabs>
          <w:tab w:leader="none" w:pos="7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20" w:right="620" w:hanging="388"/>
        <w:spacing w:after="0" w:line="266" w:lineRule="auto"/>
        <w:tabs>
          <w:tab w:leader="none" w:pos="7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20" w:hanging="388"/>
        <w:spacing w:after="0" w:line="282" w:lineRule="auto"/>
        <w:tabs>
          <w:tab w:leader="none" w:pos="7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720" w:right="20" w:hanging="388"/>
        <w:spacing w:after="0" w:line="266" w:lineRule="auto"/>
        <w:tabs>
          <w:tab w:leader="none" w:pos="7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20" w:right="220" w:hanging="388"/>
        <w:spacing w:after="0" w:line="282" w:lineRule="auto"/>
        <w:tabs>
          <w:tab w:leader="none" w:pos="7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20" w:right="160" w:hanging="388"/>
        <w:spacing w:after="0" w:line="282" w:lineRule="auto"/>
        <w:tabs>
          <w:tab w:leader="none" w:pos="7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17145</wp:posOffset>
            </wp:positionV>
            <wp:extent cx="37890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Jack Hightower</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280"/>
        <w:spacing w:after="0"/>
        <w:tabs>
          <w:tab w:leader="none" w:pos="5860" w:val="left"/>
        </w:tabs>
        <w:rPr>
          <w:sz w:val="20"/>
          <w:szCs w:val="20"/>
          <w:color w:val="auto"/>
        </w:rPr>
      </w:pPr>
      <w:r>
        <w:rPr>
          <w:rFonts w:ascii="Times New Roman" w:cs="Times New Roman" w:eastAsia="Times New Roman" w:hAnsi="Times New Roman"/>
          <w:sz w:val="18"/>
          <w:szCs w:val="18"/>
          <w:color w:val="auto"/>
        </w:rPr>
        <w:t>Date:</w:t>
        <w:tab/>
        <w:t>May 8, 2024</w:t>
      </w:r>
    </w:p>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 Steven Tholen,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HighPeak Energy,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20" w:right="320" w:hanging="388"/>
        <w:spacing w:after="0" w:line="266" w:lineRule="auto"/>
        <w:tabs>
          <w:tab w:leader="none" w:pos="7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20" w:right="620" w:hanging="388"/>
        <w:spacing w:after="0" w:line="266" w:lineRule="auto"/>
        <w:tabs>
          <w:tab w:leader="none" w:pos="7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20" w:hanging="388"/>
        <w:spacing w:after="0" w:line="282" w:lineRule="auto"/>
        <w:tabs>
          <w:tab w:leader="none" w:pos="7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720" w:right="20" w:hanging="388"/>
        <w:spacing w:after="0" w:line="266" w:lineRule="auto"/>
        <w:tabs>
          <w:tab w:leader="none" w:pos="7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20" w:right="220" w:hanging="388"/>
        <w:spacing w:after="0" w:line="282" w:lineRule="auto"/>
        <w:tabs>
          <w:tab w:leader="none" w:pos="7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20" w:right="160" w:hanging="388"/>
        <w:spacing w:after="0" w:line="282" w:lineRule="auto"/>
        <w:tabs>
          <w:tab w:leader="none" w:pos="7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17145</wp:posOffset>
            </wp:positionV>
            <wp:extent cx="36944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3694430" cy="8890"/>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Steven Tholen</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420"/>
        <w:spacing w:after="0"/>
        <w:tabs>
          <w:tab w:leader="none" w:pos="6020" w:val="left"/>
        </w:tabs>
        <w:rPr>
          <w:sz w:val="20"/>
          <w:szCs w:val="20"/>
          <w:color w:val="auto"/>
        </w:rPr>
      </w:pPr>
      <w:r>
        <w:rPr>
          <w:rFonts w:ascii="Times New Roman" w:cs="Times New Roman" w:eastAsia="Times New Roman" w:hAnsi="Times New Roman"/>
          <w:sz w:val="18"/>
          <w:szCs w:val="18"/>
          <w:color w:val="auto"/>
        </w:rPr>
        <w:t>Date:</w:t>
        <w:tab/>
        <w:t>May 8, 2024</w:t>
      </w:r>
    </w:p>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18 U.S.C.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1350</w:t>
      </w:r>
    </w:p>
    <w:p>
      <w:pPr>
        <w:spacing w:after="0" w:line="20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I, Jack Hightower, President and Chief Executive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March 31, 2024:</w:t>
      </w:r>
    </w:p>
    <w:p>
      <w:pPr>
        <w:spacing w:after="0" w:line="176"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presents, in all material respects, the financial condition and results of operations of the Company.</w:t>
      </w:r>
    </w:p>
    <w:p>
      <w:pPr>
        <w:spacing w:after="0" w:line="25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17145</wp:posOffset>
            </wp:positionV>
            <wp:extent cx="36944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Jack Hightower</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420"/>
        <w:spacing w:after="0"/>
        <w:tabs>
          <w:tab w:leader="none" w:pos="6020" w:val="left"/>
        </w:tabs>
        <w:rPr>
          <w:sz w:val="20"/>
          <w:szCs w:val="20"/>
          <w:color w:val="auto"/>
        </w:rPr>
      </w:pPr>
      <w:r>
        <w:rPr>
          <w:rFonts w:ascii="Times New Roman" w:cs="Times New Roman" w:eastAsia="Times New Roman" w:hAnsi="Times New Roman"/>
          <w:sz w:val="18"/>
          <w:szCs w:val="18"/>
          <w:color w:val="auto"/>
        </w:rPr>
        <w:t>Date:</w:t>
        <w:tab/>
        <w:t>May 8, 2024</w:t>
      </w:r>
    </w:p>
    <w:p>
      <w:pPr>
        <w:sectPr>
          <w:pgSz w:w="11900" w:h="16838" w:orient="portrait"/>
          <w:cols w:equalWidth="0" w:num="1">
            <w:col w:w="11240"/>
          </w:cols>
          <w:pgMar w:left="320" w:top="11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18 U.S.C.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1350</w:t>
      </w:r>
    </w:p>
    <w:p>
      <w:pPr>
        <w:spacing w:after="0" w:line="20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 Steven Tholen, Executive Vice President and Chief Financial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March 31, 2024:</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presents, in all material respects, the financial condition and results of operations of the Company.</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Steven Tholen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Date:</w:t>
        <w:tab/>
        <w:t>May 8,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lvl w:ilvl="1">
      <w:lvlJc w:val="left"/>
      <w:lvlText w:val="(%2)"/>
      <w:numFmt w:val="lowerRoman"/>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lowerRoman"/>
      <w:start w:val="4"/>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lowerLetter"/>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Roman"/>
      <w:start w:val="1"/>
    </w:lvl>
  </w:abstractNum>
  <w:abstractNum w:abstractNumId="16">
    <w:nsid w:val="2D1D5AE9"/>
    <w:multiLevelType w:val="hybridMultilevel"/>
    <w:lvl w:ilvl="0">
      <w:lvlJc w:val="left"/>
      <w:lvlText w:val="•"/>
      <w:numFmt w:val="bullet"/>
      <w:start w:val="1"/>
    </w:lvl>
    <w:lvl w:ilvl="1">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lowerRoman"/>
      <w:start w:val="3"/>
    </w:lvl>
  </w:abstractNum>
  <w:abstractNum w:abstractNumId="20">
    <w:nsid w:val="79838CB2"/>
    <w:multiLevelType w:val="hybridMultilevel"/>
    <w:lvl w:ilvl="0">
      <w:lvlJc w:val="left"/>
      <w:lvlText w:val="(%1)"/>
      <w:numFmt w:val="lowerRoman"/>
      <w:start w:val="5"/>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20" Type="http://schemas.openxmlformats.org/officeDocument/2006/relationships/hyperlink" Target="http://www.sec.gov/Archives/edgar/data/1792849/000143774924006816/hpe20231231_10k.htm" TargetMode="External"/><Relationship Id="rId25" Type="http://schemas.openxmlformats.org/officeDocument/2006/relationships/hyperlink" Target="http://www.sec.gov/ix?doc=/Archives/edgar/data/0001792849/000143774924006816/hpe20231231_10k.htm" TargetMode="External"/><Relationship Id="rId69" Type="http://schemas.openxmlformats.org/officeDocument/2006/relationships/hyperlink" Target="http://www.sec.gov/Archives/edgar/data/1792849/000143774923016414/ex_528908.htm" TargetMode="External"/><Relationship Id="rId70" Type="http://schemas.openxmlformats.org/officeDocument/2006/relationships/hyperlink" Target="http://www.sec.gov/Archives/edgar/data/1792849/000143774920023072/ex_212713.htm" TargetMode="External"/><Relationship Id="rId71" Type="http://schemas.openxmlformats.org/officeDocument/2006/relationships/hyperlink" Target="http://www.sec.gov/Archives/edgar/data/1792849/000143774920018850/ex_201560.htm" TargetMode="External"/><Relationship Id="rId72" Type="http://schemas.openxmlformats.org/officeDocument/2006/relationships/hyperlink" Target="http://www.sec.gov/Archives/edgar/data/1792849/000143774920018850/ex_201559.htm" TargetMode="External"/><Relationship Id="rId73" Type="http://schemas.openxmlformats.org/officeDocument/2006/relationships/hyperlink" Target="http://www.sec.gov/Archives/edgar/data/1792849/000143774920018850/ex_201558.htm" TargetMode="External"/><Relationship Id="rId74" Type="http://schemas.openxmlformats.org/officeDocument/2006/relationships/hyperlink" Target="http://www.sec.gov/ix?doc=/Archives/edgar/data/1792849/000143774924010594/hpe20240402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2024-05-08T15:25:54Z</dcterms:created>
  <dcterms:modified xsi:type="dcterms:W3CDTF">2024-05-08T15:25:54Z</dcterms:modified>
</cp:coreProperties>
</file>