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hpe20260428_defa14a.htm"/>
      <w:bookmarkStart w:id="1" w:name="kshpe20260428_defa14a"/>
      <w:bookmarkEnd w:id="0"/>
      <w:bookmarkEnd w:id="1"/>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w:t>
      </w:r>
      <w:r>
        <w:rPr>
          <w:rFonts w:ascii="Times New Roman" w:hAnsi="Times New Roman"/>
          <w:caps w:val="false"/>
          <w:smallCaps w:val="false"/>
          <w:sz w:val="20"/>
        </w:rPr>
        <w:br/>
      </w:r>
      <w:r>
        <w:rPr>
          <w:rFonts w:ascii="Times New Roman" w:hAnsi="Times New Roman"/>
          <w:b/>
          <w:caps w:val="false"/>
          <w:smallCaps w:val="false"/>
          <w:sz w:val="20"/>
        </w:rPr>
        <w:t>SECURITIES AND EXCHANGE COMMISSION</w:t>
      </w:r>
      <w:r>
        <w:rPr>
          <w:rFonts w:ascii="Times New Roman" w:hAnsi="Times New Roman"/>
          <w:caps w:val="false"/>
          <w:smallCaps w:val="false"/>
          <w:sz w:val="20"/>
        </w:rPr>
        <w:br/>
      </w: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SCHEDULE 14A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Proxy Statement Pursuant to Section 14(a) of</w:t>
        <w:br/>
        <w:t>the Securities Exchange Act of 1934 (Amendment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by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by a Party other than the Registrant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w:t>
      </w:r>
    </w:p>
    <w:p>
      <w:pPr>
        <w:pStyle w:val="TextBody"/>
        <w:bidi w:val="0"/>
        <w:spacing w:before="0" w:after="0"/>
        <w:ind w:left="0" w:right="0" w:hanging="0"/>
        <w:jc w:val="left"/>
        <w:rPr>
          <w:caps w:val="false"/>
          <w:smallCaps w:val="false"/>
        </w:rPr>
      </w:pPr>
      <w:r>
        <w:rPr>
          <w:caps w:val="false"/>
          <w:smallCaps w:val="false"/>
        </w:rPr>
        <w:t> </w:t>
      </w:r>
    </w:p>
    <w:tbl>
      <w:tblPr>
        <w:tblW w:w="2575" w:type="dxa"/>
        <w:jc w:val="left"/>
        <w:tblInd w:w="0" w:type="dxa"/>
        <w:tblLayout w:type="fixed"/>
        <w:tblCellMar>
          <w:top w:w="0" w:type="dxa"/>
          <w:left w:w="0" w:type="dxa"/>
          <w:bottom w:w="0" w:type="dxa"/>
          <w:right w:w="0" w:type="dxa"/>
        </w:tblCellMar>
      </w:tblPr>
      <w:tblGrid>
        <w:gridCol w:w="230"/>
        <w:gridCol w:w="234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Preliminary Proxy Statement</w:t>
            </w:r>
          </w:p>
        </w:tc>
      </w:tr>
    </w:tbl>
    <w:p>
      <w:pPr>
        <w:pStyle w:val="TextBody"/>
        <w:bidi w:val="0"/>
        <w:spacing w:before="0" w:after="0"/>
        <w:ind w:left="0" w:right="0" w:hanging="0"/>
        <w:jc w:val="left"/>
        <w:rPr>
          <w:caps w:val="false"/>
          <w:smallCaps w:val="false"/>
        </w:rPr>
      </w:pPr>
      <w:r>
        <w:rPr>
          <w:caps w:val="false"/>
          <w:smallCaps w:val="false"/>
        </w:rPr>
        <w:t> </w:t>
      </w:r>
    </w:p>
    <w:tbl>
      <w:tblPr>
        <w:tblW w:w="6925" w:type="dxa"/>
        <w:jc w:val="left"/>
        <w:tblInd w:w="0" w:type="dxa"/>
        <w:tblLayout w:type="fixed"/>
        <w:tblCellMar>
          <w:top w:w="0" w:type="dxa"/>
          <w:left w:w="0" w:type="dxa"/>
          <w:bottom w:w="0" w:type="dxa"/>
          <w:right w:w="0" w:type="dxa"/>
        </w:tblCellMar>
      </w:tblPr>
      <w:tblGrid>
        <w:gridCol w:w="230"/>
        <w:gridCol w:w="669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Confidential, for Use of the Commission Only (as permitted by Rule 14a-6(e)(2))</w:t>
            </w:r>
          </w:p>
        </w:tc>
      </w:tr>
    </w:tbl>
    <w:p>
      <w:pPr>
        <w:pStyle w:val="TextBody"/>
        <w:bidi w:val="0"/>
        <w:spacing w:before="0" w:after="0"/>
        <w:ind w:left="0" w:right="0" w:hanging="0"/>
        <w:jc w:val="left"/>
        <w:rPr>
          <w:caps w:val="false"/>
          <w:smallCaps w:val="false"/>
        </w:rPr>
      </w:pPr>
      <w:r>
        <w:rPr>
          <w:caps w:val="false"/>
          <w:smallCaps w:val="false"/>
        </w:rPr>
        <w:t> </w:t>
      </w:r>
    </w:p>
    <w:tbl>
      <w:tblPr>
        <w:tblW w:w="2455" w:type="dxa"/>
        <w:jc w:val="left"/>
        <w:tblInd w:w="0" w:type="dxa"/>
        <w:tblLayout w:type="fixed"/>
        <w:tblCellMar>
          <w:top w:w="0" w:type="dxa"/>
          <w:left w:w="0" w:type="dxa"/>
          <w:bottom w:w="0" w:type="dxa"/>
          <w:right w:w="0" w:type="dxa"/>
        </w:tblCellMar>
      </w:tblPr>
      <w:tblGrid>
        <w:gridCol w:w="230"/>
        <w:gridCol w:w="222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Definitive Proxy Statement</w:t>
            </w:r>
          </w:p>
        </w:tc>
      </w:tr>
    </w:tbl>
    <w:p>
      <w:pPr>
        <w:pStyle w:val="TextBody"/>
        <w:bidi w:val="0"/>
        <w:spacing w:before="0" w:after="0"/>
        <w:ind w:left="0" w:right="0" w:hanging="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230"/>
        <w:gridCol w:w="258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5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Definitive Additional Materials</w:t>
            </w:r>
          </w:p>
        </w:tc>
      </w:tr>
    </w:tbl>
    <w:p>
      <w:pPr>
        <w:pStyle w:val="TextBody"/>
        <w:bidi w:val="0"/>
        <w:spacing w:before="0" w:after="0"/>
        <w:ind w:left="0" w:right="0" w:hanging="0"/>
        <w:jc w:val="left"/>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230"/>
        <w:gridCol w:w="315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15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Soliciting Material under §240.14a-12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HighPeak Energy, Inc.</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Person(s) Filing Proxy Statement, if other than the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Payment of Filing Fee (Check all boxes that apply):</w:t>
      </w:r>
    </w:p>
    <w:p>
      <w:pPr>
        <w:pStyle w:val="TextBody"/>
        <w:bidi w:val="0"/>
        <w:spacing w:before="0" w:after="0"/>
        <w:ind w:left="0" w:right="0" w:hanging="0"/>
        <w:jc w:val="left"/>
        <w:rPr>
          <w:caps w:val="false"/>
          <w:smallCaps w:val="false"/>
        </w:rPr>
      </w:pPr>
      <w:r>
        <w:rPr>
          <w:caps w:val="false"/>
          <w:smallCaps w:val="false"/>
        </w:rPr>
        <w:t> </w:t>
      </w:r>
    </w:p>
    <w:tbl>
      <w:tblPr>
        <w:tblW w:w="1495" w:type="dxa"/>
        <w:jc w:val="left"/>
        <w:tblInd w:w="0" w:type="dxa"/>
        <w:tblLayout w:type="fixed"/>
        <w:tblCellMar>
          <w:top w:w="0" w:type="dxa"/>
          <w:left w:w="0" w:type="dxa"/>
          <w:bottom w:w="0" w:type="dxa"/>
          <w:right w:w="0" w:type="dxa"/>
        </w:tblCellMar>
      </w:tblPr>
      <w:tblGrid>
        <w:gridCol w:w="230"/>
        <w:gridCol w:w="126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26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 fee required</w:t>
            </w:r>
          </w:p>
        </w:tc>
      </w:tr>
    </w:tbl>
    <w:p>
      <w:pPr>
        <w:pStyle w:val="TextBody"/>
        <w:bidi w:val="0"/>
        <w:spacing w:before="0" w:after="0"/>
        <w:ind w:left="0" w:right="0" w:hanging="0"/>
        <w:jc w:val="left"/>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230"/>
        <w:gridCol w:w="380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8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Fee paid previously with preliminary materials</w:t>
            </w:r>
          </w:p>
        </w:tc>
      </w:tr>
    </w:tbl>
    <w:p>
      <w:pPr>
        <w:pStyle w:val="TextBody"/>
        <w:bidi w:val="0"/>
        <w:spacing w:before="0" w:after="0"/>
        <w:ind w:left="0" w:right="0" w:hanging="0"/>
        <w:jc w:val="left"/>
        <w:rPr>
          <w:caps w:val="false"/>
          <w:smallCaps w:val="false"/>
        </w:rPr>
      </w:pPr>
      <w:r>
        <w:rPr>
          <w:caps w:val="false"/>
          <w:smallCaps w:val="false"/>
        </w:rPr>
        <w:t> </w:t>
      </w:r>
    </w:p>
    <w:tbl>
      <w:tblPr>
        <w:tblW w:w="8470" w:type="dxa"/>
        <w:jc w:val="left"/>
        <w:tblInd w:w="0" w:type="dxa"/>
        <w:tblLayout w:type="fixed"/>
        <w:tblCellMar>
          <w:top w:w="0" w:type="dxa"/>
          <w:left w:w="0" w:type="dxa"/>
          <w:bottom w:w="0" w:type="dxa"/>
          <w:right w:w="0" w:type="dxa"/>
        </w:tblCellMar>
      </w:tblPr>
      <w:tblGrid>
        <w:gridCol w:w="230"/>
        <w:gridCol w:w="824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5" w:type="dxa"/>
        <w:tblLayout w:type="fixed"/>
        <w:tblCellMar>
          <w:top w:w="28" w:type="dxa"/>
          <w:left w:w="28" w:type="dxa"/>
          <w:bottom w:w="28" w:type="dxa"/>
          <w:right w:w="0" w:type="dxa"/>
        </w:tblCellMar>
      </w:tblPr>
      <w:tblGrid>
        <w:gridCol w:w="275"/>
        <w:gridCol w:w="9930"/>
      </w:tblGrid>
      <w:tr>
        <w:trPr/>
        <w:tc>
          <w:tcPr>
            <w:tcW w:w="275" w:type="dxa"/>
            <w:tcBorders>
              <w:top w:val="single" w:sz="12" w:space="0" w:color="000000"/>
              <w:left w:val="single" w:sz="12" w:space="0" w:color="000000"/>
              <w:bottom w:val="single" w:sz="12" w:space="0" w:color="000000"/>
            </w:tcBorders>
            <w:vAlign w:val="center"/>
          </w:tcPr>
          <w:p>
            <w:pPr>
              <w:pStyle w:val="TableContents"/>
              <w:bidi w:val="0"/>
              <w:spacing w:before="0" w:after="0"/>
              <w:ind w:left="180" w:right="0" w:hanging="0"/>
              <w:jc w:val="left"/>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X</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w:t>
            </w:r>
          </w:p>
        </w:tc>
        <w:tc>
          <w:tcPr>
            <w:tcW w:w="9930"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HighPeak Energy, Inc.</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421 W. 3rd Street, Suite 1000</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Fort Worth, Texas 76102</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2026 ANNUAL MEETING OF STOCKHOLDERS OF</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HIGHPEAK ENERGY, INC.</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THIS PROXY IS SOLICITED ON BEHALF OF THE BOARD OF DIRECTORS</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undersigned hereby appoints each of Michael L. Hollis and Daniel Silver (the “Proxies”), and each of them independently, with full power of substitution, as proxies to vote all of the shares of common stock of HighPeak Energy, Inc. that the undersigned is entitled to vote (the “Shares”) at the 2026 Annual Meeting of Stockholders of HighPeak Energy, Inc. (the “Annual Meeting”) to be held at 421 W. 3rd Street, Suite 1000, Fort Worth, Texas 76102 on June 2, 2026, at 10:00 a.m., Central Time, and at any adjournments and/or postponements thereof. Such Shares shall be voted as indicated with respect to the proposals listed on the reverse side hereof and, unless such authority is withheld on the reverse side hereof, in the Proxies’ discretion on such other matters as may properly come before the Annual Meeting or any adjournment or postponement thereof.</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undersigned acknowledges receipt of the enclosed proxy materials, including the proxy statement and this proxy card, and revokes all prior proxies for said meeting.</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THE SHARES REPRESENTED BY THIS PROXY WHEN PROPERLY EXECUTED WILL BE VOTED IN THE MANNER DIRECTED HEREIN BY THE UNDERSIGNED STOCKHOLDER(S). IF NO SPECIFIC DIRECTION IS GIVEN AS TO THE PROPOSALS ON THE REVERSE SIDE, THIS PROXY WILL BE VOTED IN ACCORDANCE WITH THE RECOMMENDATION OF THE BOARD OF DIRECTORS </w:t>
            </w:r>
            <w:r>
              <w:rPr>
                <w:rFonts w:ascii="Times New Roman;Times;serif" w:hAnsi="Times New Roman;Times;serif"/>
                <w:caps w:val="false"/>
                <w:smallCaps w:val="false"/>
                <w:sz w:val="20"/>
              </w:rPr>
              <w:t>“</w:t>
            </w:r>
            <w:r>
              <w:rPr>
                <w:rFonts w:ascii="Times New Roman;Times;serif" w:hAnsi="Times New Roman;Times;serif"/>
                <w:b/>
                <w:caps w:val="false"/>
                <w:smallCaps w:val="false"/>
                <w:sz w:val="20"/>
              </w:rPr>
              <w:t>FOR</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 xml:space="preserve">PROPOSAL NOS. 1, 2 AND 4, AND </w:t>
            </w:r>
            <w:r>
              <w:rPr>
                <w:rFonts w:ascii="Times New Roman;Times;serif" w:hAnsi="Times New Roman;Times;serif"/>
                <w:caps w:val="false"/>
                <w:smallCaps w:val="false"/>
                <w:sz w:val="20"/>
              </w:rPr>
              <w:t>“</w:t>
            </w:r>
            <w:r>
              <w:rPr>
                <w:rFonts w:ascii="Times New Roman;Times;serif" w:hAnsi="Times New Roman;Times;serif"/>
                <w:b/>
                <w:caps w:val="false"/>
                <w:smallCaps w:val="false"/>
                <w:sz w:val="20"/>
              </w:rPr>
              <w:t>1 YEAR</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FOR PROPOSAL NO. THREE. PLEASE MARK, SIGN, DATE AND RETURN THE PROXY CARD PROMPTLY.</w:t>
            </w:r>
          </w:p>
          <w:p>
            <w:pPr>
              <w:pStyle w:val="TableContents"/>
              <w:bidi w:val="0"/>
              <w:spacing w:before="0" w:after="0"/>
              <w:ind w:left="0" w:right="0" w:hanging="0"/>
              <w:jc w:val="center"/>
              <w:rPr>
                <w:caps w:val="false"/>
                <w:smallCaps w:val="false"/>
              </w:rPr>
            </w:pPr>
            <w:r>
              <w:rPr>
                <w:caps w:val="false"/>
                <w:smallCaps w:val="false"/>
              </w:rPr>
              <w: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(Continued and to be marked, dated and signed on the reverse side)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116"/>
        <w:gridCol w:w="60"/>
        <w:gridCol w:w="1210"/>
        <w:gridCol w:w="1410"/>
        <w:gridCol w:w="1410"/>
        <w:gridCol w:w="1999"/>
      </w:tblGrid>
      <w:tr>
        <w:trPr/>
        <w:tc>
          <w:tcPr>
            <w:tcW w:w="41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Please mark vote as indicated in this example ☒</w:t>
            </w:r>
          </w:p>
        </w:tc>
        <w:tc>
          <w:tcPr>
            <w:tcW w:w="60" w:type="dxa"/>
            <w:tcBorders/>
            <w:vAlign w:val="center"/>
          </w:tcPr>
          <w:p>
            <w:pPr>
              <w:pStyle w:val="TableContents"/>
              <w:bidi w:val="0"/>
              <w:spacing w:before="0" w:after="283"/>
              <w:jc w:val="left"/>
              <w:rPr/>
            </w:pPr>
            <w:r>
              <w:rPr/>
              <w:t> </w:t>
            </w:r>
          </w:p>
        </w:tc>
        <w:tc>
          <w:tcPr>
            <w:tcW w:w="6029" w:type="dxa"/>
            <w:gridSpan w:val="4"/>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HIGHPEAK ENERGY, INC. </w:t>
            </w:r>
            <w:r>
              <w:rPr>
                <w:rFonts w:ascii="Times New Roman" w:hAnsi="Times New Roman"/>
                <w:caps w:val="false"/>
                <w:smallCaps w:val="false"/>
                <w:sz w:val="20"/>
              </w:rPr>
              <w:t>—</w:t>
            </w:r>
            <w:r>
              <w:rPr>
                <w:rFonts w:ascii="Times New Roman" w:hAnsi="Times New Roman"/>
                <w:b/>
                <w:caps w:val="false"/>
                <w:smallCaps w:val="false"/>
                <w:sz w:val="20"/>
              </w:rPr>
              <w:t>THE HIGHPEAK BOARD OF</w:t>
            </w:r>
            <w:r>
              <w:rPr>
                <w:rFonts w:ascii="Times New Roman" w:hAnsi="Times New Roman"/>
                <w:caps w:val="false"/>
                <w:smallCaps w:val="false"/>
                <w:sz w:val="20"/>
              </w:rPr>
              <w:t> </w:t>
            </w:r>
            <w:r>
              <w:rPr>
                <w:rFonts w:ascii="Times New Roman" w:hAnsi="Times New Roman"/>
                <w:b/>
                <w:caps w:val="false"/>
                <w:smallCaps w:val="false"/>
                <w:sz w:val="20"/>
              </w:rPr>
              <w:t xml:space="preserve">DIRECTORS RECOMMENDS A VOTE </w:t>
            </w:r>
            <w:r>
              <w:rPr>
                <w:rFonts w:ascii="Times New Roman" w:hAnsi="Times New Roman"/>
                <w:caps w:val="false"/>
                <w:smallCaps w:val="false"/>
                <w:sz w:val="20"/>
              </w:rPr>
              <w:t>“</w:t>
            </w:r>
            <w:r>
              <w:rPr>
                <w:rFonts w:ascii="Times New Roman" w:hAnsi="Times New Roman"/>
                <w:b/>
                <w:caps w:val="false"/>
                <w:smallCaps w:val="false"/>
                <w:sz w:val="20"/>
              </w:rPr>
              <w:t>FOR</w:t>
            </w:r>
            <w:r>
              <w:rPr>
                <w:rFonts w:ascii="Times New Roman" w:hAnsi="Times New Roman"/>
                <w:caps w:val="false"/>
                <w:smallCaps w:val="false"/>
                <w:sz w:val="20"/>
              </w:rPr>
              <w:t>” </w:t>
            </w:r>
            <w:r>
              <w:rPr>
                <w:rFonts w:ascii="Times New Roman" w:hAnsi="Times New Roman"/>
                <w:b/>
                <w:caps w:val="false"/>
                <w:smallCaps w:val="false"/>
                <w:sz w:val="20"/>
              </w:rPr>
              <w:t xml:space="preserve">PROPOSAL NOS. 1, 2 AND 4 AND </w:t>
            </w:r>
            <w:r>
              <w:rPr>
                <w:rFonts w:ascii="Times New Roman" w:hAnsi="Times New Roman"/>
                <w:caps w:val="false"/>
                <w:smallCaps w:val="false"/>
                <w:sz w:val="20"/>
              </w:rPr>
              <w:t>“</w:t>
            </w:r>
            <w:r>
              <w:rPr>
                <w:rFonts w:ascii="Times New Roman" w:hAnsi="Times New Roman"/>
                <w:b/>
                <w:caps w:val="false"/>
                <w:smallCaps w:val="false"/>
                <w:sz w:val="20"/>
              </w:rPr>
              <w:t>1 YEAR</w:t>
            </w:r>
            <w:r>
              <w:rPr>
                <w:rFonts w:ascii="Times New Roman" w:hAnsi="Times New Roman"/>
                <w:caps w:val="false"/>
                <w:smallCaps w:val="false"/>
                <w:sz w:val="20"/>
              </w:rPr>
              <w:t>” </w:t>
            </w:r>
            <w:r>
              <w:rPr>
                <w:rFonts w:ascii="Times New Roman" w:hAnsi="Times New Roman"/>
                <w:b/>
                <w:caps w:val="false"/>
                <w:smallCaps w:val="false"/>
                <w:sz w:val="20"/>
              </w:rPr>
              <w:t>FOR PROPOSAL NO. 3.</w:t>
            </w:r>
          </w:p>
        </w:tc>
      </w:tr>
      <w:tr>
        <w:trPr/>
        <w:tc>
          <w:tcPr>
            <w:tcW w:w="41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left"/>
              <w:rPr/>
            </w:pPr>
            <w:r>
              <w:rPr/>
              <w:t> </w:t>
            </w:r>
          </w:p>
        </w:tc>
        <w:tc>
          <w:tcPr>
            <w:tcW w:w="1410" w:type="dxa"/>
            <w:tcBorders/>
            <w:vAlign w:val="center"/>
          </w:tcPr>
          <w:p>
            <w:pPr>
              <w:pStyle w:val="TableContents"/>
              <w:bidi w:val="0"/>
              <w:spacing w:before="0" w:after="283"/>
              <w:jc w:val="left"/>
              <w:rPr/>
            </w:pPr>
            <w:r>
              <w:rPr/>
              <w:t> </w:t>
            </w:r>
          </w:p>
        </w:tc>
        <w:tc>
          <w:tcPr>
            <w:tcW w:w="1410" w:type="dxa"/>
            <w:tcBorders/>
            <w:vAlign w:val="center"/>
          </w:tcPr>
          <w:p>
            <w:pPr>
              <w:pStyle w:val="TableContents"/>
              <w:bidi w:val="0"/>
              <w:spacing w:before="0" w:after="283"/>
              <w:jc w:val="left"/>
              <w:rPr/>
            </w:pPr>
            <w:r>
              <w:rPr/>
              <w:t> </w:t>
            </w:r>
          </w:p>
        </w:tc>
        <w:tc>
          <w:tcPr>
            <w:tcW w:w="1999" w:type="dxa"/>
            <w:tcBorders/>
            <w:vAlign w:val="center"/>
          </w:tcPr>
          <w:p>
            <w:pPr>
              <w:pStyle w:val="TableContents"/>
              <w:bidi w:val="0"/>
              <w:spacing w:before="0" w:after="283"/>
              <w:jc w:val="left"/>
              <w:rPr/>
            </w:pPr>
            <w:r>
              <w:rPr/>
              <w:t> </w:t>
            </w:r>
          </w:p>
        </w:tc>
      </w:tr>
      <w:tr>
        <w:trPr/>
        <w:tc>
          <w:tcPr>
            <w:tcW w:w="41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Election of Director: Jason A. Edgeworth</w:t>
            </w:r>
          </w:p>
        </w:tc>
        <w:tc>
          <w:tcPr>
            <w:tcW w:w="60"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w:t>
              <w:br/>
              <w:t>☐</w:t>
            </w:r>
          </w:p>
        </w:tc>
        <w:tc>
          <w:tcPr>
            <w:tcW w:w="1410" w:type="dxa"/>
            <w:tcBorders/>
            <w:vAlign w:val="center"/>
          </w:tcPr>
          <w:p>
            <w:pPr>
              <w:pStyle w:val="TableContents"/>
              <w:bidi w:val="0"/>
              <w:spacing w:before="0" w:after="283"/>
              <w:jc w:val="left"/>
              <w:rPr/>
            </w:pPr>
            <w:r>
              <w:rPr/>
              <w:t> </w:t>
            </w:r>
          </w:p>
        </w:tc>
        <w:tc>
          <w:tcPr>
            <w:tcW w:w="1410" w:type="dxa"/>
            <w:tcBorders/>
            <w:vAlign w:val="center"/>
          </w:tcPr>
          <w:p>
            <w:pPr>
              <w:pStyle w:val="TableContents"/>
              <w:bidi w:val="0"/>
              <w:spacing w:before="0" w:after="283"/>
              <w:jc w:val="left"/>
              <w:rPr/>
            </w:pPr>
            <w:r>
              <w:rPr/>
              <w:t> </w:t>
            </w:r>
          </w:p>
        </w:tc>
        <w:tc>
          <w:tcPr>
            <w:tcW w:w="199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WITHHOLD</w:t>
              <w:br/>
              <w:t>☐</w:t>
            </w:r>
          </w:p>
        </w:tc>
      </w:tr>
      <w:tr>
        <w:trPr/>
        <w:tc>
          <w:tcPr>
            <w:tcW w:w="41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Election of Director: Larry C. Oldham</w:t>
            </w:r>
          </w:p>
        </w:tc>
        <w:tc>
          <w:tcPr>
            <w:tcW w:w="60"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w:t>
              <w:br/>
              <w:t>☐</w:t>
            </w:r>
          </w:p>
        </w:tc>
        <w:tc>
          <w:tcPr>
            <w:tcW w:w="1410" w:type="dxa"/>
            <w:tcBorders/>
            <w:vAlign w:val="center"/>
          </w:tcPr>
          <w:p>
            <w:pPr>
              <w:pStyle w:val="TableContents"/>
              <w:bidi w:val="0"/>
              <w:spacing w:before="0" w:after="283"/>
              <w:jc w:val="left"/>
              <w:rPr/>
            </w:pPr>
            <w:r>
              <w:rPr/>
              <w:t> </w:t>
            </w:r>
          </w:p>
        </w:tc>
        <w:tc>
          <w:tcPr>
            <w:tcW w:w="1410" w:type="dxa"/>
            <w:tcBorders/>
            <w:vAlign w:val="center"/>
          </w:tcPr>
          <w:p>
            <w:pPr>
              <w:pStyle w:val="TableContents"/>
              <w:bidi w:val="0"/>
              <w:spacing w:before="0" w:after="283"/>
              <w:jc w:val="left"/>
              <w:rPr/>
            </w:pPr>
            <w:r>
              <w:rPr/>
              <w:t> </w:t>
            </w:r>
          </w:p>
        </w:tc>
        <w:tc>
          <w:tcPr>
            <w:tcW w:w="199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WITHHOLD</w:t>
              <w:br/>
              <w:t>☐</w:t>
            </w:r>
          </w:p>
        </w:tc>
      </w:tr>
      <w:tr>
        <w:trPr/>
        <w:tc>
          <w:tcPr>
            <w:tcW w:w="41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Election of Director: Daniel Silver</w:t>
            </w:r>
          </w:p>
        </w:tc>
        <w:tc>
          <w:tcPr>
            <w:tcW w:w="60"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w:t>
              <w:br/>
              <w:t>☐</w:t>
            </w:r>
          </w:p>
        </w:tc>
        <w:tc>
          <w:tcPr>
            <w:tcW w:w="1410" w:type="dxa"/>
            <w:tcBorders/>
            <w:vAlign w:val="center"/>
          </w:tcPr>
          <w:p>
            <w:pPr>
              <w:pStyle w:val="TableContents"/>
              <w:bidi w:val="0"/>
              <w:spacing w:before="0" w:after="283"/>
              <w:jc w:val="left"/>
              <w:rPr/>
            </w:pPr>
            <w:r>
              <w:rPr/>
              <w:t> </w:t>
            </w:r>
          </w:p>
        </w:tc>
        <w:tc>
          <w:tcPr>
            <w:tcW w:w="1410" w:type="dxa"/>
            <w:tcBorders/>
            <w:vAlign w:val="center"/>
          </w:tcPr>
          <w:p>
            <w:pPr>
              <w:pStyle w:val="TableContents"/>
              <w:bidi w:val="0"/>
              <w:spacing w:before="0" w:after="283"/>
              <w:jc w:val="left"/>
              <w:rPr/>
            </w:pPr>
            <w:r>
              <w:rPr/>
              <w:t> </w:t>
            </w:r>
          </w:p>
        </w:tc>
        <w:tc>
          <w:tcPr>
            <w:tcW w:w="199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WITHHOLD</w:t>
              <w:br/>
              <w:t>☐</w:t>
            </w:r>
          </w:p>
        </w:tc>
      </w:tr>
      <w:tr>
        <w:trPr/>
        <w:tc>
          <w:tcPr>
            <w:tcW w:w="41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Advisory, non-binding resolution regarding the compensation of our Named Executive Officers for 2025</w:t>
            </w:r>
          </w:p>
        </w:tc>
        <w:tc>
          <w:tcPr>
            <w:tcW w:w="60"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w:t>
              <w:br/>
              <w:t>☐</w:t>
            </w:r>
          </w:p>
        </w:tc>
        <w:tc>
          <w:tcPr>
            <w:tcW w:w="282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AGAINST</w:t>
              <w:br/>
              <w:t>☐</w:t>
            </w:r>
          </w:p>
        </w:tc>
        <w:tc>
          <w:tcPr>
            <w:tcW w:w="199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ABSTAIN</w:t>
              <w:br/>
              <w:t>☐</w:t>
            </w:r>
          </w:p>
        </w:tc>
      </w:tr>
      <w:tr>
        <w:trPr/>
        <w:tc>
          <w:tcPr>
            <w:tcW w:w="41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left"/>
              <w:rPr/>
            </w:pPr>
            <w:r>
              <w:rPr/>
              <w:t> </w:t>
            </w:r>
          </w:p>
        </w:tc>
        <w:tc>
          <w:tcPr>
            <w:tcW w:w="1410" w:type="dxa"/>
            <w:tcBorders/>
            <w:vAlign w:val="center"/>
          </w:tcPr>
          <w:p>
            <w:pPr>
              <w:pStyle w:val="TableContents"/>
              <w:bidi w:val="0"/>
              <w:spacing w:before="0" w:after="283"/>
              <w:jc w:val="left"/>
              <w:rPr/>
            </w:pPr>
            <w:r>
              <w:rPr/>
              <w:t> </w:t>
            </w:r>
          </w:p>
        </w:tc>
        <w:tc>
          <w:tcPr>
            <w:tcW w:w="1410" w:type="dxa"/>
            <w:tcBorders/>
            <w:vAlign w:val="center"/>
          </w:tcPr>
          <w:p>
            <w:pPr>
              <w:pStyle w:val="TableContents"/>
              <w:bidi w:val="0"/>
              <w:spacing w:before="0" w:after="283"/>
              <w:jc w:val="left"/>
              <w:rPr/>
            </w:pPr>
            <w:r>
              <w:rPr/>
              <w:t> </w:t>
            </w:r>
          </w:p>
        </w:tc>
        <w:tc>
          <w:tcPr>
            <w:tcW w:w="1999" w:type="dxa"/>
            <w:tcBorders/>
            <w:vAlign w:val="center"/>
          </w:tcPr>
          <w:p>
            <w:pPr>
              <w:pStyle w:val="TableContents"/>
              <w:bidi w:val="0"/>
              <w:spacing w:before="0" w:after="283"/>
              <w:jc w:val="left"/>
              <w:rPr/>
            </w:pPr>
            <w:r>
              <w:rPr/>
              <w:t> </w:t>
            </w:r>
          </w:p>
        </w:tc>
      </w:tr>
      <w:tr>
        <w:trPr/>
        <w:tc>
          <w:tcPr>
            <w:tcW w:w="41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 Advisory, non-binding resolution regarding the frequency of future say-on-pay votes</w:t>
            </w:r>
          </w:p>
        </w:tc>
        <w:tc>
          <w:tcPr>
            <w:tcW w:w="60"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 YEAR</w:t>
              <w:br/>
              <w:t>☐</w:t>
            </w:r>
          </w:p>
        </w:tc>
        <w:tc>
          <w:tcPr>
            <w:tcW w:w="14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 YEARS</w:t>
              <w:br/>
              <w:t>☐</w:t>
            </w:r>
          </w:p>
        </w:tc>
        <w:tc>
          <w:tcPr>
            <w:tcW w:w="14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 YEARS</w:t>
            </w:r>
          </w:p>
          <w:p>
            <w:pPr>
              <w:pStyle w:val="TableContents"/>
              <w:bidi w:val="0"/>
              <w:spacing w:before="0" w:after="0"/>
              <w:ind w:left="0" w:right="0" w:hanging="0"/>
              <w:jc w:val="center"/>
              <w:rPr>
                <w:caps w:val="false"/>
                <w:smallCaps w:val="false"/>
              </w:rPr>
            </w:pPr>
            <w:r>
              <w:rPr>
                <w:caps w:val="false"/>
                <w:smallCaps w:val="false"/>
              </w:rPr>
              <w:t>☐</w:t>
            </w:r>
          </w:p>
        </w:tc>
        <w:tc>
          <w:tcPr>
            <w:tcW w:w="1999" w:type="dxa"/>
            <w:tcBorders/>
            <w:vAlign w:val="center"/>
          </w:tcPr>
          <w:p>
            <w:pPr>
              <w:pStyle w:val="TableContents"/>
              <w:bidi w:val="0"/>
              <w:spacing w:before="0" w:after="0"/>
              <w:ind w:left="0" w:right="0" w:hanging="0"/>
              <w:jc w:val="center"/>
              <w:rPr>
                <w:caps w:val="false"/>
                <w:smallCaps w:val="false"/>
              </w:rPr>
            </w:pPr>
            <w:r>
              <w:rPr>
                <w:caps w:val="false"/>
                <w:smallCaps w:val="false"/>
              </w:rPr>
              <w:t>☐</w:t>
            </w:r>
            <w:r>
              <w:rPr>
                <w:rFonts w:ascii="Times New Roman" w:hAnsi="Times New Roman"/>
                <w:caps w:val="false"/>
                <w:smallCaps w:val="false"/>
                <w:sz w:val="20"/>
              </w:rPr>
              <w:t>ABSTAIN</w:t>
              <w:br/>
              <w:t>☐</w:t>
            </w:r>
          </w:p>
        </w:tc>
      </w:tr>
      <w:tr>
        <w:trPr/>
        <w:tc>
          <w:tcPr>
            <w:tcW w:w="41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283"/>
              <w:jc w:val="left"/>
              <w:rPr/>
            </w:pPr>
            <w:r>
              <w:rPr/>
              <w:t> </w:t>
            </w:r>
          </w:p>
        </w:tc>
        <w:tc>
          <w:tcPr>
            <w:tcW w:w="1410" w:type="dxa"/>
            <w:tcBorders/>
            <w:vAlign w:val="center"/>
          </w:tcPr>
          <w:p>
            <w:pPr>
              <w:pStyle w:val="TableContents"/>
              <w:bidi w:val="0"/>
              <w:spacing w:before="0" w:after="283"/>
              <w:jc w:val="left"/>
              <w:rPr/>
            </w:pPr>
            <w:r>
              <w:rPr/>
              <w:t> </w:t>
            </w:r>
          </w:p>
        </w:tc>
        <w:tc>
          <w:tcPr>
            <w:tcW w:w="1410" w:type="dxa"/>
            <w:tcBorders/>
            <w:vAlign w:val="center"/>
          </w:tcPr>
          <w:p>
            <w:pPr>
              <w:pStyle w:val="TableContents"/>
              <w:bidi w:val="0"/>
              <w:spacing w:before="0" w:after="283"/>
              <w:jc w:val="left"/>
              <w:rPr/>
            </w:pPr>
            <w:r>
              <w:rPr/>
              <w:t> </w:t>
            </w:r>
          </w:p>
        </w:tc>
        <w:tc>
          <w:tcPr>
            <w:tcW w:w="1999" w:type="dxa"/>
            <w:tcBorders/>
            <w:vAlign w:val="center"/>
          </w:tcPr>
          <w:p>
            <w:pPr>
              <w:pStyle w:val="TableContents"/>
              <w:bidi w:val="0"/>
              <w:spacing w:before="0" w:after="283"/>
              <w:jc w:val="left"/>
              <w:rPr/>
            </w:pPr>
            <w:r>
              <w:rPr/>
              <w:t> </w:t>
            </w:r>
          </w:p>
        </w:tc>
      </w:tr>
      <w:tr>
        <w:trPr/>
        <w:tc>
          <w:tcPr>
            <w:tcW w:w="41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 Appointment of Weaver and Tidwell, L.L.P. to Serve as independent registered public accounting firm for the fiscal year ending December 31, 2026</w:t>
            </w:r>
          </w:p>
        </w:tc>
        <w:tc>
          <w:tcPr>
            <w:tcW w:w="60" w:type="dxa"/>
            <w:tcBorders/>
            <w:vAlign w:val="center"/>
          </w:tcPr>
          <w:p>
            <w:pPr>
              <w:pStyle w:val="TableContents"/>
              <w:bidi w:val="0"/>
              <w:spacing w:before="0" w:after="283"/>
              <w:jc w:val="left"/>
              <w:rPr/>
            </w:pPr>
            <w:r>
              <w:rPr/>
              <w:t> </w:t>
            </w:r>
          </w:p>
        </w:tc>
        <w:tc>
          <w:tcPr>
            <w:tcW w:w="121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w:t>
              <w:br/>
              <w:t>☐</w:t>
            </w:r>
          </w:p>
        </w:tc>
        <w:tc>
          <w:tcPr>
            <w:tcW w:w="282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AGAINST</w:t>
              <w:br/>
              <w:t>☐</w:t>
            </w:r>
          </w:p>
        </w:tc>
        <w:tc>
          <w:tcPr>
            <w:tcW w:w="199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ABSTAIN</w:t>
              <w:br/>
              <w:t>☐</w:t>
            </w:r>
          </w:p>
        </w:tc>
      </w:tr>
    </w:tbl>
    <w:p>
      <w:pPr>
        <w:pStyle w:val="TextBody"/>
        <w:bidi w:val="0"/>
        <w:spacing w:before="0" w:after="0"/>
        <w:ind w:left="0" w:right="0" w:hanging="0"/>
        <w:jc w:val="left"/>
        <w:rPr>
          <w:caps w:val="false"/>
          <w:smallCaps w:val="false"/>
        </w:rPr>
      </w:pPr>
      <w:r>
        <w:rPr>
          <w:caps w:val="false"/>
          <w:smallCaps w:val="false"/>
        </w:rPr>
        <w:t> </w:t>
      </w:r>
    </w:p>
    <w:tbl>
      <w:tblPr>
        <w:tblW w:w="560" w:type="dxa"/>
        <w:jc w:val="left"/>
        <w:tblInd w:w="0" w:type="dxa"/>
        <w:tblLayout w:type="fixed"/>
        <w:tblCellMar>
          <w:top w:w="0" w:type="dxa"/>
          <w:left w:w="0" w:type="dxa"/>
          <w:bottom w:w="0" w:type="dxa"/>
          <w:right w:w="0" w:type="dxa"/>
        </w:tblCellMar>
      </w:tblPr>
      <w:tblGrid>
        <w:gridCol w:w="560"/>
      </w:tblGrid>
      <w:tr>
        <w:trPr/>
        <w:tc>
          <w:tcPr>
            <w:tcW w:w="5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Dated:</w:t>
            </w:r>
          </w:p>
        </w:tc>
      </w:tr>
      <w:tr>
        <w:trPr/>
        <w:tc>
          <w:tcPr>
            <w:tcW w:w="56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r>
      <w:tr>
        <w:trPr/>
        <w:tc>
          <w:tcPr>
            <w:tcW w:w="560"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r>
      <w:tr>
        <w:trPr/>
        <w:tc>
          <w:tcPr>
            <w:tcW w:w="560" w:type="dxa"/>
            <w:tcBorders>
              <w:bottom w:val="single" w:sz="12"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105" w:type="dxa"/>
        <w:jc w:val="left"/>
        <w:tblInd w:w="0" w:type="dxa"/>
        <w:tblLayout w:type="fixed"/>
        <w:tblCellMar>
          <w:top w:w="0" w:type="dxa"/>
          <w:left w:w="0" w:type="dxa"/>
          <w:bottom w:w="0" w:type="dxa"/>
          <w:right w:w="0" w:type="dxa"/>
        </w:tblCellMar>
      </w:tblPr>
      <w:tblGrid>
        <w:gridCol w:w="2105"/>
      </w:tblGrid>
      <w:tr>
        <w:trPr/>
        <w:tc>
          <w:tcPr>
            <w:tcW w:w="21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Signature</w:t>
            </w:r>
          </w:p>
        </w:tc>
      </w:tr>
      <w:tr>
        <w:trPr/>
        <w:tc>
          <w:tcPr>
            <w:tcW w:w="2105" w:type="dxa"/>
            <w:tcBorders/>
            <w:vAlign w:val="center"/>
          </w:tcPr>
          <w:p>
            <w:pPr>
              <w:pStyle w:val="TableContents"/>
              <w:bidi w:val="0"/>
              <w:spacing w:before="0" w:after="283"/>
              <w:jc w:val="left"/>
              <w:rPr/>
            </w:pPr>
            <w:r>
              <w:rPr/>
              <w:t> </w:t>
            </w:r>
          </w:p>
        </w:tc>
      </w:tr>
      <w:tr>
        <w:trPr/>
        <w:tc>
          <w:tcPr>
            <w:tcW w:w="2105" w:type="dxa"/>
            <w:tcBorders>
              <w:bottom w:val="single" w:sz="12" w:space="0" w:color="000000"/>
            </w:tcBorders>
            <w:tcMar>
              <w:bottom w:w="28" w:type="dxa"/>
            </w:tcMar>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(Signature if held Jointly)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When Shares are held by joint tenants, both should sign. When signing as attorney, executor, administrator, trustee or guardian, please give full title as such. If a corporation, please sign in full corporate name by the president or another authorized officer. If a partnership, please sign in partnership name by an authorized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The Shares represented by this proxy, when properly executed, will be voted in the manner directed herein by the undersigned stockholder(s). If no direction is made, this proxy will be voted in accordance with the recommendations of the Board of Directors: </w:t>
      </w:r>
      <w:r>
        <w:rPr>
          <w:rFonts w:ascii="Times New Roman" w:hAnsi="Times New Roman"/>
          <w:caps w:val="false"/>
          <w:smallCaps w:val="false"/>
          <w:sz w:val="20"/>
        </w:rPr>
        <w:t>“</w:t>
      </w:r>
      <w:r>
        <w:rPr>
          <w:rFonts w:ascii="Times New Roman" w:hAnsi="Times New Roman"/>
          <w:b/>
          <w:caps w:val="false"/>
          <w:smallCaps w:val="false"/>
          <w:sz w:val="20"/>
        </w:rPr>
        <w:t>FOR</w:t>
      </w:r>
      <w:r>
        <w:rPr>
          <w:rFonts w:ascii="Times New Roman" w:hAnsi="Times New Roman"/>
          <w:caps w:val="false"/>
          <w:smallCaps w:val="false"/>
          <w:sz w:val="20"/>
        </w:rPr>
        <w:t>” </w:t>
      </w:r>
      <w:r>
        <w:rPr>
          <w:rFonts w:ascii="Times New Roman" w:hAnsi="Times New Roman"/>
          <w:b/>
          <w:caps w:val="false"/>
          <w:smallCaps w:val="false"/>
          <w:sz w:val="20"/>
        </w:rPr>
        <w:t xml:space="preserve">each of Proposal Nos. 1, 2, and 4 and </w:t>
      </w:r>
      <w:r>
        <w:rPr>
          <w:rFonts w:ascii="Times New Roman" w:hAnsi="Times New Roman"/>
          <w:caps w:val="false"/>
          <w:smallCaps w:val="false"/>
          <w:sz w:val="20"/>
        </w:rPr>
        <w:t>“</w:t>
      </w:r>
      <w:r>
        <w:rPr>
          <w:rFonts w:ascii="Times New Roman" w:hAnsi="Times New Roman"/>
          <w:b/>
          <w:caps w:val="false"/>
          <w:smallCaps w:val="false"/>
          <w:sz w:val="20"/>
        </w:rPr>
        <w:t>1 YEAR</w:t>
      </w:r>
      <w:r>
        <w:rPr>
          <w:rFonts w:ascii="Times New Roman" w:hAnsi="Times New Roman"/>
          <w:caps w:val="false"/>
          <w:smallCaps w:val="false"/>
          <w:sz w:val="20"/>
        </w:rPr>
        <w:t>” </w:t>
      </w:r>
      <w:r>
        <w:rPr>
          <w:rFonts w:ascii="Times New Roman" w:hAnsi="Times New Roman"/>
          <w:b/>
          <w:caps w:val="false"/>
          <w:smallCaps w:val="false"/>
          <w:sz w:val="20"/>
        </w:rPr>
        <w:t>for Proposal No. 3.</w:t>
      </w:r>
      <w:r>
        <w:rPr>
          <w:rFonts w:ascii="Times New Roman" w:hAnsi="Times New Roman"/>
          <w:caps w:val="false"/>
          <w:smallCaps w:val="false"/>
          <w:sz w:val="20"/>
        </w:rPr>
        <w:t> If any other matters properly come before the Annual Meeting, unless such authority is withheld on this proxy card, the Proxies will vote on such matters in their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711</Words>
  <Characters>3580</Characters>
  <CharactersWithSpaces>4315</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