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40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-5080</wp:posOffset>
            </wp:positionV>
            <wp:extent cx="200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-5080</wp:posOffset>
            </wp:positionV>
            <wp:extent cx="142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321945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72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84-3533602</w:t>
            </w:r>
          </w:p>
        </w:tc>
      </w:tr>
      <w:tr>
        <w:trPr>
          <w:trHeight w:val="216"/>
        </w:trPr>
        <w:tc>
          <w:tcPr>
            <w:tcW w:w="472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47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No.)</w:t>
            </w:r>
          </w:p>
        </w:tc>
      </w:tr>
    </w:tbl>
    <w:p>
      <w:pPr>
        <w:spacing w:after="0" w:line="19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421 W. 3rd St., Suite 1000</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vMerge w:val="continue"/>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HPK</w:t>
            </w:r>
          </w:p>
        </w:tc>
        <w:tc>
          <w:tcPr>
            <w:tcW w:w="100" w:type="dxa"/>
            <w:vAlign w:val="bottom"/>
            <w:vMerge w:val="continue"/>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HPKEW</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22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22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2024, the aggregate market value of the common stock of the Registrant held by non-affiliates was $346,745,695 based on the closing price as reported on the Nasdaq Global Market on June 28, 2024 of $14.06.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outstanding as of March 6, 2025 – 126,067,436.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both"/>
        <w:ind w:left="560" w:right="20" w:hanging="363"/>
        <w:spacing w:after="0" w:line="255"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for the Company’s Annual Meeting of Stockholders to be held in June 2025, which will be filed with the U.S. Securities and Exchange Commission within 120 days of December 31, 2024, are incorporated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196"/>
        </w:trPr>
        <w:tc>
          <w:tcPr>
            <w:tcW w:w="96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500" w:type="dxa"/>
            <w:vAlign w:val="bottom"/>
            <w:gridSpan w:val="5"/>
            <w:shd w:val="clear" w:color="auto" w:fill="CCEEFF"/>
          </w:tcPr>
          <w:p>
            <w:pPr>
              <w:jc w:val="center"/>
              <w:ind w:right="48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440" w:type="dxa"/>
            <w:vAlign w:val="bottom"/>
            <w:shd w:val="clear" w:color="auto" w:fill="CCEEFF"/>
          </w:tcPr>
          <w:p>
            <w:pPr>
              <w:spacing w:after="0"/>
              <w:rPr>
                <w:sz w:val="17"/>
                <w:szCs w:val="17"/>
                <w:color w:val="auto"/>
              </w:rPr>
            </w:pPr>
          </w:p>
        </w:tc>
      </w:tr>
      <w:tr>
        <w:trPr>
          <w:trHeight w:val="216"/>
        </w:trPr>
        <w:tc>
          <w:tcPr>
            <w:tcW w:w="53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Items 1 and 2. Business and Properties</w:t>
            </w:r>
          </w:p>
        </w:tc>
        <w:tc>
          <w:tcPr>
            <w:tcW w:w="580" w:type="dxa"/>
            <w:vAlign w:val="bottom"/>
            <w:tcBorders>
              <w:top w:val="single" w:sz="8" w:color="auto"/>
            </w:tcBorders>
          </w:tcPr>
          <w:p>
            <w:pPr>
              <w:spacing w:after="0"/>
              <w:rPr>
                <w:sz w:val="18"/>
                <w:szCs w:val="18"/>
                <w:color w:val="auto"/>
              </w:rPr>
            </w:pPr>
          </w:p>
        </w:tc>
        <w:tc>
          <w:tcPr>
            <w:tcW w:w="4880" w:type="dxa"/>
            <w:vAlign w:val="bottom"/>
            <w:tcBorders>
              <w:top w:val="single" w:sz="8" w:color="CCEEFF"/>
            </w:tcBorders>
            <w:gridSpan w:val="3"/>
          </w:tcPr>
          <w:p>
            <w:pPr>
              <w:spacing w:after="0"/>
              <w:rPr>
                <w:sz w:val="18"/>
                <w:szCs w:val="18"/>
                <w:color w:val="auto"/>
              </w:rPr>
            </w:pPr>
          </w:p>
        </w:tc>
        <w:tc>
          <w:tcPr>
            <w:tcW w:w="4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1C.</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Cybersecurity</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 Safety Disclosures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176"/>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540" w:type="dxa"/>
            <w:vAlign w:val="bottom"/>
            <w:gridSpan w:val="6"/>
          </w:tcPr>
          <w:p>
            <w:pPr>
              <w:jc w:val="center"/>
              <w:ind w:right="48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PART II</w:t>
            </w:r>
          </w:p>
        </w:tc>
        <w:tc>
          <w:tcPr>
            <w:tcW w:w="4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9C.</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176"/>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540" w:type="dxa"/>
            <w:vAlign w:val="bottom"/>
            <w:gridSpan w:val="6"/>
          </w:tcPr>
          <w:p>
            <w:pPr>
              <w:jc w:val="center"/>
              <w:ind w:right="48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Executive Compensation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r>
      <w:tr>
        <w:trPr>
          <w:trHeight w:val="176"/>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540" w:type="dxa"/>
            <w:vAlign w:val="bottom"/>
            <w:gridSpan w:val="6"/>
          </w:tcPr>
          <w:p>
            <w:pPr>
              <w:jc w:val="center"/>
              <w:ind w:right="48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PART IV</w:t>
            </w:r>
          </w:p>
        </w:tc>
        <w:tc>
          <w:tcPr>
            <w:tcW w:w="4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Form 10-K Summary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4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r>
      <w:tr>
        <w:trPr>
          <w:trHeight w:val="817"/>
        </w:trPr>
        <w:tc>
          <w:tcPr>
            <w:tcW w:w="9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Annual Report on Form 10-K (this “Annual Report”), the following terms and conventions have specific meanings:</w:t>
      </w:r>
    </w:p>
    <w:p>
      <w:pPr>
        <w:spacing w:after="0" w:line="221" w:lineRule="exact"/>
        <w:rPr>
          <w:sz w:val="20"/>
          <w:szCs w:val="20"/>
          <w:color w:val="auto"/>
        </w:rPr>
      </w:pPr>
    </w:p>
    <w:p>
      <w:pPr>
        <w:ind w:left="660" w:right="520" w:hanging="328"/>
        <w:spacing w:after="0" w:line="26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“10.000% Senior Notes</w:t>
      </w:r>
      <w:r>
        <w:rPr>
          <w:rFonts w:ascii="Times New Roman" w:cs="Times New Roman" w:eastAsia="Times New Roman" w:hAnsi="Times New Roman"/>
          <w:sz w:val="18"/>
          <w:szCs w:val="18"/>
          <w:color w:val="auto"/>
        </w:rPr>
        <w:t>” means the $225.0 million aggregate principal amount of our 10.000% Senior Notes due 2024, which were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an indenture in February 2022 and repaid in full in September 2023.</w:t>
      </w:r>
    </w:p>
    <w:p>
      <w:pPr>
        <w:jc w:val="both"/>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“10.625% Senior Notes</w:t>
      </w:r>
      <w:r>
        <w:rPr>
          <w:rFonts w:ascii="Times New Roman" w:cs="Times New Roman" w:eastAsia="Times New Roman" w:hAnsi="Times New Roman"/>
          <w:sz w:val="18"/>
          <w:szCs w:val="18"/>
          <w:color w:val="auto"/>
        </w:rPr>
        <w:t>” means the $250.0 million aggregate principal amount of our 10.625% Senior Notes due 2024, $225.0 million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issued pursuant to an indenture in November 2022 and $25.0 million of which were issued pursuant to an indenture in December 2022 and repaid in full in September 2023.</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36" w:lineRule="exact"/>
        <w:rPr>
          <w:rFonts w:ascii="Times New Roman" w:cs="Times New Roman" w:eastAsia="Times New Roman" w:hAnsi="Times New Roman"/>
          <w:sz w:val="18"/>
          <w:szCs w:val="18"/>
          <w:color w:val="auto"/>
        </w:rPr>
      </w:pPr>
    </w:p>
    <w:p>
      <w:pPr>
        <w:jc w:val="both"/>
        <w:ind w:left="660" w:right="34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equivalent basis. Natural gas equivalents are determined under the relative energy content method by using the ratio of six thousand cubic feet of natural gas to one Bbl of crude oil or NGL.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3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 degree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Fahrenheit.</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03" w:right="419" w:bottom="1440" w:gutter="0" w:footer="0" w:header="0"/>
        </w:sectPr>
      </w:pPr>
    </w:p>
    <w:bookmarkStart w:id="4" w:name="page5"/>
    <w:bookmarkEnd w:id="4"/>
    <w:p>
      <w:pPr>
        <w:ind w:left="328" w:right="80" w:hanging="328"/>
        <w:spacing w:after="0" w:line="255"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328" w:right="8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means the process of treating a drilled well followed by the installation of permanent equipment for the production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or in the case of a dry hole, the reporting of abandonment to the appropriate agency.</w:t>
      </w:r>
    </w:p>
    <w:p>
      <w:pPr>
        <w:ind w:left="328" w:hanging="328"/>
        <w:spacing w:after="0"/>
        <w:tabs>
          <w:tab w:leader="none" w:pos="328"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b w:val="1"/>
          <w:bCs w:val="1"/>
          <w:i w:val="1"/>
          <w:iCs w:val="1"/>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36" w:lineRule="exact"/>
        <w:rPr>
          <w:rFonts w:ascii="Times New Roman" w:cs="Times New Roman" w:eastAsia="Times New Roman" w:hAnsi="Times New Roman"/>
          <w:sz w:val="18"/>
          <w:szCs w:val="18"/>
          <w:color w:val="auto"/>
        </w:rPr>
      </w:pPr>
    </w:p>
    <w:p>
      <w:pPr>
        <w:ind w:left="328" w:right="20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means the costs incurred to obtain access to proved reserves and to provide facilities for extracting, treating, gathering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storing the crude oil and natural gas. For a complete definition of development costs, refer to the SEC’s Regulation S-X, Rule 4-10(a)(7).</w:t>
      </w:r>
    </w:p>
    <w:p>
      <w:pPr>
        <w:ind w:left="328" w:right="28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means the way by which petroleum resources are brought to the status of economically producible. As examples,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328" w:right="48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means a well drilled within the proved area of a crude oil or natural gas reservoir to the depth of a stratigraphic horizon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known to be productive.</w:t>
      </w:r>
    </w:p>
    <w:p>
      <w:pPr>
        <w:ind w:left="328" w:right="6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means an adjustment to the price of crude oil, NGL or natural gas from an established spot market price to reflect differences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and/or location of crude oil, NGL or natural gas.</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means a well found to be incapable of producing hydrocarbons in sufficient quantities such that proceeds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production exceed production expenses and taxes.</w:t>
      </w:r>
    </w:p>
    <w:p>
      <w:pPr>
        <w:ind w:left="328" w:right="2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means, as it relates to a resource, means a resource which generates revenue that exceeds, or is reasonably expected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 the costs of the operation.</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means 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328" w:right="300"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means a well drilled to find a new field, to find a new reservoir in a field previously found to be productive of crude oil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in another reservoir. Generally, an exploratory well is any well that is not a development well, an extension well, a service well or a stratigraphic test well as those items are defined by the SEC.</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means an extension well is a well drilled to extend the limits of a known reservoir.</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means the Financial Accounting Standards Board.</w:t>
      </w:r>
    </w:p>
    <w:p>
      <w:pPr>
        <w:spacing w:after="0" w:line="36" w:lineRule="exact"/>
        <w:rPr>
          <w:rFonts w:ascii="Times New Roman" w:cs="Times New Roman" w:eastAsia="Times New Roman" w:hAnsi="Times New Roman"/>
          <w:sz w:val="18"/>
          <w:szCs w:val="18"/>
          <w:color w:val="auto"/>
        </w:rPr>
      </w:pPr>
    </w:p>
    <w:p>
      <w:pPr>
        <w:ind w:left="328" w:right="60"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means an area consisting of a single reservoir or multiple reservoirs all grouped on, or related to, the same individual geological structural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feature or stratigraphic condition. The field name refers to the surface area, although it may refer to both the surface and the underground productive formations.</w:t>
      </w:r>
    </w:p>
    <w:p>
      <w:pPr>
        <w:ind w:left="328" w:right="24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 Facility Amendment</w:t>
      </w:r>
      <w:r>
        <w:rPr>
          <w:rFonts w:ascii="Times New Roman" w:cs="Times New Roman" w:eastAsia="Times New Roman" w:hAnsi="Times New Roman"/>
          <w:sz w:val="18"/>
          <w:szCs w:val="18"/>
          <w:color w:val="auto"/>
        </w:rPr>
        <w:t>” means the First Amendment to Senior Credit Facility Agreement, dated March 29, 2024,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as borrower, Fifth Third Bank, National Association, as administrative agent, the guarantors party thereto and the lenders party thereto.</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means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28" w:right="58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means the acreage covered by a mineral lease that perpetuates a company’s right to operate a property as long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produces a minimum paying quantity of crude oil or natural gas.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23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76" w:right="339" w:bottom="1440" w:gutter="0" w:footer="0" w:header="0"/>
        </w:sectPr>
      </w:pPr>
    </w:p>
    <w:bookmarkStart w:id="5" w:name="page6"/>
    <w:bookmarkEnd w:id="5"/>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3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means a drilling technique used in certain formations where a well is drilled vertically to a certain depth and then drilled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angle within a specified interval.</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“HPK Contributors</w:t>
      </w:r>
      <w:r>
        <w:rPr>
          <w:rFonts w:ascii="Times New Roman" w:cs="Times New Roman" w:eastAsia="Times New Roman" w:hAnsi="Times New Roman"/>
          <w:sz w:val="18"/>
          <w:szCs w:val="18"/>
          <w:color w:val="auto"/>
        </w:rPr>
        <w:t>” means HighPeak I, HighPeak II and HPK GP.</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means the technique of stimulating the production of hydrocarbons from tight formations. The Company routinely utilizes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1" w:lineRule="exact"/>
        <w:rPr>
          <w:rFonts w:ascii="Times New Roman" w:cs="Times New Roman" w:eastAsia="Times New Roman" w:hAnsi="Times New Roman"/>
          <w:sz w:val="18"/>
          <w:szCs w:val="18"/>
          <w:color w:val="auto"/>
        </w:rPr>
      </w:pPr>
    </w:p>
    <w:p>
      <w:pPr>
        <w:ind w:left="328" w:right="1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“Lease operating expenses</w:t>
      </w:r>
      <w:r>
        <w:rPr>
          <w:rFonts w:ascii="Times New Roman" w:cs="Times New Roman" w:eastAsia="Times New Roman" w:hAnsi="Times New Roman"/>
          <w:sz w:val="18"/>
          <w:szCs w:val="18"/>
          <w:color w:val="auto"/>
        </w:rPr>
        <w:t>” means the expenses of lifting crude oil or natural gas from a producing formation to the surface, constituting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9" w:lineRule="exact"/>
        <w:rPr>
          <w:rFonts w:ascii="Times New Roman" w:cs="Times New Roman" w:eastAsia="Times New Roman" w:hAnsi="Times New Roman"/>
          <w:sz w:val="18"/>
          <w:szCs w:val="18"/>
          <w:color w:val="auto"/>
        </w:rPr>
      </w:pPr>
    </w:p>
    <w:p>
      <w:pPr>
        <w:ind w:left="328" w:right="38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means the percentage of total acres an owner has out of a particular number of gross acres or a specified tract. As an example.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 who has 50% interest in 100 gross acres owns 50 net acres.</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means the production that is owned by us, less royalties and production due others.</w:t>
      </w:r>
    </w:p>
    <w:p>
      <w:pPr>
        <w:spacing w:after="0" w:line="9" w:lineRule="exact"/>
        <w:rPr>
          <w:rFonts w:ascii="Times New Roman" w:cs="Times New Roman" w:eastAsia="Times New Roman" w:hAnsi="Times New Roman"/>
          <w:sz w:val="18"/>
          <w:szCs w:val="18"/>
          <w:color w:val="auto"/>
        </w:rPr>
      </w:pPr>
    </w:p>
    <w:p>
      <w:pPr>
        <w:ind w:left="328" w:right="18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means the individual or company responsible for the exploration and/or production of a crude oil or natural gas well or lease.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means a downhole tool that is set inside the casing to isolate the lower part of the wellbore.</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means the bringing together of small tracts or fractional mineral interests in one or more tracts to form a drilling and production unit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well under applicable spacing rules.</w:t>
      </w:r>
    </w:p>
    <w:p>
      <w:pPr>
        <w:ind w:left="328" w:right="14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“Principal Stockholder Group</w:t>
      </w:r>
      <w:r>
        <w:rPr>
          <w:rFonts w:ascii="Times New Roman" w:cs="Times New Roman" w:eastAsia="Times New Roman" w:hAnsi="Times New Roman"/>
          <w:sz w:val="18"/>
          <w:szCs w:val="18"/>
          <w:color w:val="auto"/>
        </w:rPr>
        <w:t>” means HighPeak Pure Acquisition, LLC, a Delaware limited liability company, and wholly owned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I, the HPK Contributors and Jack Hightower and each of their respective affiliates and certain permitted transferees, collectively.</w:t>
      </w:r>
    </w:p>
    <w:p>
      <w:pPr>
        <w:ind w:left="328" w:right="520" w:hanging="328"/>
        <w:spacing w:after="0" w:line="265" w:lineRule="auto"/>
        <w:tabs>
          <w:tab w:leader="none" w:pos="3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“Prior Credit Agreement</w:t>
      </w:r>
      <w:r>
        <w:rPr>
          <w:rFonts w:ascii="Times New Roman" w:cs="Times New Roman" w:eastAsia="Times New Roman" w:hAnsi="Times New Roman"/>
          <w:sz w:val="17"/>
          <w:szCs w:val="17"/>
          <w:color w:val="auto"/>
        </w:rPr>
        <w:t>” means the Company’s Credit Agreement, dated as of December 17, 2020, as amended from time to time, among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HighPeak Energy, Inc., as Borrower, Wells Fargo Bank, National Association, as administrative agent, and the Lenders party thereto.</w:t>
      </w:r>
    </w:p>
    <w:p>
      <w:pPr>
        <w:ind w:left="328" w:right="1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means the costs incurred to operate and maintain wells and related equipment and facilities, including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means a well that is found to be capable of producing hydrocarbons in sufficient quantities such that proceeds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production exceed production expenses and taxes.</w:t>
      </w:r>
    </w:p>
    <w:p>
      <w:pPr>
        <w:ind w:left="328"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means a unit that can be effectively and efficiently drained by one well, as allocated by a governmental agency having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w:t>
      </w:r>
    </w:p>
    <w:p>
      <w:pPr>
        <w:ind w:left="328" w:right="34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means a specific geographic area which, based on supporting geological, geophysical or other data and also preliminary economic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using reasonably anticipated prices and costs, is deemed to have potential for the discovery of commercial hydrocarbons.</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9" w:lineRule="exact"/>
        <w:rPr>
          <w:rFonts w:ascii="Times New Roman" w:cs="Times New Roman" w:eastAsia="Times New Roman" w:hAnsi="Times New Roman"/>
          <w:sz w:val="18"/>
          <w:szCs w:val="18"/>
          <w:color w:val="auto"/>
        </w:rPr>
      </w:pPr>
    </w:p>
    <w:p>
      <w:pPr>
        <w:ind w:left="328" w:right="80" w:hanging="328"/>
        <w:spacing w:after="0" w:line="255"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18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76" w:right="359" w:bottom="1440" w:gutter="0" w:footer="0" w:header="0"/>
        </w:sectPr>
      </w:pPr>
    </w:p>
    <w:bookmarkStart w:id="6" w:name="page7"/>
    <w:bookmarkEnd w:id="6"/>
    <w:p>
      <w:pPr>
        <w:ind w:left="328" w:right="60" w:hanging="328"/>
        <w:spacing w:after="0" w:line="254"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reserves</w:t>
      </w:r>
      <w:r>
        <w:rPr>
          <w:rFonts w:ascii="Times New Roman" w:cs="Times New Roman" w:eastAsia="Times New Roman" w:hAnsi="Times New Roman"/>
          <w:sz w:val="18"/>
          <w:szCs w:val="18"/>
          <w:color w:val="auto"/>
        </w:rPr>
        <w:t>” means those quantities of crude oil and natural gas, which, by analysis of geosciences and engineering data, can be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3" w:lineRule="exact"/>
        <w:rPr>
          <w:rFonts w:ascii="Times New Roman" w:cs="Times New Roman" w:eastAsia="Times New Roman" w:hAnsi="Times New Roman"/>
          <w:sz w:val="18"/>
          <w:szCs w:val="18"/>
          <w:color w:val="auto"/>
        </w:rPr>
      </w:pPr>
    </w:p>
    <w:p>
      <w:pPr>
        <w:ind w:left="328" w:right="400" w:hanging="4"/>
        <w:spacing w:after="0" w:line="250" w:lineRule="auto"/>
        <w:tabs>
          <w:tab w:leader="none" w:pos="63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28" w:right="420" w:hanging="4"/>
        <w:spacing w:after="0" w:line="265" w:lineRule="auto"/>
        <w:tabs>
          <w:tab w:leader="none" w:pos="63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ind w:left="328" w:right="280" w:hanging="4"/>
        <w:spacing w:after="0" w:line="250" w:lineRule="auto"/>
        <w:tabs>
          <w:tab w:leader="none" w:pos="6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28" w:right="100" w:hanging="4"/>
        <w:spacing w:after="0" w:line="250" w:lineRule="auto"/>
        <w:tabs>
          <w:tab w:leader="none" w:pos="6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28" w:right="20" w:hanging="4"/>
        <w:spacing w:after="0" w:line="250"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28" w:right="14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having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28" w:right="4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means, when used with respect to crude oil and natural gas reserves, the estimated future gross revenue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means 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28" w:right="100" w:hanging="328"/>
        <w:spacing w:after="0" w:line="263"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means the process of re-entering an existing wellbore that is either producing or not producing and completing new reservoirs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328" w:right="4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means estimated remaining quantities of crude oil and natural gas and related substances anticipated to be economically producible,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means a porous and permeable underground formation containing a natural accumulation of producible crude oil and/or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confined by impermeable rock or water barriers and is separate from other reservoirs.</w:t>
      </w:r>
    </w:p>
    <w:p>
      <w:pPr>
        <w:ind w:left="328" w:right="8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means quantities of crude oil and natural gas estimated to exist in naturally occurring accumulations. A portion of the resources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estimated to be recoverable and another portion may be considered unrecoverable. Resources include both discovered and undiscovered accumulations.</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means an interest in a crude oil and natural gas lease that gives the owner the right to receive a portion of the production from the leased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3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76" w:right="339" w:bottom="1440" w:gutter="0" w:footer="0" w:header="0"/>
        </w:sectPr>
      </w:pPr>
    </w:p>
    <w:bookmarkStart w:id="7" w:name="page8"/>
    <w:bookmarkEnd w:id="7"/>
    <w:p>
      <w:pPr>
        <w:ind w:left="660" w:right="22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means a well drilled or completed for the purpose of supporting production in an existing field. Specific purposes of service wells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jc w:val="both"/>
        <w:ind w:left="660" w:right="4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means the distance between wells producing from the same reservoir. Spacing is often expressed in terms of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100-acre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spacing, the distance between horizontal wellbores,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880-foot spacing or the number of wells per section,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means 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660" w:right="12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means the present value (discounted at an annual rate of 10 percent) of estimated future net revenues to be generated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means a drilling effort, geologically directed, to obtain information pertaining to a specific geologic condition.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Credit Agreement, dated as of September 12, 2023, by and between HighPeak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means the lease acreage on which wells have not been drilled or completed to a point that would permit the production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quantities of crude oil and natural gas regardless of whether such acreage contains proved reserves.</w:t>
      </w:r>
    </w:p>
    <w:p>
      <w:pPr>
        <w:ind w:left="660" w:right="5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means the joining of all or substantially all interests in a reservoir or field, rather than a single tract, to provide for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without regard to separate property interests. Also, the area covered by a unitization agreement.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w:t>
      </w:r>
    </w:p>
    <w:p>
      <w:pPr>
        <w:spacing w:after="0" w:line="36" w:lineRule="exact"/>
        <w:rPr>
          <w:rFonts w:ascii="Times New Roman" w:cs="Times New Roman" w:eastAsia="Times New Roman" w:hAnsi="Times New Roman"/>
          <w:sz w:val="18"/>
          <w:szCs w:val="18"/>
          <w:color w:val="auto"/>
        </w:rPr>
      </w:pPr>
    </w:p>
    <w:p>
      <w:pPr>
        <w:ind w:left="660" w:right="34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means the hole drilled by the bit that is equipped for crude oil and natural gas production on a completed well. Also called well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borehole.</w:t>
      </w:r>
    </w:p>
    <w:p>
      <w:pPr>
        <w:ind w:left="660" w:right="560" w:hanging="328"/>
        <w:spacing w:after="0" w:line="26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“Working interest</w:t>
      </w:r>
      <w:r>
        <w:rPr>
          <w:rFonts w:ascii="Times New Roman" w:cs="Times New Roman" w:eastAsia="Times New Roman" w:hAnsi="Times New Roman"/>
          <w:sz w:val="17"/>
          <w:szCs w:val="17"/>
          <w:color w:val="auto"/>
        </w:rPr>
        <w:t>” means the right granted to the lessee of a property to explore for and to produce and own crude oil, natural gas or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minerals. The working interest owners bear the exploration, development and operating costs on either a cash, penalty or carried basis.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means 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66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benchmark in crude oil pricing.</w:t>
      </w:r>
    </w:p>
    <w:p>
      <w:pPr>
        <w:jc w:val="both"/>
        <w:ind w:left="660" w:right="1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Annual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9" w:lineRule="exact"/>
        <w:rPr>
          <w:rFonts w:ascii="Times New Roman" w:cs="Times New Roman" w:eastAsia="Times New Roman" w:hAnsi="Times New Roman"/>
          <w:sz w:val="18"/>
          <w:szCs w:val="18"/>
          <w:color w:val="auto"/>
        </w:rPr>
      </w:pPr>
    </w:p>
    <w:p>
      <w:pPr>
        <w:ind w:left="740" w:right="42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740" w:right="50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 including our obligations under our Term Loan Credit Agreement and Senior Credit Facility Agreement;</w:t>
      </w:r>
    </w:p>
    <w:p>
      <w:pPr>
        <w:ind w:left="740" w:right="36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the Israel-Hamas conflict and the Israel-Iran conflict;</w:t>
      </w: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uncertainties associated with the change in U.S. presidential administration;</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9" w:lineRule="exact"/>
        <w:rPr>
          <w:rFonts w:ascii="Times New Roman" w:cs="Times New Roman" w:eastAsia="Times New Roman" w:hAnsi="Times New Roman"/>
          <w:sz w:val="18"/>
          <w:szCs w:val="18"/>
          <w:color w:val="auto"/>
        </w:rPr>
      </w:pPr>
    </w:p>
    <w:p>
      <w:pPr>
        <w:ind w:left="740" w:right="26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interest rates and resulting pressures on economic growth;</w:t>
      </w: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9" w:lineRule="exact"/>
        <w:rPr>
          <w:rFonts w:ascii="Times New Roman" w:cs="Times New Roman" w:eastAsia="Times New Roman" w:hAnsi="Times New Roman"/>
          <w:sz w:val="18"/>
          <w:szCs w:val="18"/>
          <w:color w:val="auto"/>
        </w:rPr>
      </w:pPr>
    </w:p>
    <w:p>
      <w:pPr>
        <w:jc w:val="both"/>
        <w:ind w:left="740" w:right="50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9"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Times New Roman" w:cs="Times New Roman" w:eastAsia="Times New Roman" w:hAnsi="Times New Roman"/>
          <w:sz w:val="18"/>
          <w:szCs w:val="18"/>
          <w:color w:val="auto"/>
        </w:rPr>
      </w:pPr>
    </w:p>
    <w:p>
      <w:pPr>
        <w:ind w:left="740" w:right="26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agreements to set and maintain production levels, including as a result of recent production cuts by OPEC;</w:t>
      </w: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9" w:lineRule="exact"/>
        <w:rPr>
          <w:rFonts w:ascii="Times New Roman" w:cs="Times New Roman" w:eastAsia="Times New Roman" w:hAnsi="Times New Roman"/>
          <w:sz w:val="18"/>
          <w:szCs w:val="18"/>
          <w:color w:val="auto"/>
        </w:rPr>
      </w:pPr>
    </w:p>
    <w:p>
      <w:pPr>
        <w:ind w:left="740" w:right="540" w:hanging="368"/>
        <w:spacing w:after="0" w:line="250"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capital markets and our ability to access such markets on attractive terms or at all, and related risks such as general credit, liquidity, market and interest-rate risks; and</w:t>
      </w:r>
    </w:p>
    <w:p>
      <w:pPr>
        <w:jc w:val="both"/>
        <w:ind w:left="740" w:right="280" w:hanging="368"/>
        <w:spacing w:after="0" w:line="255"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“Part I, Items 1 and 2. Business and Properties,” “Part I, Item 1A. Risk Factors,” “Part II, Item 7. Management’s Discussion and Analysis of Financial Condition and Results of Operations,” “Part II, Item 7A. Quantitative and Qualitative Disclosures about Market Risk” and elsewhere in this Annual Report.</w:t>
      </w:r>
    </w:p>
    <w:p>
      <w:pPr>
        <w:spacing w:after="0" w:line="18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014"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ITEMS 1 AND 2. BUSINESS AND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HighPeak Energy, Inc., a Delaware corporation formed on October 29, 2019, is an independent crude oil and natural gas exploration and production company that explores for, develops and produces crude oil, NGL and natural gas in the Permian Basin in West Texas, more specifically, the Midland Basin primarily in Howard and Borden Counties, Texas, and to a lesser extent Scurry and Mitchell Counties, which lie within the northeastern part of the crude oil-rich Midland Basin.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HighPeak Energy focuses on the Midland Basin and specifically the Howard and Borden Counties area of the Midland Basin. Over the last eight decades the Howard and Borden Counties area of the Midland Basin was partially developed with vertical wells using conventional methods, and during the last decade has experienced significant redevelopment activity in the Lower Spraberry and Wolfcamp A formations utilizing modern horizontal drilling technology, with some operators having additional success developing the Middle Spraberry, Jo Mill, Wolfcamp B and Wolfcamp D formations, through the use of modern, high-intensity hydraulic fracturing techniques, decreased frac spacing, increased proppant usage and increased lateral lengths. Our interpretation of available IHS Markit data as well as our own drilling and completion results show that Howard and Borden Counties have a high crude oil mix percentage.</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assets include certain rights, title and interests in crude oil and natural gas assets located primarily in Howard and Borden Counties, Texas, and to a lesser extent, Scurry and Mitchell Counties, Texas. As of December 31, 2024, the Company’s assets consisted of two generally contiguous leasehold positions of approximately 154,368 gross (141,907 net) acres covering various subsurface depths, approximately 64% of which were held by production, with an average working interest of approximately 92%. We operate approximately 97% of the net acreage across the Company’s assets. The majority of HighPeak Energy’s horizontal development drilling plan is currently focused on the Wolfcamp A and Lower Spraberry formations. We utilize multi-well pad development to lower drilling and completion cycle times and create infrastructure and facility economies of scale to reduce overall costs, optimize and maximize crude oil and natural gas recoveries, return on investment and value creation.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mailing address of HighPeak Energy’s principal executive office is 421 W. 3rd Street, Suite 1000, Fort Worth, Texas 76102. HighPeak Energy’s telephone number is (817) 850-9200. As of December 31, 2024, HighPeak Energy had forty-seven full-time employees.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HighPeak Energy files or furnishes annual, quarterly and current reports, proxy statements and other documents with the SEC under the Exchange Act.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proxy and information statements, and other information regarding issuers, including HighPeak Energy, that file electronically with the SEC.</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makes available free of charge through its website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its Annual Reports on Form 10-K, Quarterly Reports on Form 10-Q, Current Reports on Form 8-K and, if applicable, amendments to those reports filed or furnished pursuant to Section 13(a) of the Exchange Act as soon as reasonably practicable after it electronically files such material with, or furnishes it to, the SEC. In addition to the reports filed or furnished with the SEC, HighPeak Energy publicly discloses information from time to time in its press releases and investor presentations that are posted on its website or publicly during accessible investor conferences. Such information, including information posted on or connected to the Company’s website, is not a part of, or incorporated by reference in, this Annual Report or any other document the Company files with or furnishes to the SEC.</w:t>
      </w:r>
    </w:p>
    <w:p>
      <w:pPr>
        <w:spacing w:after="0" w:line="18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HighPeak Energy’s common stock and warrants are listed on the Nasdaq Global Market (“Nasdaq”) under the symbols “HPK” and “HPKEW,”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assets are located in the northeastern part of the Midland Basin. The majority of the acreage position is located across the eastern half of Howard and Borden Counties recently extending into far southwestern Scurry County and far northwestern Mitchell County in two largely contiguous acreage blocks, the northern position of which is referred to as the Flat Top area and the southern position of which is referred to as the Signal Peak area. The Midland Basin is part of the Permian Basin of West Texas and Eastern New Mexico. The Permian Basin covers an area of about 96,000 square miles and is comprised of five (5) sub-regions including the Midland Basin, the Central Basin Platform, the Delaware Basin, the Northwest Shelf and the Eastern Shelf. The Central Basin Platform (“CBP”) is a central uplift, with the Delaware Basin located to the west of the CBP, and the Midland Basin located to the east of the CBP. The bulk of the Permian Basin’s increase in crude oil production since 2007 has come from several target zones including the Spraberry and Wolfcamp formations. The Permian Basin has produced billions of barrels of equivalent crude oil and natural gas and is estimated by the United States Geologic Survey to contain significant remaining hydrocarbon potential.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right="80"/>
        <w:spacing w:after="0" w:line="258" w:lineRule="auto"/>
        <w:rPr>
          <w:sz w:val="20"/>
          <w:szCs w:val="20"/>
          <w:color w:val="auto"/>
        </w:rPr>
      </w:pPr>
      <w:r>
        <w:rPr>
          <w:rFonts w:ascii="Times New Roman" w:cs="Times New Roman" w:eastAsia="Times New Roman" w:hAnsi="Times New Roman"/>
          <w:sz w:val="18"/>
          <w:szCs w:val="18"/>
          <w:color w:val="auto"/>
        </w:rPr>
        <w:t>HighPeak Energy generally developed its properties using two (2) drilling rigs and one (1) frac crew during the year ended December 31, 2024, ending the year using two (2) drilling rigs and one (1) frac crew. The Company expects to average two (2) drilling rigs and approximately one (1) frac crew during 2025 under our current development plan. HighPeak Energy expects to fund its forecasted capital expenditures of $448 to $490 million anticipated in 2025 with cash on its balance sheet, cash generated by operations, through borrowings under the Senior Credit Facility Agreement if needed and, depending on market circumstances, potential future debt or equity offerings.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HighPeak Energy has the discretion to modify its capital program. Because HighPeak Energy operates a high percentage of its acreage, capital expenditure amounts and timing are largely discretionary and within its control. HighPeak Energy determines its capital expenditures depending on a variety of factors, including, but not limited to, the success of its drilling activities, prevailing and anticipated prices for crude oil and natural gas, the availability of necessary equipment, infrastructure and capital, limitations on expenditures under certain leverage scenarios pursuant to the Term Loan Credit Agreement, the receipt and timing of required regulatory permits and approvals, drilling and acquisition costs and the level of participation by other working interest owners. A deferral of planned capital expenditures, particularly with respect to drilling and completing new wells, could result in a reduction in anticipated production and cash flows. Additionally, if HighPeak Energy curtails or reallocates priorities in its drilling program, HighPeak Energy may lose a portion of its acreage through lease expirations. However, in the event of any such curtailment or reallocation of priorities, HighPeak Energy would expect to prioritize lease retention to minimize any expirations. Please see “Risk Factors—Risks Related to Our Business—Crude oil, NGL and natural gas prices are volatile. Sustained periods of low, or declines in, crude oil, NGL and natural gas prices could adversely affect HighPeak Energy’s business, financial condition and results of operations and its ability to meet its capital expenditure obligations and other financial commitments,” “Risk Factors—Risks Related to Our Business —HighPeak Energy’s development projects and acquisitions will require substantial capital expenditures. HighPeak Energy may be unable to obtain required capital or financing on satisfactory terms, including as a result of recent increases in cost of capital resulting from Federal Reserve policies or otherwise, which could reduce its ability to access or increase production and reserves” and “Risk Factors—Risks Related to Our Business—Certain of the undeveloped leasehold acreage of HighPeak Energy’s assets is subject to leases that will expire over the next several years unless production is established on units containing the acreage or the leases are renewed.”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Summary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estimated proved reserves of the Company’s assets as of December 31, 2024, 2023 and 2022 were prepared by Cawley, Gillespie and Associates, Inc. (“CG&amp;A”). As of December 31, 2024, 2023 and 2022, the Company’s assets contained 198,998, 154,162 and 122,958 MBoe, respectively, of estimated proved reserves. In addition, as of December 31, 2024, 2023 and 2022, the estimated proved reserves of the Company’s assets were estimated by CG&amp;A to be 85%, 91% and 92% crude oil and NGL, respectively, and 15%, 9% and 8% natural gas, respectively. The following table provides summary information regarding the estimated proved reserves data of the Company’s assets based on the 2024 Reserve Report, 2023 Reserve Report and 2022 Reserve Report (each defined below) as of December 31, 2024, 2023 and 2022,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Proved Total</w:t>
            </w:r>
          </w:p>
        </w:tc>
        <w:tc>
          <w:tcPr>
            <w:tcW w:w="10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Crude Oil &amp;</w:t>
            </w:r>
          </w:p>
        </w:tc>
        <w:tc>
          <w:tcPr>
            <w:tcW w:w="17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Date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(MBoe)(1)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NGL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Developed</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198,998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154,162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122,958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1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652"/>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proved reserves were determined using the unweighted arithmetic average first-day-of-the month prices for the prior twelve (12) months in accordance with guidelines established by the SEC. As of December 31, 2024, 2023 and 2022, the average WTI spot price for crude oil and NGL volumes was $75.48, $78.22 and $93.67 per barrel, respectively, which was adjusted for quality, transportation and a regional price differential. As of December 31, 2024, 2023 and 2022, the average HH spot price for natural gas volumes was $2.130, $2.637 and $6.358 per MMBtu, respectively, which was adjusted for energy content, gathering, transportation and processing fees and a regional price differential. All prices are held constant throughout the lives of the properties. As of December 31, 2024, 2023 and 2022, the average adjusted prices realized over the remaining lives of the Company’s assets by CG&amp;A were $75.56, $78.13 and $94.59 per barrel of crude oil, $20.53, $17.33 and $36.69 per barrel of NGL and $0.072, $0.198 and $4.871 per Mcf of natural gas,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Reserve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Reserve Estimates</w:t>
      </w:r>
    </w:p>
    <w:p>
      <w:pPr>
        <w:spacing w:after="0" w:line="229" w:lineRule="exact"/>
        <w:rPr>
          <w:sz w:val="20"/>
          <w:szCs w:val="20"/>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reserve estimates as of December 31, 2024, 2023 and 2022 included in this Annual Report are based on evaluations prepared by CG&amp;A in accordance with Standards Pertaining to the Estimating and Auditing of Oil and Gas Reserves Information promulgated by the Society of Petroleum Evaluation Engineers and definitions and guidelines established by the SEC (individually, the “2024 Reserve Report,” the “2023 Reserve Report” and the “2022 Reserve Report” and, collectively the “Reserve Reports”). CG&amp;A was selected for their historical experience and geographic expertise in engineering similar resources. The summary information pertaining to reserve estimates as of December 31, 2024, 2023 and 2022, respectively, of HighPeak Energy, prepared by CG&amp;A, were led by W. Todd Brooker. Mr. Brooker is a Licensed Professional Engineer in the State of Texas and has over 30 years of industry experience. Copies of the Reserve Reports are attached to this Annual Report as Exhibits 99.1, </w:t>
      </w:r>
      <w:hyperlink r:id="rId26">
        <w:r>
          <w:rPr>
            <w:rFonts w:ascii="Times New Roman" w:cs="Times New Roman" w:eastAsia="Times New Roman" w:hAnsi="Times New Roman"/>
            <w:sz w:val="18"/>
            <w:szCs w:val="18"/>
            <w:u w:val="single" w:color="auto"/>
            <w:color w:val="0000EE"/>
          </w:rPr>
          <w:t>99.2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color w:val="auto"/>
        </w:rPr>
        <w:t>, respectively.</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Proved reserves are those quantities of crude oil, NGL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If deterministic methods are used, reasonable certainty means a high degree of confidence that the quantities will be recovered. If probabilistic methods are used, there should be at least a 90% probability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EUR with time, reasonably certain EUR is much more likely to increase or remain constant than to decrease. The technical and economic data used in the estimation of the proved reserves include, but are not limited to, well logs, geologic maps, well-test data, production data (including flow rates), well data (including lateral lengths), historical price and cost information, and property ownership interests. CG&amp;A uses this technical data, together with standard engineering and geoscience methods, or a combination of methods, including performance analysis, volumetric analysis, and analogy. The proved developed reserves and EURs per well are estimated using performance analysis, analogs and volumetric analysis. The estimates of the proved developed reserves and EURs for each developed well are used to estimate the proved undeveloped reserves for each proved undeveloped location (utilizing type curves, statistical analysis, and analogy).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internal staffs of petroleum engineers and geoscience professionals at HighPeak Energy work closely with their independent reserve engineers to seek to ensure the integrity, accuracy and timeliness of data furnished to their independent reserve engineers in the preparation of their reserve report. Periodically, HighPeak Energy’s technical teams meet with the independent reserve engineers to review properties and discuss methods and assumptions used to prepare reserve estimates for the Company’s assets.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Reserve engineering is a subjective process of estimating volumes of economically recoverable crude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estimates of economically recoverable crude oil, NGL and natural gas and of future net revenues are based on a number of variables and assumptions, all of which may vary from actual results, including geologic interpretation, prices, future production rates and costs. Please read the section entitled “Risk Factors” appearing elsewhere in this Annual Report.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reserve estimates as of December 31, 2024, 2023 and 2022, respectively, were prepared by geologists and reservoir engineers who integrate geological, geophysical, engineering and economic data to produce high quality reserve estimates and economic forecasts. The process was supervised by Christopher Mundy, Vice President, Reserves and Evaluations, for HighPeak Energy, who has approximately 28 years of experience in crude oil and natural gas operations, reservoir engineering and management, reserves management, unconventional and conventional reservoir characterization and strategic planning.</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reserve estimation process and the reserve estimates of the Company’s assets as of December 31, 2024, 2023 and 2022, respectively, were reviewed and approved by our technical staff, other members of senior management and our Chief Executive Officer. The Reserve Reports prepared by CG&amp;A contain further discussion of the reserve estimates and the procedures used in connection with its preparation.</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reserve estimates as of December 31, 2024, 2023 and 2022, included in this Annual Report are based on evaluations prepared by the independent petroleum engineering firm CG&amp;A representing 100% of the Company’s assets’ total net proved reserves in accordance with Standards Pertaining to the Estimating and Auditing of Oil and Gas Reserves Information promulgated by the Society of Petroleum Evaluation Engineers and definitions and guidelines established by the SEC. The Independent Reserve Engineers were selected for their historical experience and geographic expertise in engineering similar resources.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Proved Reserves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estimated net proved crude oil and natural gas reserves as of December 31, 2024, 2023 and 2022, based on the Reserve Reports of the Company’s assets as of such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Proved Reserve Volumes</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6"/>
                <w:szCs w:val="16"/>
                <w:color w:val="auto"/>
              </w:rPr>
            </w:pPr>
          </w:p>
        </w:tc>
        <w:tc>
          <w:tcPr>
            <w:tcW w:w="122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NGL</w:t>
            </w:r>
          </w:p>
        </w:tc>
        <w:tc>
          <w:tcPr>
            <w:tcW w:w="100" w:type="dxa"/>
            <w:vAlign w:val="bottom"/>
          </w:tcPr>
          <w:p>
            <w:pPr>
              <w:spacing w:after="0"/>
              <w:rPr>
                <w:sz w:val="16"/>
                <w:szCs w:val="16"/>
                <w:color w:val="auto"/>
              </w:rPr>
            </w:pPr>
          </w:p>
        </w:tc>
        <w:tc>
          <w:tcPr>
            <w:tcW w:w="154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Natural Gas</w:t>
            </w:r>
          </w:p>
        </w:tc>
        <w:tc>
          <w:tcPr>
            <w:tcW w:w="100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0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3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65,632</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22,753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118,402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69,639</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135,271</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34,118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177,654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198,998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58,631</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12,183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60,923</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119,554</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20,096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47,845</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7,968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50,971</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98,816</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14,369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Proved Undeveloped Reserves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HighPeak Energy’s proved undeveloped reserves for the years ended December 31, 2022, 2023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(MBoe)</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2021</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35,628</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37,394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minerals-in-place</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(15,446)</w:t>
            </w:r>
          </w:p>
        </w:tc>
      </w:tr>
      <w:tr>
        <w:trPr>
          <w:trHeight w:val="23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w:t>
            </w:r>
          </w:p>
        </w:tc>
        <w:tc>
          <w:tcPr>
            <w:tcW w:w="49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2022</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minerals-in-place</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Revisions</w:t>
            </w:r>
          </w:p>
        </w:tc>
        <w:tc>
          <w:tcPr>
            <w:tcW w:w="49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2023</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33,540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Revisions</w:t>
            </w:r>
          </w:p>
        </w:tc>
        <w:tc>
          <w:tcPr>
            <w:tcW w:w="4940" w:type="dxa"/>
            <w:vAlign w:val="bottom"/>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9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2024</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r>
      <w:tr>
        <w:trPr>
          <w:trHeight w:val="413"/>
        </w:trPr>
        <w:tc>
          <w:tcPr>
            <w:tcW w:w="4740" w:type="dxa"/>
            <w:vAlign w:val="bottom"/>
            <w:tcBorders>
              <w:top w:val="single" w:sz="8" w:color="CCEEFF"/>
            </w:tcBorders>
          </w:tcPr>
          <w:p>
            <w:pPr>
              <w:spacing w:after="0"/>
              <w:rPr>
                <w:sz w:val="24"/>
                <w:szCs w:val="24"/>
                <w:color w:val="auto"/>
              </w:rPr>
            </w:pPr>
          </w:p>
        </w:tc>
        <w:tc>
          <w:tcPr>
            <w:tcW w:w="4940" w:type="dxa"/>
            <w:vAlign w:val="bottom"/>
            <w:tcBorders>
              <w:top w:val="single" w:sz="8" w:color="CCEEFF"/>
            </w:tcBorders>
          </w:tcPr>
          <w:p>
            <w:pPr>
              <w:jc w:val="right"/>
              <w:ind w:right="387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Borders>
              <w:top w:val="single" w:sz="8" w:color="auto"/>
            </w:tcBorders>
          </w:tcPr>
          <w:p>
            <w:pPr>
              <w:spacing w:after="0"/>
              <w:rPr>
                <w:sz w:val="24"/>
                <w:szCs w:val="24"/>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t>As of December 31, 2024, HighPeak Energy’s assets contained approximately 90,879 MBoe of proved undeveloped reserves, consisting of 69,639 MBbl of crude oil, 11,365 MBbl of NGL and 59,252 MMcf of natural gas. As of December 31, 2023, HighPeak Energy’s assets contained approximately 74,569 MBoe of proved undeveloped reserves, consisting of 60,923 MBbl of crude oil, 7,913 MBbl of NGL and 34,400 MMcf of natural gas. As of December 31, 2022, HighPeak Energy’s assets contained approximately 61,700 MBoe of proved undeveloped reserves, consisting of 50,971 MBbl of crude oil, 6,401 MBbl of NGL and 25,969 MMcf of natural gas. Proved undeveloped reserves will be converted from undeveloped to developed as we drill and complete each location and the wells begin production.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2024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33,540 MBoe related to new proved undeveloped locations added as a result of HighPeak Energy’s drilling activities;</w:t>
      </w:r>
    </w:p>
    <w:p>
      <w:pPr>
        <w:ind w:left="660" w:right="3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18,050 MBoe related to locations that were successfully drilled and completed during the year ended December 31, 2024;</w:t>
      </w:r>
    </w:p>
    <w:p>
      <w:pPr>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Upward revisions of 820 MBoe including upward adjustments of approximately 1,196 MBoe related to forecasts, partially offset by approximately 182 MBoe primarily attributable to a decrease in crude oil, NGL and natural gas prices and approximately 194 MBoe primarily related to increased forecasted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2023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42,440 MBoe related to new proved undeveloped locations added as a result of HighPeak Energy’s drilling activities;</w:t>
      </w:r>
    </w:p>
    <w:p>
      <w:pPr>
        <w:ind w:left="660" w:right="3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25,955 MBoe related to locations that were successfully drilled and completed during the year ended December 31, 2023;</w:t>
      </w:r>
    </w:p>
    <w:p>
      <w:pPr>
        <w:ind w:left="660" w:right="1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minerals-in-place of undeveloped reserves of 1,387 MBoe related to a farm out to another operator in return for a carried interest during the year ended December 31, 2023; and</w:t>
      </w:r>
    </w:p>
    <w:p>
      <w:pPr>
        <w:ind w:left="660" w:right="3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2,229 MBoe including downward adjustments of approximately 1,748 MBoe related to forecasts, approximately 445 MBoe primarily attributable to a decrease in crude oil, NGL and natural gas prices and approximately 36 MBoe primarily related to increased forecasted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2022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37,394 MBoe related to new proved undeveloped locations added as a result of HighPeak Energy’s drilling activities;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minerals-in-place of 7,302 MBoe related to the acquisition of undeveloped drilling locations included;</w:t>
      </w:r>
    </w:p>
    <w:p>
      <w:pPr>
        <w:spacing w:after="0" w:line="17"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15,446 MBoe related to locations that were successfully drilled and completed during the year ended December 31, 2022; and</w:t>
      </w:r>
    </w:p>
    <w:p>
      <w:pPr>
        <w:ind w:left="660" w:right="18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3,178 MBoe including downward adjustments of approximately 3,636 MBoe related to forecasts and approximately 38 MBoe primarily related to increased forecasted operating expenses, partially offset by an increase of approximately 496 MBoe attributable to an increase in crude oil, NGL and natural gas prices.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Historically, the Company invested a significant amount of its capital budget to drill unproved locations rather than convert proved undeveloped reserves to proved developed reserves. However, in the years ended December 31, 2024, 2023 and 2022, $442.1 million, $481.5 million and $391.3 million, respectively, of development capital expenditures were incurred primarily to convert proved undeveloped reserves to proved developed reserves, compared with $45.9 million in development capital expenditures in the year ended December 31, 2021. Also, a portion of the Company’s development capital expenditures each year was for the continued development of a water infrastructure system and the drilling of salt-water disposal wells to facilitate the Company’s increased levels of produced water, reduce its future water sourcing costs by recycling produced water and reduce the use of trucking for its produced water disposal activities as well as the continued construction of central tank batteries for handling of the Company’s increasing production volumes.</w:t>
      </w:r>
    </w:p>
    <w:p>
      <w:pPr>
        <w:spacing w:after="0" w:line="1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As of December 31, 2024, all our proved undeveloped reserves are scheduled to be developed within five years from the date they were initially recorded.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PV-10</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PV-10 is a non-GAAP financial measure and differs from the standardized measure of discounted future net cash flows, which is the most directly comparable GAAP financial measure. We refer to PV-10 as the present value of estimated future net cash flows of estimated proved reserves using a discount rate of 10%. This amount includes projected revenues, estimated production costs, estimated future development costs and estimated cash flows related to future asset retirement obligations.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Unlike PV-10, the standardized measure deducts future U.S. federal income taxes and Texas margin taxes and abandonment obligations on wells with no proved reserves as of December 31, 2024, 2023 and 2022, respectively. Neither PV-10 nor standardized measure represents an estimate of the fair market value of the applicable crude oil and natural gas properties. It is industry standard to use PV-10 as a measure to compare the relative size and value of proved reserves held by companies without regard to the specific tax characteristics of such entities.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undiscounted estimated future net cash flows, PV-10 and standardized measure of the proved reserves of the Company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Total Proved</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3,604,310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2,554,993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6,159,303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2,292,214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1,094,860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3,387,074</w:t>
            </w:r>
          </w:p>
        </w:tc>
        <w:tc>
          <w:tcPr>
            <w:tcW w:w="0" w:type="dxa"/>
            <w:vAlign w:val="bottom"/>
          </w:tcPr>
          <w:p>
            <w:pPr>
              <w:spacing w:after="0"/>
              <w:rPr>
                <w:sz w:val="1"/>
                <w:szCs w:val="1"/>
                <w:color w:val="auto"/>
              </w:rPr>
            </w:pPr>
          </w:p>
        </w:tc>
      </w:tr>
      <w:tr>
        <w:trPr>
          <w:trHeight w:val="162"/>
        </w:trPr>
        <w:tc>
          <w:tcPr>
            <w:tcW w:w="5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income taxes/abandonment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(392,077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Standardized measure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2,994,997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Total Proved</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3,205,041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2,072,541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5,277,582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2,061,301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822,766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2,884,067</w:t>
            </w:r>
          </w:p>
        </w:tc>
        <w:tc>
          <w:tcPr>
            <w:tcW w:w="0" w:type="dxa"/>
            <w:vAlign w:val="bottom"/>
          </w:tcPr>
          <w:p>
            <w:pPr>
              <w:spacing w:after="0"/>
              <w:rPr>
                <w:sz w:val="1"/>
                <w:szCs w:val="1"/>
                <w:color w:val="auto"/>
              </w:rPr>
            </w:pPr>
          </w:p>
        </w:tc>
      </w:tr>
      <w:tr>
        <w:trPr>
          <w:trHeight w:val="162"/>
        </w:trPr>
        <w:tc>
          <w:tcPr>
            <w:tcW w:w="5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income taxes/abandonment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(276,363</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Standardized measure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2,607,704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Total Proved</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future net cash flows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3,729,169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3,160,098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6,889,267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estimated future net cash flows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2,319,958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1,552,087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3,872,045</w:t>
            </w:r>
          </w:p>
        </w:tc>
        <w:tc>
          <w:tcPr>
            <w:tcW w:w="0" w:type="dxa"/>
            <w:vAlign w:val="bottom"/>
          </w:tcPr>
          <w:p>
            <w:pPr>
              <w:spacing w:after="0"/>
              <w:rPr>
                <w:sz w:val="1"/>
                <w:szCs w:val="1"/>
                <w:color w:val="auto"/>
              </w:rPr>
            </w:pPr>
          </w:p>
        </w:tc>
      </w:tr>
      <w:tr>
        <w:trPr>
          <w:trHeight w:val="162"/>
        </w:trPr>
        <w:tc>
          <w:tcPr>
            <w:tcW w:w="5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income taxes/abandonment costs</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shd w:val="clear" w:color="auto" w:fill="CCEEFF"/>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(455,537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Standardized measure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3,416,508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Estimated future net cash flows represents the estimated future revenue to be generated from the production of proved reserves, net of estimated production and future development costs, using pricing differentials and costs under existing economic conditions as of December 31, 2024, 2023 and 2022, and assuming commodity prices as set forth below. For the purpose of determining prices used in our reserve reports, in accordance with SEC guidelines, CG&amp;A uses the unweighted arithmetic average of the prices on the first day of each month in the 12-month period ended December 31, 2024, 2023 and 2022. These prices were $75.48, $78.22 and $93.67 per Bbl for crude oil and NGL and $2.130, $2.637 and $6.358 per MMBtu for natural gas, respectively, before adjustment for energy content, gathering, transportation and processing fees and basis differential adjustments. The average adjusted prices realized over the remaining lives of the Company’s assets by CG&amp;A were $75.56, $78.13 and $94.59 per barrel of crude oil, $20.53, $17.33 and $36.69 per barrel of NGL and $0.072, $0.198 and $4.871 per Mcf of natural gas as of December 31, 2024, 2023 and 2022, respectively. These prices should not be interpreted as a prediction of future prices. The amounts shown do not give effect to non-property-related expenses, such as corporate general and administrative expenses and debt service, or to DD&amp;A.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Revenue and Price History</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 description of historical production, revenues, average sales prices and unit costs of the Company, see “Item 7. Management’s Discussion and Analysis of Financial Condition and Results of Operations – Results of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5" w:name="page16"/>
    <w:bookmarkEnd w:id="15"/>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average net sales volumes, average unhedged sales prices by product and production costs of the Company for the years ended December 31, 2024, 2023 and 2022:</w:t>
      </w:r>
    </w:p>
    <w:p>
      <w:pPr>
        <w:spacing w:after="0" w:line="1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Pr>
          <w:p>
            <w:pPr>
              <w:spacing w:after="0"/>
              <w:rPr>
                <w:sz w:val="19"/>
                <w:szCs w:val="19"/>
                <w:color w:val="auto"/>
              </w:rPr>
            </w:pPr>
          </w:p>
        </w:tc>
        <w:tc>
          <w:tcPr>
            <w:tcW w:w="2200" w:type="dxa"/>
            <w:vAlign w:val="bottom"/>
            <w:tcBorders>
              <w:top w:val="single" w:sz="8" w:color="auto"/>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NGL</w:t>
            </w:r>
          </w:p>
        </w:tc>
        <w:tc>
          <w:tcPr>
            <w:tcW w:w="8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100" w:type="dxa"/>
            <w:vAlign w:val="bottom"/>
            <w:tcBorders>
              <w:top w:val="single" w:sz="8" w:color="auto"/>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187"/>
        </w:trPr>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126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09"/>
        </w:trPr>
        <w:tc>
          <w:tcPr>
            <w:tcW w:w="12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($/Bbl)</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($/Boe)</w:t>
            </w:r>
          </w:p>
        </w:tc>
      </w:tr>
      <w:tr>
        <w:trPr>
          <w:trHeight w:val="216"/>
        </w:trPr>
        <w:tc>
          <w:tcPr>
            <w:tcW w:w="2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13,877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76.42</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Average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daily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volumes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(Boepd)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49,960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12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22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NGL</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7"/>
        </w:trPr>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126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09"/>
        </w:trPr>
        <w:tc>
          <w:tcPr>
            <w:tcW w:w="12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($/Bbl)</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($/Boe)</w:t>
            </w:r>
          </w:p>
        </w:tc>
      </w:tr>
      <w:tr>
        <w:trPr>
          <w:trHeight w:val="216"/>
        </w:trPr>
        <w:tc>
          <w:tcPr>
            <w:tcW w:w="2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13,885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78.26</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Average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daily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volumes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(Boepd)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45,577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12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22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NGL</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7"/>
        </w:trPr>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126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09"/>
        </w:trPr>
        <w:tc>
          <w:tcPr>
            <w:tcW w:w="12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($/Bbl)</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($/Boe)</w:t>
            </w:r>
          </w:p>
        </w:tc>
      </w:tr>
      <w:tr>
        <w:trPr>
          <w:trHeight w:val="216"/>
        </w:trPr>
        <w:tc>
          <w:tcPr>
            <w:tcW w:w="2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94.61</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Average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daily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volumes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(Boepd)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Productive Wells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Productive wells consist of producing wells and wells capable of production, including natural gas wells awaiting pipeline connections to commence deliveries and crude oil wells awaiting connection to production facilities. Gross wells are the total number of producing wells in which HighPeak Energy holds an interest, and net wells are the sum of the fractional working interests owned in gross wells. The following table sets forth information relating to the productive wells in which HighPeak Energy holds a working interest as of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Working</w:t>
            </w:r>
          </w:p>
        </w:tc>
      </w:tr>
      <w:tr>
        <w:trPr>
          <w:trHeight w:val="238"/>
        </w:trPr>
        <w:tc>
          <w:tcPr>
            <w:tcW w:w="3280" w:type="dxa"/>
            <w:vAlign w:val="bottom"/>
          </w:tcPr>
          <w:p>
            <w:pPr>
              <w:spacing w:after="0"/>
              <w:rPr>
                <w:sz w:val="20"/>
                <w:szCs w:val="20"/>
                <w:color w:val="auto"/>
              </w:rPr>
            </w:pP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20"/>
                <w:szCs w:val="20"/>
                <w:color w:val="auto"/>
              </w:rPr>
            </w:pPr>
          </w:p>
        </w:tc>
      </w:tr>
      <w:tr>
        <w:trPr>
          <w:trHeight w:val="20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Horizontal: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Non-operated</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Operated</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Non-operated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Non-operated</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Acreage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total developed and undeveloped acreage in which HighPeak Energy holds an interest as of December 31, 2024. Approximately 64% of the net acreage of HighPeak Energy was held by production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Developed Acres(1)(4)</w:t>
            </w:r>
          </w:p>
        </w:tc>
        <w:tc>
          <w:tcPr>
            <w:tcW w:w="100" w:type="dxa"/>
            <w:vAlign w:val="bottom"/>
          </w:tcPr>
          <w:p>
            <w:pPr>
              <w:spacing w:after="0"/>
              <w:rPr>
                <w:sz w:val="20"/>
                <w:szCs w:val="20"/>
                <w:color w:val="auto"/>
              </w:rPr>
            </w:pPr>
          </w:p>
        </w:tc>
        <w:tc>
          <w:tcPr>
            <w:tcW w:w="35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Undeveloped Acres(4)</w:t>
            </w:r>
          </w:p>
        </w:tc>
        <w:tc>
          <w:tcPr>
            <w:tcW w:w="80" w:type="dxa"/>
            <w:vAlign w:val="bottom"/>
          </w:tcPr>
          <w:p>
            <w:pPr>
              <w:spacing w:after="0"/>
              <w:rPr>
                <w:sz w:val="20"/>
                <w:szCs w:val="20"/>
                <w:color w:val="auto"/>
              </w:rPr>
            </w:pPr>
          </w:p>
        </w:tc>
        <w:tc>
          <w:tcPr>
            <w:tcW w:w="220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w w:val="96"/>
              </w:rPr>
              <w:t>Total Acres</w:t>
            </w:r>
          </w:p>
        </w:tc>
        <w:tc>
          <w:tcPr>
            <w:tcW w:w="1420" w:type="dxa"/>
            <w:vAlign w:val="bottom"/>
            <w:tcBorders>
              <w:bottom w:val="single" w:sz="8" w:color="auto"/>
            </w:tcBorders>
          </w:tcPr>
          <w:p>
            <w:pPr>
              <w:spacing w:after="0"/>
              <w:rPr>
                <w:sz w:val="20"/>
                <w:szCs w:val="20"/>
                <w:color w:val="auto"/>
              </w:rPr>
            </w:pPr>
          </w:p>
        </w:tc>
      </w:tr>
      <w:tr>
        <w:trPr>
          <w:trHeight w:val="223"/>
        </w:trPr>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Net Acres(3)</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Acres(3)</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Net Acres(3)</w:t>
            </w:r>
          </w:p>
        </w:tc>
      </w:tr>
      <w:tr>
        <w:trPr>
          <w:trHeight w:val="209"/>
        </w:trPr>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95,678</w:t>
            </w:r>
          </w:p>
        </w:tc>
        <w:tc>
          <w:tcPr>
            <w:tcW w:w="1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89,333</w:t>
            </w:r>
          </w:p>
        </w:tc>
        <w:tc>
          <w:tcPr>
            <w:tcW w:w="1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58,690</w:t>
            </w:r>
          </w:p>
        </w:tc>
        <w:tc>
          <w:tcPr>
            <w:tcW w:w="1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52,574</w:t>
            </w:r>
          </w:p>
        </w:tc>
        <w:tc>
          <w:tcPr>
            <w:tcW w:w="1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141,907</w:t>
            </w:r>
          </w:p>
        </w:tc>
      </w:tr>
    </w:tbl>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acres are acres spaced or assigned to productive wells or wells capable of production.</w:t>
      </w:r>
    </w:p>
    <w:p>
      <w:pPr>
        <w:spacing w:after="0" w:line="3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 acre is an acre in which HighPeak Energy holds a working interest. The number of gross acres is the total number of acres in which HighPeak Energy holds a working interest.</w:t>
      </w:r>
    </w:p>
    <w:p>
      <w:pPr>
        <w:sectPr>
          <w:pgSz w:w="11900" w:h="16838" w:orient="portrait"/>
          <w:cols w:equalWidth="0" w:num="1">
            <w:col w:w="11240"/>
          </w:cols>
          <w:pgMar w:left="320" w:top="580" w:right="3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both"/>
        <w:ind w:left="660" w:right="40" w:hanging="328"/>
        <w:spacing w:after="0" w:line="272" w:lineRule="auto"/>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acre is deemed to exist when the sum of the fractional ownership working interests in gross acres equals one. The number of net acres is the sum of the fractional working interests owned in gross acres expressed as whole numbers and fractions thereof. There are approximately 2,332 net undeveloped acres that are either held by production or developed and currently nonproducing and therefore not currently subject to expiration.</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amounts of our developed and undeveloped acres do not cover all formation depths in underlying acreage.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Undeveloped Acreage Expirations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total net undeveloped acres as of December 31, 2024 across HighPeak Energy’s properties that will expire in 2025, 2026, 2027, 2028, 2029 and thereafter, unless production is established within the spacing units covering the acreage prior to the expiration dates or unless such leasehold rights are extended or renewed.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28,584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16,407</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5,531</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96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50,542</w:t>
            </w: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the 28,584 net acres expiring in 2025 across our properties, HighPeak Energy intends to retain substantially all 28,584 net acres through initiating completion operations of existing wells and the drilling of new wells, with the remaining net acreage being retained either through lease renewals or extensions. HighPeak Energy intends to retain substantially all of its undeveloped acreage through its development plan. Please see “Item 1A. Risk Factors – Risks Related to Our Business – Certain of the undeveloped leasehold acreage of HighPeak Energy’s assets is subject to leases that will expire over the next several years unless production is established on units containing the acreage or the leases are renewed.”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Drilling Activities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table describes new development and exploratory/extension wells drilled within the Company’s assets during the years ended December 31, 2024, 2023 and 2022. The information should not be indicative of future performance, nor should it be assumed there is necessarily any correlation among the number of productive wells drilled, quantities of reserves found or economic value. As of December 31, 2024 and not included in the following table, were 3 gross (3.0 net) wells in the process of being drilled and 18 gross (17.9 net) wells either waiting on completion or in various stages of completion operations. In addition, the Company had 1 gross (1.0 net) salt-water disposal wells in final stages of completion. As of December 31, 2024, HighPeak Energy was running a two-rig program. The Company expects to average two (2) drilling rigs and approximately one (1) frac crew during 2025 under our current development plan. Our development program may change based on capital availability and other factors.</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top w:val="single" w:sz="8" w:color="auto"/>
            </w:tcBorders>
          </w:tcPr>
          <w:p>
            <w:pPr>
              <w:spacing w:after="0"/>
              <w:rPr>
                <w:sz w:val="19"/>
                <w:szCs w:val="19"/>
                <w:color w:val="auto"/>
              </w:rPr>
            </w:pPr>
          </w:p>
        </w:tc>
      </w:tr>
      <w:tr>
        <w:trPr>
          <w:trHeight w:val="223"/>
        </w:trPr>
        <w:tc>
          <w:tcPr>
            <w:tcW w:w="32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wells: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Productive</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Dry</w:t>
            </w:r>
          </w:p>
        </w:tc>
        <w:tc>
          <w:tcPr>
            <w:tcW w:w="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Exploratory/Extension wells: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Productive</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Dry</w:t>
            </w:r>
          </w:p>
        </w:tc>
        <w:tc>
          <w:tcPr>
            <w:tcW w:w="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wells: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Salt-Water Disposal</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Delivery Commitments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Beginning May 2024, the Company has a minimum volume commitment under its crude oil marketing agreement with its largest purchaser whereby it must deliver minimum gross volumes via pipeline connections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2024, the Company has delivered approximately 31,196 Bopd under the contract. The remaining monetary commitment as of December 31, 2024, if the Company never delivers any additional volumes under the agreement, is approximately $130.3 million. Given the current production levels coupled with the wells planned to come on production in 2025 and beyond, the Company expects to meet the volume commitments under the agreement. In addition to monitoring our current production, we also monitor our anticipated future production and our future development plans, in each case factoring in production attributable to third-party working, royalty and overriding royalty interest owners, in order to meet our delivery commitments. If production volumes are not sufficient to meet these contractual delivery commitments, we may be subject to deficiency fees unless we purchase commodities in the market to satisfy the portion of such commitment that was not delivered under the contract. There are no material commitments to deliver a fixed and determinable quantity of natural gas production from the Company’s assets to customers under existing contracts.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2024, HighPeak Energy’s properties consisted of 154,368 gross (141,907 net) acres with an average working interest of approximately 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Production facilities related to HighPeak Energy’s properties are located near the producing wells and consist of salt-water disposal wells and related facilities, a salt-water disposal pipeline systems throughout Flat Top and Signal Peak, storage tanks, two-phase and/or three-phase separation equipment, flowlines, metering equipment and safety systems. Predominant artificial lift methods include electrical submersible pumps with some rod pumps, gas lift and plunger lifts. HighPeak Energy’s mostly contiguous acreage position allows for optimized capital expenditures for production facilities and associated water handling infrastructure.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properties are well serviced by existing crude oil, natural gas and water infrastructure and gathering systems. Currently, the majority of our crude oil production in Flat Top is transported by pipeline while the majority of our crude oil in Signal Peak is transported by truck. The Company used a competitive bidding process that resulted in attractive terms relative to market indices. The natural gas production from our properties is gathered by third-party processors with the majority of the natural gas production currently processed to extract NGL. The extracted liquids and residue natural gas are sold to various intrastate and interstate markets on a competitive pricing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Customers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revenues attributable to customers who have accounted for 10% or more of revenues attributable to the Company’s assets during the years ended December 31, 2024,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Major Customers</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DK Trading &amp; Supply, LLC (“Delek”)</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Transfer Crude Marketing, LLC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other purchaser accounted for 10% or more of revenue attributable to the Company’s assets on a combined basis in the years ended December 31, 2024, 2023 or 2022. The loss of any such purchaser could adversely affect revenues attributable to the Company’s assets in the short term. Please see “Risk Factors—Risks Related to Our Business—HighPeak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crude oil sales, HighPeak Energy currently is party to a twelve-year contract with Delek, with production from Flat Top being mostly piped sales through a crude oil gathering system. Currently, the majority of our crude oil sales from Signal Peak are being trucked. The crude oil contract is at known and published indices with a fixed primary term and an evergreen option thereafter. The contract contains a minimum volume commitment that commenced on May 1, 2024 based on the gross piped barrels delivered and is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2024, the Company has delivered approximately 31,196 Bopd under the contract. The remaining monetary commitment as of December 31, 2024, if the Company never delivers any additional volumes under the agreement, is approximately $130.3 million. The majority of the remaining crude oil sales of the Company is sold to ETC under a similar contract without a minimum volume commitment. In addition, HighPeak Energy sells its natural gas production from the Company’s assets to multiple third-party purchasers pursuant to the terms of natural gas processing and purchase contracts at varying rates. The natural gas production is gathered and processed under agreements with a primary term and generally an evergreen extension option.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crude oil and natural gas industry is intensely competitive, and HighPeak Energy competes with other companies that have greater resources. Many of these companies not only explore for and produce crude oil and natural gas, but also carry on midstream and refining operations and market petroleum and other products on a regional, national or worldwide basis. Furthermore, in the past several years, the pace of consolidation in our industry has increased, and may continue to increase, leading to the creation of a number of larger and financially stronger competitors. These companies may be able to pay more for productive crude oil and natural gas properties and exploratory prospects or to define, evaluate, bid for and purchase a greater number of properties and prospects than HighPeak Energy’s financial or human resources permit. In addition, these companies may have a greater ability to continue exploration activities during periods of low crude oil and natural gas market prices. HighPeak Energy’s larger or more integrated competitors may be able to absorb the burden of existing, and any changes to, federal, state and local laws and regulations more easily than HighPeak Energy can, which could adversely affect HighPeak Energy’s competitive position, as applicable. HighPeak Energy’s ability to acquire additional properties and to discover reserves in the future will be dependent upon its ability to evaluate and select suitable properties and to consummate transactions in a highly competitive environment. In addition, because HighPeak Energy will have fewer financial and human resources than many companies in their industry, HighPeak Energy may be at a disadvantage in bidding for exploratory prospects and producing crude oil and natural gas properties.</w:t>
      </w:r>
    </w:p>
    <w:p>
      <w:pPr>
        <w:spacing w:after="0" w:line="19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is also competition between crude oil and natural gas producers and other industries producing energy and fuel. For example, HighPeak Energy also faces indirect competition from alternative energy sources, including wind and solar. Furthermore, competitive conditions may be substantially affected by various forms of energy legislation and/or regulation considered from time to time by the governments of the United States and the jurisdictions in which HighPeak Energy operates, including legislation such as the IRA 2022. It is not possible to predict the nature of any such legislation or regulation which may ultimately be adopted or its effects upon HighPeak Energy’s future operations as related to the Company’s assets. Such laws and regulations may substantially increase the costs of developing crude oil and natural gas and may prevent or delay the commencement or continuation of a given operation. HighPeak Energy’s larger competitors may be able to absorb the burden of existing, and any changes to, federal, state and local laws and regulations more easily than HighPeak Energy can, which would adversely affect HighPeak Energy’s competitive positions, as applicable. See “Item 1A. Risk Factors— Risks Related to Our Business—Competition in the crude oil and natural gas industry is intense, which will make it more difficult for HighPeak Energy to acquire properties, market crude oil or natural gas and secure trained personnel.”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Weather conditions can affect the demand for, and prices of, crude oil and natural gas. Demand for natural gas is typically higher in the fourth and first quarters resulting in higher prices while the demand for crude oil is typically higher during the second and third quarters. Due to these seasonal fluctuations, results of operations for individual quarterly periods may not be indicative of the results that may be realized on an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to Properties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is customary in the crude oil and natural gas industry, HighPeak Energy, as operator of the Company’s assets, initially conducts (at minimum) a cursory review of the title to properties in connection with acquisition of leasehold acreage. HighPeak Energy has also obtained title opinion coverage on a majority of the Company’s assets and has performed customary reviews of the title to substantially all of the Company’s assets. Additionally, at such time as HighPeak Energy determines to conduct drilling operations on those properties, HighPeak Energy will conduct a thorough title examination, will obtain division order title opinions, and will perform curative work with respect to any significant defects that may exist prior to: (i) commencement of drilling operations; and (ii) the initial disbursement of associated revenues. HighPeak Energy has obtained title opinions on substantially all its producing properties. The crude oil and natural gas properties within the Company’s assets are subject to customary royalty and other interests, liens for current taxes and other burdens which HighPeak Energy believes does not materially interfere with the use of, or affect the carrying value of, the properties.</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completing an acquisition of producing crude oil and natural gas properties, HighPeak Energy may perform title reviews on the most significant leases and may obtain a title opinion, obtain an updated title opinion or review previously obtained title opinions.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HighPeak Energy believes it has satisfactory title to all the material properties within the Company’s assets in accordance with standards generally accepted in the crude oil and natural gas industry. Although title to the Company’s assets is subject to encumbrances in some cases, such as customary interests generally retained in connection with the acquisition of real property, customary royalty interests and contract terms and restrictions, liens under operating agreements, liens related to environmental liabilities associated with historical operations, liens for current taxes and other burdens, easements, restrictions and minor encumbrances customary in the crude oil and natural gas industry, none of these liens, restrictions, easements, burdens or encumbrances will likely materially detract from the value of the properties within the Company’s assets or from HighPeak Energy’s interests in these properties or materially interfere with HighPeak Energy’s use of these properties in the operation of their business. In addition, HighPeak Energy believes they have obtained sufficient rights-of-way grants and permits from public authorities and private parties for them to operate their business in all material respects as described in this Annual Report.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Leases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typical crude oil and natural gas lease agreement covering the properties within the Company’s assets provides for the payment of royalties to the mineral owner for all crude oil and natural gas produced from any wells drilled on the leased premises. The lessor royalties and other leasehold burdens on the properties within the Company’s assets are approximately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Crude Oil and Natural Gas Industry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operations are substantially affected by federal, state and local laws and regulations. Failure to comply with applicable laws and regulations can result in substantial penalties. The regulatory burden on the industry increases the cost of doing business and affects profitability. Although we believe we are in substantial compliance with all applicable laws and regulations, such laws and regulations are frequently amended or reinterpreted. Therefore, we are unable to predict the future costs or impact of compliance. Additional proposals and proceedings that affect the crude oil and natural gas industry are regularly considered by Congress, the states, Federal Energy Regulatory Commission (“FERC”), the U.S. Environmental Protection Agency (“EPA”), the Department of Transportation (“DOT”), other federal agencies and the courts. We cannot predict when or whether any such proposals may become effective. We do not believe that we would be affected by any such action materially differently than similarly situated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unforeseen environmental incidents may occur or past non-compliance with environmental laws or regulations may be discovered.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Production of Crude Oil and Natural Gas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Crude oil and natural gas production and related operations are substantially affected by federal, state and local laws and regulations. In particular, crude oil and natural gas production and related operations are, or have been, subject to price controls, taxes and numerous other laws and regulations. All the jurisdictions in which the Company’s assets are located have statutory provisions regulating the development and production of crude oil and natural gas, including provisions related to permits for the drilling of wells, bonding requirements to drill or operate wells, the location of wells, the method of drilling and casing wells, the surface use and restoration of properties upon which wells are drilled, sourcing and disposal of water used in the drilling and completion process, and the abandonment of wells. Crude oil and natural gas operations are also subject to various conservation laws and regulations. These include the regulation of the size of drilling and spacing units or proration units, the number of wells which may be drilled in an area, and the unitization or pooling of crude oil or natural gas wells, as well as regulations that generally prohibit the venting or flaring of natural gas, and impose certain requirements regarding the ratability or fair apportionment of production from fields and individual wells.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laws and regulations can result in substantial penalties. The regulatory burden on the industry increases the cost of doing business and affects profitability. Such laws and regulations are frequently amended or reinterpreted. Therefore, it is not possible to predict the future costs or impact of compliance. Additional proposals and proceedings that affect the crude oil and natural gas industry are regularly considered by Congress, the states, FERC, the EPA, the DOT, other federal agencies and the courts. It is not possible to predict when or whether any such proposals may become effective.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Federal, state and local statutes and regulations require permits for drilling, salt-water disposal and pipeline operations, drilling bonds and reports concerning operations. The Company’s assets are located in Texas, which regulates drilling and operating activities by, among other things, requiring permits for the drilling of wells, maintaining bonding requirements to drill or operate wells, and regulating the location of wells, the method of drilling and casing wells, the surface use and restoration of properties upon which wells are drilled and the plugging and abandonment of wells.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laws of Texas also govern a number of conservation matters, including provisions for the unitization or pooling of crude oil and natural gas properties, the establishment of maximum allowable rates of production from crude oil and natural gas wells, the regulation of well spacing or density and plugging and abandonment of wells. The effect of these regulations is to limit the amount of crude oil and natural gas that the wells within the Company’s assets can produce and to limit the number of wells or the locations that can be drilled within the Company’s assets, although operators can apply for exceptions to such regulations or to have reductions in well spacing or density. Moreover, various states impose a production or severance tax with respect to the production and sale of crude oil, NGL and natural gas within their jurisdiction. Failure to comply with these rules and regulations can result in substantial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Affecting Sales and Transportation of Commodities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prices of crude oil, NGL and natural gas are not currently regulated and are made at market prices. Although prices of these energy commodities are currently unregulated, Congress historically has been active in their regulation. We cannot predict whether new legislation to regulate crude oil and natural gas, or the prices charged for these commodities might be proposed, what proposals, if any, might actually be enacted by Congress or the various state legislatures and what effect, if any, the proposals might have on our operations. Sales of crude oil and natural gas may be subject to certain state and potentially federal reporting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ind w:right="40"/>
        <w:spacing w:after="0" w:line="254" w:lineRule="auto"/>
        <w:rPr>
          <w:sz w:val="20"/>
          <w:szCs w:val="20"/>
          <w:color w:val="auto"/>
        </w:rPr>
      </w:pPr>
      <w:r>
        <w:rPr>
          <w:rFonts w:ascii="Times New Roman" w:cs="Times New Roman" w:eastAsia="Times New Roman" w:hAnsi="Times New Roman"/>
          <w:sz w:val="18"/>
          <w:szCs w:val="18"/>
          <w:color w:val="auto"/>
        </w:rPr>
        <w:t>The price and terms of service of transportation of the commodities, including access to pipeline transportation capacity, are subject to extensive federal and state regulation. Such regulation may affect the marketing of crude oil and natural gas produced, as well as the revenues received from sales of such production. Gathering systems may be subject to state ratable take and common purchaser statutes. Ratable take statutes generally require gatherers to take, without undue discrimination, crude oil and natural gas production that may be tendered to the gatherer for handling. Similarly, common purchaser statutes generally require gatherers to purchase, or accept for gathering, without undue discrimination as to source of supply or producer. These statutes are designed to prohibit discrimination in favor of one producer over another producer or one source of supply over another source of supply. These statutes may affect whether and to what extent gathering capacity is available for crude oil and natural gas production, if any, of the drilling program and the cost of such capacity. Further, state laws and regulations govern rates and terms of access to intrastate pipeline systems, which may similarly affect market access and cost.</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FERC regulates interstate natural gas pipeline transportation rates and service conditions. The FERC is continually proposing and implementing new rules and regulations affecting interstate transportation. The stated purpose of many of these regulatory changes is to promote competition among the various sectors of the natural gas industry and to promote market transparency. We do not believe that our drilling program will be affected by any such FERC action in a manner materially differently than other similarly situated natural gas producers.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Gathering services, which occur upstream of FERC jurisdictional transmission services, are regulated by the states onshore and in state waters.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the regulation of natural gas pipeline transportation, the FERC has jurisdiction over the purchase or sale of natural gas or the purchase or sale of transportation services subject to the FERC’s jurisdiction pursuant to the Energy Policy Act of 2005. Under this law, it is unlawful for “any entity,” including producers such as us, that are otherwise not subject to the FERC’s jurisdiction under the Natural Gas Act of 1938 to use any deceptive or manipulative device or contrivance in connection with the purchase or sale of natural gas or the purchase or sale of transportation services subject to regulation by the FERC, in contravention of rules prescribed by the FERC. The FERC’s rules implementing this provision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The Energy Policy Act of 2005 also gives the FERC authority to impose civil penalties for violations of the Natural Gas Act of 1938 and the Natural Gas Policy Act of 1978 up to $1,584,648 per day per violation (adjusted annually based on inflation). The anti-manipulation rule applies to activities of otherwise non-jurisdictional entities to the extent the activities are conducted “in connection with” natural gas sales, purchases or transportation subject to FERC jurisdiction, which includes the annual reporting requirements under Order 704 (defined below).</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2007, the FERC issued a final rule on the annual natural gas transaction reporting requirements, as amended by subsequent orders on rehearing (“Order 704”). Under Order 704, any market participant, including a producer such as us, that engages in wholesale sales or purchases of natural gas that equal or exceed 2.2 million MMBtus of physical natural gas in the previous calendar year, must annually report such sales and purchases to the FERC on Form No. 552 on May 1 of each year. Form No. 552 contains aggregate volumes of natural gas purchased or sold at wholesale in the prior calendar year to the extent such transactions utilize or contribute to the formation of price indices. It is the responsibility of the reporting entity to determine which individual transactions should be reported based on the guidance of Order 704. Order 704 is intended to increase the transparency of the wholesale natural gas markets and to assist the FERC in monitoring those markets and in detecting market manipulation.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FERC also regulates rates and service conditions for interstate transportation of liquids, including crude oil and NGL, under the Interstate Commerce Act (the “ICA”). Prices received from the sale of liquids may be affected by the cost of transporting those products to market. 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Rates of interstate liquids pipelines are currently regulated by the FERC primarily through an annual indexing methodology, under which pipelines increase or decrease their rates in accordance with an index adjustment specified by the FERC. In December 2020, the FERC concluded its five-year index review to establish the new inflationary adjustment for the five-year period commencing July 1, 2021, for liquid pipeline rates subject to indexing. In this review, the FERC considered changes to pipeline industry costs, including, among other things, the effects of the legislation known as the Tax Cuts and Jobs Act of 2017. The FERC issued an order on December 17, 2020 establishing an inflationary adjustment of Producer Price Index for Finished Goods (“PPI-FG”) plus 0.78% (PPI-FG+0.78%) for the five-year period commencing July 1, 2021 (the “December 2020 Order”). Numerous requests for rehearing were filed. On May 14, 2021, the FERC published the oil pricing index factor utilizing the inflationary adjustment factor established in the December 2020 Order, resulting in a negative percentage change of approximately 0.58% for the index year July 1, 2021 through June 30, 2022. On January 20, 2022, the FERC issued an order on rehearing in which it modified the methodology used to calculate the inflationary adjustment resulting in a revised inflationary adjustment for the five-year period commencing July 1, 2021, of PPI-FG minus 0.21% (PPI-FG-0.21%) (the “Rehearing Order”). As a result of the Rehearing Order, the index factor for the July 1, 2021 through June 30, 2022 index year provided for a negative percentage change of approximately 1.6%. The Rehearing Order was subsequently challenged and vacated by the D.C. Circuit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 109 F.4th 543 (D.C. Cir. 2024), reinstating the index level established by the December 2020 Order. On October 17, 2024, FERC issued a supplemental notice of proposed rulemaking in which FERC proposed to prospectively adopt the PPI-FG-0.21% index that was vacated by the D.C. Circuit and instituted a notice-and-comment process. Subject to a final FERC order following the notice-and-comment period, the lower index of PPI-FG-0.21% may become effective for the remainder of the current five-year period starting from the date of a final FERC order and lasting through June 30, 2026. If the proposed index change becomes effective, then our FERC-regulated liquids pipelines would need to re-file their rates on a prospective basis. The comment period ended on December 20, 2024, with a possible FERC order coming in 2025.</w:t>
      </w:r>
    </w:p>
    <w:p>
      <w:pPr>
        <w:spacing w:after="0" w:line="192"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Under the FERC’s regulations, a liquids pipeline can request the authority to charge market-based rates for transportation service if it satisfies certain criteria, and also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Increases in liquids transportation rates may result in lower revenue and cash flows.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80" w:right="339" w:bottom="0" w:gutter="0" w:footer="0" w:header="0"/>
        </w:sectPr>
      </w:pPr>
    </w:p>
    <w:bookmarkStart w:id="22" w:name="page23"/>
    <w:bookmarkEnd w:id="22"/>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due to common carrier regulatory obligations of liquids pipelines, capacity must be prorated among shippers in an equitable manner in the event there are nominations in excess of capacity. Therefore, requests for service by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 However, we believe that access to liquids pipeline transportation services generally will be available to us to the same extent as to our similarly situated competitors.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Intrastate liquids pipeline transportation rates are subject to regulation by state regulatory commissions. The basis for intrastate liquids pipeline regulation and the degree of regulatory oversight and scrutiny given to intrastate liquids pipeline rates, varies from state to state. We believe that the regulation of liquids pipeline transportation rates will not affect our operations in any way that is materially different from the effects on our similarly situated competitors.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FERC’s regulations, we are required to observe anti-market manipulation laws with regard to our physical sales of energy commodities. In November 2009, the FTC issued regulations pursuant to the Energy Independence and Security Act of 2007 intended to prohibit market manipulation in the petroleum industry. Violators of the regulations face civil penalties of up to $1,510,803 per violation per day (adjusted annually based on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its new anti-manipulation authority. The rules subject violators to a civil penalty of up to the greater of $1,487,712 (adjusted annually based on inflation) or triple the monetary gain to the person for each violation.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Environmental and Occupational Safety and Health Matters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Crude oil and natural gas development operations are subject to numerous stringent federal, regional, state and local statutes and regulations governing occupational safety and health, the discharge of materials into the environment or otherwise relating to environmental protection, some of which carry substantial administrative, civil and criminal penalties for failure to comply. These laws and regulations may require the acquisition of a permit before drilling or other regulated activity commences; restrict the types, quantities and concentrations of various substances that can be released into the environment in connection with drilling, production and transporting through pipelines; govern the sourcing and disposal of water used in the drilling and completion process; limit or prohibit drilling activities in certain areas and on certain lands lying within wilderness, wetlands, frontier, seismically active areas and other protected areas; require some form of remedial action to prevent or mitigate pollution from former operations such as plugging abandoned wells or closing earthen pits; establish specific safety and health criteria addressing worker protection; and impose substantial liabilities for pollution resulting from operations or failure to comply with regulatory filings. In addition, these laws and regulations may restrict the rate of production.</w:t>
      </w:r>
    </w:p>
    <w:p>
      <w:pPr>
        <w:spacing w:after="0" w:line="18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regulatory burden on the crude oil and natural gas industry increases the cost of doing business in the industry and consequently affects profitability. While from time to time there have been periods of deregulation under certain U.S. presidential administrations, the general trend in environmental regulation has been to place more restrictions and limitations on activities that may affect the environment. Thus, any changes in environmental laws and regulations or re-interpretation of enforcement policies that result in more stringent and costly construction, drilling, water management, completion, emission or discharge limits or waste handling, disposal or remediation obligations could increase the cost to our operators of developing our properties. Moreover, accidental releases or spills may occur in the course of operations on our properties, causing our operators to incur significant costs and liabilities as a result of such releases or spills, including any third-party claims for damage to property, natural resources or persons.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more significant existing environmental and occupational health and safety laws and regulations, as amended from time to time, to which operations related to the Company’s assets may be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Hazardous Substances and Waste Handling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(“CERCLA”), also known as the “Superfund” law, and comparable state laws impose liability, without regard to fault or the legality of the original conduct, on certain classes of persons that are considered responsible for the release of a “hazardous substance” into the environment. These persons include the current and past owner or operator of the disposal site or the site where the release occurred and persons that disposed or arranged for the disposal or the transportation for disposal of the hazardous substances at the site where the release occurred. Under CERCLA, such persons may be subject to joint and several strict liability for the costs of cleaning up the hazardous substances that have been released into the environment and for damages to natural resources, and it is not uncommon for neighboring landowners and other third-parties to file claims for personal injury and property damage allegedly caused by the hazardous substances released into the environment. The failure of an operator other than the Company to comply with applicable environmental regulations may, in certain circumstances, be attributed to the Company.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 w:name="page24"/>
    <w:bookmarkEnd w:id="23"/>
    <w:p>
      <w:pPr>
        <w:ind w:right="120"/>
        <w:spacing w:after="0" w:line="254" w:lineRule="auto"/>
        <w:rPr>
          <w:sz w:val="20"/>
          <w:szCs w:val="20"/>
          <w:color w:val="auto"/>
        </w:rPr>
      </w:pPr>
      <w:r>
        <w:rPr>
          <w:rFonts w:ascii="Times New Roman" w:cs="Times New Roman" w:eastAsia="Times New Roman" w:hAnsi="Times New Roman"/>
          <w:sz w:val="18"/>
          <w:szCs w:val="18"/>
          <w:color w:val="auto"/>
        </w:rPr>
        <w:t>The Resource Conservation and Recovery Act (“RCRA”) and analogous state laws, impose detailed requirements for the generation, handling, storage, treatment and disposal of nonhazardous and hazardous solid wastes. RCRA specifically excludes drilling fluids, produced waters and other wastes associated with the development or production of crude oil, natural gas or geothermal energy from regulation as hazardous wastes. However, these wastes may be regulated by the EPA or state agencies under RCRA’s less stringent nonhazardous solid waste provisions, state laws or other federal laws. Moreover, it is possible that these particular crude oil and natural gas development and production wastes now classified as nonhazardous solid wastes could be classified as hazardous wastes in the future. A loss of the RCRA exclusion for drilling fluids, produced waters and related wastes could result in an increase in the costs to manage and dispose of generated wastes. In addition, in the course of operating the Company’s assets, it is possible that some amounts of ordinary industrial wastes will be generated, such as paint wastes, waste solvents, laboratory wastes and waste compressor oils that may be regulated as hazardous wastes if such wastes have hazardous characteristics.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assets consist of numerous properties that have been used for crude oil and natural gas development and production activities for many years. Hazardous substances, wastes or petroleum hydrocarbons may have been released on, under or from properties within the Company’s assets, or on, under or from other locations, including off-site locations, where such substances have been taken for recycling or disposal. In addition, some of the properties within the Company’s assets have been operated by third-parties or by previous owners or operators who have treated and disposed of hazardous substances, wastes or petroleum hydrocarbons. These properties and the substances disposed or released on, under or from them may be subject to CERCLA, RCRA and analogous state laws. Under such laws, the Company could be required to undertake responsive or corrective measures with respect to the Company’s assets, which could include removal of previously disposed substances and wastes, cleanup of contaminated property or performance of remedial plugging or pit closure operations to prevent future contamination.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Discharges, Fluid Disposal and NORM</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The Water Pollution Control Act, also known as the Clean Water Act (“CWA”) and comparable state laws impose restrictions and strict controls regarding the discharge of pollutants, including produced waters and other crude oil and natural gas wastes, into or near navigable waters. The discharge of pollutants into regulated waters is prohibited, except in accordance with the terms of a permit issued by the EPA or the state. The discharge of dredge and fill material in regulated waters, including wetlands, is also prohibited, unless authorized by a permit issued by the U.S. Army Corps of Engineers (the “Corps”). The scope of jurisdiction under the CWA has been subject to several rulemakings by the EPA in recent years and is subject to ongoing litigation. Most recently, the EPA and Corps published a final rule in January 2023 to revoke a 2020 rule in favor of one founded upon a pre-2015 definition, updated to account for relevant U.S. Supreme Court decisions and agency guidance. However, following legal action on the January 2023 final rule, and the U.S. Supreme Court’s decision in </w:t>
      </w:r>
      <w:r>
        <w:rPr>
          <w:rFonts w:ascii="Times New Roman" w:cs="Times New Roman" w:eastAsia="Times New Roman" w:hAnsi="Times New Roman"/>
          <w:sz w:val="17"/>
          <w:szCs w:val="17"/>
          <w:i w:val="1"/>
          <w:iCs w:val="1"/>
          <w:color w:val="auto"/>
        </w:rPr>
        <w:t>Sackett v. EPA</w:t>
      </w:r>
      <w:r>
        <w:rPr>
          <w:rFonts w:ascii="Times New Roman" w:cs="Times New Roman" w:eastAsia="Times New Roman" w:hAnsi="Times New Roman"/>
          <w:sz w:val="17"/>
          <w:szCs w:val="17"/>
          <w:color w:val="auto"/>
        </w:rPr>
        <w:t>, the EPA issued a rule in September 2023, the implementation of which varies by state. The incoming Trump Administration may seek to take additional action with respect to these regulations, the substance and timing of such action cannot be predicted. To the extent any action further expands the scope of the CWA’s jurisdiction, the Company could face increased costs and delays with respect to obtaining permits for dredge and fill activities in wetland areas. The timeliness associated with obtaining permits also has the potential to delay the development of crude oil and natural gas projects. These laws and any implementing regulations provide for administrative, civil and criminal penalties for any unauthorized discharges of crude oil and other substances in reportable quantities and may impose substantial potential liability for the costs of removal, remediation and damages.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Pursuant to these laws and regulations, the Company may be required to obtain and maintain approvals or permits for the discharge of wastewater or storm water and are required to develop and implement spill prevention, control and countermeasure plans, also referred to as “SPCC plans,” in connection with on-site storage of significant quantities of crude oil.</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primary federal law related specifically to crude oil spill liability is the Oil Pollution Act (“OPA”), which amends and augments the crude oil spill provisions of the CWA and imposes certain duties and liabilities on certain “responsible parties” related to the prevention of crude oil spills and damages resulting from such spills in or threatening waters of the United States or adjoining shorelines. For example, operators of certain crude oil and natural gas facilities must develop, implement and maintain facility response plans, conduct annual spill training for certain employees and provide varying degrees of financial assurance. Owners or operators of a facility, vessel or pipeline that is a source of a crude oil discharge or that poses the substantial threat of discharge is one type of “responsible party” who is liable. The OPA applies joint and several liability, without regard to fault, to each liable party for crude oil removal costs and a variety of public and private damages. Although defenses exist, they are limited.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Fluids resulting from crude oil and natural gas production, consisting primarily of salt-water, are disposed by injection in belowground disposal wells regulated under the Underground Injection Control (“UIC”) program and analogous state laws. The UIC program requires permits from the EPA or an analogous state agency for the construction and operation of disposal wells, establishes minimum standards for disposal well operations, and may restrict the types and quantities of fluids that may be disposed. In addition, state and federal regulatory agencies have focused on a possible connection between crude oil and natural gas activity and induced seismicity. For example, in 2015, the United States Geological Study identified eight states, including Texas, with areas of induced seismicity that could be attributed to fluid injection or crude oil and natural gas extraction.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4" w:name="page25"/>
    <w:bookmarkEnd w:id="24"/>
    <w:p>
      <w:pPr>
        <w:ind w:right="200"/>
        <w:spacing w:after="0" w:line="256" w:lineRule="auto"/>
        <w:rPr>
          <w:sz w:val="20"/>
          <w:szCs w:val="20"/>
          <w:color w:val="auto"/>
        </w:rPr>
      </w:pPr>
      <w:r>
        <w:rPr>
          <w:rFonts w:ascii="Times New Roman" w:cs="Times New Roman" w:eastAsia="Times New Roman" w:hAnsi="Times New Roman"/>
          <w:sz w:val="18"/>
          <w:szCs w:val="18"/>
          <w:color w:val="auto"/>
        </w:rPr>
        <w:t>In response to these concerns, some states, including Texas, have imposed additional requirements for the permitting of produced water disposal wells, such as volume and pressure limitations or seismicity thresholds for temporary cessations of activity. In December 2023, the Texas Railroad Commission (“TRRC”) issued a notice to suspend the permits of all deep disposal wells within the Northern Culberson-Reeves Seismic Response Area. The adoption and implementation of any new laws or regulations that restrict our operators’ ability to use hydraulic fracturing or dispose of produced water gathered from drilling and production activities by limiting volumes, disposal rates, disposal well locations or otherwise, or requiring them to shut down disposal wells, could have a material adverse effect on our business, financial condition and results of operations.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naturally occurring radioactive material (“NORM”) is brought to the surface in connection with crude oil and natural gas production. Comprehensive federal regulation does not currently exist for NORM; however, the EPA has studied the impacts of technologically enhanced NORM, and several states, including Texas, regulate the disposal of NORM. Concerns have arisen over traditional NORM disposal practices (including discharge through publicly owned treatment works into surface waters), which may increase the costs associated with management of NORM. To the extent that federal or state regulation increases the compliance costs for NORM disposal, operators may incur additional costs that may make some properties unprofitable to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 Emissions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Clean Air Act (“CAA”) and comparable state laws restrict the emission of air pollutants from many sources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compressor stations), through the imposition of air emissions standards, construction and operating permitting programs and other compliance requirements. These laws and regulations may require the Company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October 2015, the EPA lowered the National Ambient Air Quality Standard for ozone from 75 to 70 parts per billion and completed attainment/non-attainment designations in July 2018. While the EPA has determined that counties in which the Company currently operates are in attainment with the new ozone standards, these determinations may be revised in the future. The EPA announced in December 2020 that it intended to leave ozone NAAQS unchanged at 70 parts per billion and the EPA’s review of this standard is ongoing. Reclassification of areas or imposition of more stringent standards may make it more difficult to construct new facilities or modify existing facilities in these newly designated non-attainment areas and result in increased expenditures for pollution control equipment, the costs of which could be significant.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EPA has adopted new rules under the CAA that require the reduction of volatile organic compounds from certain fractured and refractured crude oil and natural gas wells for which well completion operations are conducted and further require that most wells use reduced emission completions, also known as “green completions.” These regulations also establish specific new requirements regarding emissions from production-related wet seal and reciprocating compressors, and from pneumatic controllers and storage vessels. In addition, the regulations place new requirements to detect and repair volatile organic compounds at certain crude oil and natural gas facilities. In May 2016, the EPA also finalized rules regarding criteria for aggregating multiple small surface sites into a single source for air-quality permitting purposes applicable to the crude oil and natural gas industry. This rule could cause small facilities, on an aggregate basis, to be deemed a major source, thereby triggering more stringent air permitting processes and requirements. Compliance with these and other air pollution control and permitting requirements has the potential to delay the development of crude oil and natural gas projects and increase the costs of development, which costs could be significant.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Greenhouse Gas Emissions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At the federal level, no comprehensive climate change legislation has been implemented to date, though the IRA 2022 advances numerous climate-related objectives. The EPA has, however, adopted rules under authority of the CAA that, among other things, establish prevention of significant deterioration (“PSD”) construction and Title V operating permit reviews for greenhouse gases (“GHG”) emissions from certain large stationary sources that are also potential major sources of certain principal, or criteria, pollutant emissions. Under these regulations, facilities required to obtain PSD permits must meet “best available control technology” standards for those GHG emissions. In addition, the EPA has adopted rules requiring the monitoring and annual reporting of GHG emissions from certain petroleum and natural gas system sources in the U.S., including, among others, onshore and offshore production facilities, which include certain of our operators’ operations. The EPA has expanded the GHG reporting requirements to all segments of the crude oil and natural gas industry, including gathering and boosting facilities as well as completions and workovers from hydraulically fractured crude oil wells.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Federal agencies also have begun directly regulating emissions of methane from crude oil and natural gas operations. For example, in December 2023, the EPA finalized a rule that established OOOOb as more stringent new source and OOOOc as first-time existing source standards of performance for methane and VOC emissions for the crude oil and natural gas source category. Under the final rules, owners or operators of affected emission units or processes have two years to prepare and submit their plans to impose methane emission controls on existing sources. The presumptive standards under the final rule are generally the same for both new and existing sources, including enhanced leak detection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rule also revises requirements for fugitive emissions monitoring and repair as well as equipment leaks and the frequency of monitoring surveys, establishes a “super-emitter” response program to timely mitigate emissions events as detected by governmental agencies or qualified third parties, triggering certain investigation and repair requirements, and provides additional options for the use of advanced monitoring to encourage the deployment of innovative technologies to detect and reduce methane emissions. The final methane rule is currently being challenged by 23 states and a coalition of industry groups in the U.S. Circuit Court of Appeals for the D.C. Circuit, although OOOOb is already in effect. However, the incoming Trump Administration might take action to repeal or modify the methane rule, though we cannot predict whether such action will occur or its timing.</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international level, in April 2021, the U.S. rejoined the Paris Agreement, which requires each participating country to establish their own nationally determined standards for reducing carbon output. In December 2024, President Biden unveiled a new emissions target, seeking to cut emissions by 61-66% from 2005 levels by 2035. Subsequent United Nations climate conferences have called for additional action to transition away from fossil fuels and control or otherwise reduce GHG emissions, though none have been legally binding. The incoming Trump Administration has previously announced its intent to re-withdraw from the Paris Agreement, and the United States’ participation in future United Nations climate-related conferences is unclear. Therefore, the full impact of these actions cannot be predicted at this time.</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for our operators, and could have a material adverse effect on our business, financial condition and results of operations.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In August 2022, the IRA 2022 was signed into law, which amends the CAA to establish the first-ever federal fee on methane emissions that exceed certain thresholds from sources required to report their GHG emissions to the EPA, including certain crude oil and natural gas operations. The methane emissions charge started in calendar year 2024 at $900 per ton of methane, increases to $1,200 in 2025, and will be set at $1,500 for 2026 and subsequent years. The methane emissions fee could increase our operating costs. Additionally, the IRA 2022 appropriates significant federal funding for renewable energy initiatives and incentives. We cannot predict whether, how, or when the incoming Trump Administration might take action to revise or repeal the methane emissions charge. Additionally, Congress may take actions to repeal or revise the IRA 2022, including with respect to the methane emissions charge, which timing or outcome similarly cannot be predicted. To the extent the methane emissions charge is implemented as originally promulgated, it could accelerate the transition away from fossil fuels and therefore reduce demand for our products and adversely affect our business and results of operations. Other actions taken by the Biden Administration, states, or local jurisdictions in the future, such as limitations or bans on products that rely on crude oil and natural gas, could also reduce demand for our products.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There have also recently been increasing risks that financial institutions will be required to adopt policies that have the effect of reducing the funding provided to the fossil fuel sector. For example, in late 2020, the Federal Reserve announced it had joined the Network for Greening the Financial System (“NGFS”), a consortium of financial regulators focused on addressing climate-related risks in the financial sector. Subsequently, the Federal Reserve issued a statement in support of the efforts of the NGFS and in 2023, conducted a pilot climate scenario analysis to learn about large banking organizations’ climate risk management practices and challenges. The results of the analysis were released in 2024; however, to date, no additional action has been taken by the Federal Reserve relating to the management of climate-related financial risks, and we cannot predict what additional actions the Federal Reserve or other financial institutions may ultimately take with respect to such risks. Limitation of investments in and financing for fossil fuel energy companies could result in the restriction, delay or cancellation of drilling programs or development or production activities. Ultimately, this could make it more difficult for operators to secure funding for exploration and production activities. Additionally, activist shareholders have introduced proposals that may seek to force companies to adopt aggressive emission reduction targets or restrict more carbon-intensive activities. While we cannot predict the outcomes of such actions, they could make it more difficult for operators to engage in exploration and production activities. In addition, the SEC published a final rule in March 2024 that would require registrants to report certain climate-related risks and business strategies, and disclose information on Scope 1 and 2 GHG emissions. However, the future of the rule is uncertain at this time given that its implementation has been stayed pending the outcome of legal challenges; moreover, the incoming Trump Administration may seek to repeal the rule, though we cannot predict whether such action will occur or its timings. Additionally, several states have enacted or are considering similar climate-related disclosure requirements. Enhanced climate-related disclosure requirements could increase operating costs and lead to reputational or other harm with customers, regulators, or other stakeholders to the extent that our disclosures do not meet their own standards or expectations. Consequently, we are also exposed to increased litigation risks relating to alleged climate-related damages resulting from our operations, statements alleged to have been made by us or others in our industry regarding climate change risks, or in connecting with any future disclosures we may make regarding reported emissions, particularly given the inherent uncertainties and estimation required with respect to calculating and reporting GHG emissions. 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the Company’s operations. For more information, please see our risk factor titled “The operations of HighPeak Energy are subject to a variety of risks arising from climate change.”</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Hydraulic Fracturing Activities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crude oil and/or natural gas from dense subsurface rock formations. The hydraulic fracturing process involves the injection of water, proppants and chemicals under pressure into targeted subsurface formations to fracture the surrounding rock and stimulate production. Hydraulic fracturing is regularly used by operators of the Company’s assets. Hydraulic fracturing is typically regulated by state crude oil and natural gas commissions, but the EPA has asserted federal regulatory authority pursuant to the Safe Drinking Water Act (“SDWA”) over certain hydraulic fracturing activities involving the use of diesel fuels and published permitting guidance in February 2014 addressing the performance of such activities using diesel fuels. The EPA has issued final regulations under the CAA establishing performance standards, including standards for the capture of air emissions released during hydraulic fracturing, and also finalized rules in June 2016 that prohibit the discharge of wastewater from hydraulic fracturing operations to publicly owned wastewater treatment plants.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state level, several states have adopted or are considering legal requirements that could impose more stringent permitting, disclosure and well construction requirements on hydraulic fracturing activities. For example, the TRRC has adopted a “well integrity rule,” which updated the requirements for drilling, putting pipe down and cementing wells. The rule also imposes new testing and reporting requirements, such as (i) the requirement to submit cementing reports after well completion or after cessation of drilling, whichever is later, and (ii) the imposition of additional testing on wells less than 1,000 feet below usable groundwater. Local governments also may seek to adopt ordinances within their jurisdictions regulating the time, place and manner of drilling activities in general or hydraulic fracturing activities in particular.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right="220"/>
        <w:spacing w:after="0" w:line="261" w:lineRule="auto"/>
        <w:rPr>
          <w:sz w:val="20"/>
          <w:szCs w:val="20"/>
          <w:color w:val="auto"/>
        </w:rPr>
      </w:pPr>
      <w:r>
        <w:rPr>
          <w:rFonts w:ascii="Times New Roman" w:cs="Times New Roman" w:eastAsia="Times New Roman" w:hAnsi="Times New Roman"/>
          <w:sz w:val="18"/>
          <w:szCs w:val="18"/>
          <w:color w:val="auto"/>
        </w:rPr>
        <w:t>Compliance with existing laws has not had a material adverse effect on operations related to the Company’s assets, but if new or more stringent federal, state or local legal restrictions relating to the hydraulic fracturing process are adopted in areas where the Company’s assets are located, operators could incur potentially significant added costs to comply with such requirements, experience delays or curtailment in the pursuit of development activities, and perhaps even be precluded from drilling wells.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Endangered Species Act and Migratory Birds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Endangered Species Act (“ESA”) and (in some cases) comparable state laws were established to protect endangered and threatened species. Pursuant to the ESA, if a species is listed as threatened or endangered, restrictions may be imposed on activities adversely affecting that species’ habitat. The U.S. Fish and Wildlife Service (“FWS”) may designate critical habitat and suitable habitat areas that it believes are necessary for survival of a threatened or endangered species. A critical habitat or suitable habitat designation could result in further material restrictions to land use and may materially delay or prohibit land access for crude oil and natural gas development. Similar protections are offered to migratory birds under the Migratory Bird Treaty Act (“MBTA”). The federal government in the past has pursued enforcement actions against crude oil and natural gas companies under the MBTA after dead migratory birds were found near reserve pits associated with drilling activities. The identification or designation of previously unprotected species as threatened or endangered in areas where underlying property operations are conducted could cause increased costs arising from species protection measures or could result in limitations on development activities that could have an adverse impact on the ability to develop and produce reserves within the Company’s assets. For example, in May 2024, the dunes sagebrush lizard was listed as endangered under the ESA. And, in November 2022 the FWS listed two distinct population segments of the lesser prairie-chicken under the ESA, although this decision has been challenged in the U.S. District Court for the Western District of Texas, the result of which remains uncertain. To the extent species or others are listed, the FWS and similar state agencies may designate critical or suitable habitat areas that they believe are necessary for the survival of threatened or endangered species. If a portion of the Company’s assets were to be designated as a critical or suitable habitat, it could adversely impact the value of the Company’s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Occupational Safety and Health Act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be subject to the requirements of the federal Occupational Safety and Health Act (“OSHA”) and comparable state statutes whose purpose is to protect the health and safety of workers. Violations can result in civil or criminal penalties as well as required abatement. In addition, the OSHA hazard communication standard, the Emergency Planning and Community Right-to-Know Act and comparable state statutes and any implementing regulations require that the Company organizes and/or disclose information about hazardous materials used or produced in its operations and that this information be provided to employees, state and local governmental authorities and citizens.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Permits and Authorizations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Many environmental laws require permits or other authorizations from state and/or federal agencies before initiating certain drilling, construction, production, operation or other crude oil and natural gas activities, and require maintaining these permits and compliance with their requirements for on-going operations. These permits are generally subject to protest, appeal or litigation, which could in certain cases delay or halt projects and cease production or operation of wells, pipelines and other operations related to the Company’s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Insurance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insurance against some risks associated with above or underground contamination that may occur as a result of development activities. However, this insurance is limited to activities at the well site and there can be no assurance that this insurance will continue to be commercially available or that this insurance will be available at premium levels that justify its purchase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the foundation to fostering the safe operation of our assets. We foster a collaborative, respectful and safety-minded work environment, focusing on working safely every day. We seek to identify qualified internal and external talent for our organization, enabling us to execute on our strategic objectives.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forty-seven full-time employees dedicated to operating the Company’s assets. None of these employees are covered by collective bargaining agreements, and we consider our employee relations to be good.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Safety is important to us and begins with the protection and safety of our employees, contractors and communities where we operate. We value people above all else and remain committed to making safety and health our top priority. We continually seek to maintain and deepen our safety culture by providing a safe working environment that encourages active employee engagement, including implementing safety programs to achieve improvements in our safety culture.</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Company has taken steps to keep its employees safe during pandemics by implementing preventative measures and developing response plans intended to minimize unnecessary risk of exposure and infection among its employees. The Company has also modified certain business practices to conform to best practices encouraged by the Centers for Disease Control and Prevention, and other governmental and regulatory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Equal Employment Opportunity</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committed to fostering a work environment in which all employees treat each other with dignity and respect. This commitment extends to providing equal employment and advancement opportunities based on merit in accordance with applicable law. We continually strive to attract a multitalented workforce by identifying potential candidates to advance and strengthen our human capital management program.</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employee population allows us to embrace various perspectives, skill, knowledge and culture across our operations to achieve our social obligations and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 and Retention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value and provide opportunities for cross training and increased responsibilities, including leadership learning. These efforts allow us to recruit from within our organization for future vocational and occupational opportunities. Our management promotes formal and informal learning and development throughout the organization. We offer developmental programs focused on building the skills of our employees and to help advance employee careers, knowledge, and skillsets through training and related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is not party to lawsuits related to its assets other than those arising in the ordinary course of business. Due to the nature of the crude oil and natural gas business, HighPeak Energy may, from time to time, be involved in other routine litigation or subject to disputes or claims related to the operation of the Company’s assets, including workers’ compensation claims and employment related disputes. In the opinion of management, none of these other pending litigation, disputes or claims against HighPeak Energy, if decided adversely, would have a material adverse effect on the Company’s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field office for HighPeak Energy is located at 303 West Wall Street, Suite 2202, Midland, Texas 79701.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Officers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directors of our Board and certain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9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Hightower</w:t>
            </w:r>
          </w:p>
        </w:tc>
        <w:tc>
          <w:tcPr>
            <w:tcW w:w="112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76</w:t>
            </w:r>
          </w:p>
        </w:tc>
        <w:tc>
          <w:tcPr>
            <w:tcW w:w="55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 Hollis</w:t>
            </w:r>
          </w:p>
        </w:tc>
        <w:tc>
          <w:tcPr>
            <w:tcW w:w="11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49</w:t>
            </w:r>
          </w:p>
        </w:tc>
        <w:tc>
          <w:tcPr>
            <w:tcW w:w="55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Rodney L. Woodard</w:t>
            </w:r>
          </w:p>
        </w:tc>
        <w:tc>
          <w:tcPr>
            <w:tcW w:w="112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69</w:t>
            </w:r>
          </w:p>
        </w:tc>
        <w:tc>
          <w:tcPr>
            <w:tcW w:w="55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W. Tholen</w:t>
            </w:r>
          </w:p>
        </w:tc>
        <w:tc>
          <w:tcPr>
            <w:tcW w:w="11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74</w:t>
            </w:r>
          </w:p>
        </w:tc>
        <w:tc>
          <w:tcPr>
            <w:tcW w:w="55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Forbes</w:t>
            </w:r>
          </w:p>
        </w:tc>
        <w:tc>
          <w:tcPr>
            <w:tcW w:w="112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62</w:t>
            </w:r>
          </w:p>
        </w:tc>
        <w:tc>
          <w:tcPr>
            <w:tcW w:w="55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M. Chernosky</w:t>
            </w:r>
          </w:p>
        </w:tc>
        <w:tc>
          <w:tcPr>
            <w:tcW w:w="11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65</w:t>
            </w:r>
          </w:p>
        </w:tc>
        <w:tc>
          <w:tcPr>
            <w:tcW w:w="55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A. Covington</w:t>
            </w:r>
          </w:p>
        </w:tc>
        <w:tc>
          <w:tcPr>
            <w:tcW w:w="112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61</w:t>
            </w:r>
          </w:p>
        </w:tc>
        <w:tc>
          <w:tcPr>
            <w:tcW w:w="55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F. Fulgham</w:t>
            </w:r>
          </w:p>
        </w:tc>
        <w:tc>
          <w:tcPr>
            <w:tcW w:w="11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47</w:t>
            </w:r>
          </w:p>
        </w:tc>
        <w:tc>
          <w:tcPr>
            <w:tcW w:w="55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C. Oldham</w:t>
            </w:r>
          </w:p>
        </w:tc>
        <w:tc>
          <w:tcPr>
            <w:tcW w:w="1120" w:type="dxa"/>
            <w:vAlign w:val="bottom"/>
            <w:gridSpan w:val="2"/>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71</w:t>
            </w:r>
          </w:p>
        </w:tc>
        <w:tc>
          <w:tcPr>
            <w:tcW w:w="55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A. Edgeworth</w:t>
            </w:r>
          </w:p>
        </w:tc>
        <w:tc>
          <w:tcPr>
            <w:tcW w:w="11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9"/>
              </w:rPr>
              <w:t>40</w:t>
            </w:r>
          </w:p>
        </w:tc>
        <w:tc>
          <w:tcPr>
            <w:tcW w:w="55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Jack Hightower </w:t>
      </w:r>
      <w:r>
        <w:rPr>
          <w:rFonts w:ascii="Times New Roman" w:cs="Times New Roman" w:eastAsia="Times New Roman" w:hAnsi="Times New Roman"/>
          <w:sz w:val="18"/>
          <w:szCs w:val="18"/>
          <w:color w:val="auto"/>
        </w:rPr>
        <w:t>has served as our Chairman of the Board and Chief Executive Officer (“CEO”) since 2019. Prior to the HighPeak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“HighPeak business combination” or, the “business combination”), Mr. Hightower served as Chairman of the board of directors, CEO and President of Pure Acquisition Corp. (“Pure”) since its incorporation in November of 2017. Mr. Hightower has over 50 years of experience in the oil and gas industry managing multiple exploration and production (“E&amp;P”) platforms. Mr. Hightower currently serves as the Chairman of the board of directors and CEO of the general partners of funds affiliated with the Company and HighPeak Energy Partners, LP and HighPeak Energy Partners II, LP (the “HighPeak Funds”), a position held since 2014. Mr. Hightower served as Chairman, President and CEO of Bluestem Energy Partners, LP (“Bluestem”) from 2011 to 2013. Prior to forming Bluestem, Mr. Hightower served as Chairman, President, and CEO of Celero Energy II, LP (“Celero II”) from 2006 to 2009 and as Chairman, President and CEO of Celero Energy, LP (“Celero”) from 2004 to 2005. Prior to forming Celero, Mr. Hightower served as Chairman, President and CEO of Pure Resources, Inc. (“Pure Resources”) (NYSE: PRS), which became the 11th largest publicly traded independent E&amp;P company in North America. In October 2002, Unocal tendered for the Pure Resources shares it did not already own. In March 1995, Mr. Hightower founded Titan (Nasdaq: TEXP), the predecessor to Pure Resources, and served as Chairman, President and CEO. Prior to founding Titan, Mr. Hightower served as Chairman, President and CEO of Enertex Inc., the general partner and operator of record for several oil and gas partnerships from 1991 to 1994. Mr. Hightower graduated from Texas Tech University in 1970 with Bachelor of Business Administration degrees in Administrative Finance and Money, Banking &amp; Investments.</w:t>
      </w:r>
    </w:p>
    <w:p>
      <w:pPr>
        <w:spacing w:after="0" w:line="18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L. Hollis </w:t>
      </w:r>
      <w:r>
        <w:rPr>
          <w:rFonts w:ascii="Times New Roman" w:cs="Times New Roman" w:eastAsia="Times New Roman" w:hAnsi="Times New Roman"/>
          <w:sz w:val="18"/>
          <w:szCs w:val="18"/>
          <w:color w:val="auto"/>
        </w:rPr>
        <w:t>has served as our President and as a member of our Board since August 2020. Prior to the HighPeak business combination,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Hollis served as Pure’s President from December 2019 until August 2020. Prior to joining Pure, Mr. Hollis served as President and Chief Operating Officer (“COO”) of Diamondback Energy, Inc. (“Diamondback”) (Nasdaq: FANG), a Permian focused oil and gas producer, from January 2017 through September 2019, prior to which he served as COO since 2015 and Vice President of Drilling. From 2011 to 2019, Mr. Hollis also served on the board of directors for Diamondback and on the board of directors of Viper Energy Partners LP (Nasdaq: VNOM) from 2014 to 2019. Prior to his positions at Diamondback, Mr. Hollis was a Drilling Manager at Chesapeake Energy Corporation and also held roles of increasing responsibility in production, completions and drilling engineering at ConocoPhillips and Burlington Resources Inc. Mr. Hollis has over 25 years of oil and gas experience and graduated from Louisiana State University in 1998 with a Bachelor of Science in Chemical Engineering.</w:t>
      </w:r>
    </w:p>
    <w:p>
      <w:pPr>
        <w:spacing w:after="0" w:line="18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Rodney L. Woodard </w:t>
      </w:r>
      <w:r>
        <w:rPr>
          <w:rFonts w:ascii="Times New Roman" w:cs="Times New Roman" w:eastAsia="Times New Roman" w:hAnsi="Times New Roman"/>
          <w:sz w:val="18"/>
          <w:szCs w:val="18"/>
          <w:color w:val="auto"/>
        </w:rPr>
        <w:t>has served as our Chief Operating Officer since August 2020. Prior to the HighPeak business combination, Mr. Woodard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40 years of experience in the oil and gas industry as a CEO, COO, and leader of Engineering and Operations of numerous E&amp;P companies. Mr. Woodard has served as the Executive Vice President &amp; COO for the HighPeak Funds from 2017 to the present. From 2016 to 2017, Mr. Woodard presented portfolio company investment proposals to acquire and develop oil and gas assets in the Permian Basin to several private equity firms. Mr. Woodard served as the President and COO of Atlantic Resources Co., LLC (“Atlantic”) from 2015 to 2016. Prior to Atlantic, Mr. Woodard served as CEO and COO of Celero II, a Natural Gas Partners portfolio company, with operations principally in the Permian Basin from 2006 to 2015. Prior to Celero II, Mr. Woodard served as Executive Vice President and COO of Celero, a Quantum Energy Partners portfolio company from 2004 to 2006. From 2002 to 2004, Mr. Woodard was Vice President of Reserves and Evaluations with Pure Resources (NYSE: PRS) and was a co-founder of its predecessor, Titan Exploration (Nasdaq: TEXP). From 1986 to 1995, Mr. Woodard held various positions of increasing responsibility at Selma International Investments Ltd. From 1979 to 1986, Mr. Woodard held various positions at Delta Drilling Company, obtaining the position of Division Manager for West Texas. Mr. Woodard held various positions at Amoco Production Company from 1977 to 1979. Mr. Woodard graduated from The Pennsylvania State University in 1977 with a Bachelor of Science degree in Mechanical Engineering.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Steven W. Tholen </w:t>
      </w:r>
      <w:r>
        <w:rPr>
          <w:rFonts w:ascii="Times New Roman" w:cs="Times New Roman" w:eastAsia="Times New Roman" w:hAnsi="Times New Roman"/>
          <w:sz w:val="18"/>
          <w:szCs w:val="18"/>
          <w:color w:val="auto"/>
        </w:rPr>
        <w:t>has served as our Chief Financial Officer (“CFO”) since HighPeak Energy’s inception in October 2019 and is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Executive with over 30 years of experience in building, leading and advising corporations through complex restructurings, purchase and sales transactions, and capital market transactions. Mr. Tholen has served as the CFO for the HighPeak Funds since 2014. Previously, Mr. Tholen served as co-founder and Executive Vice President - Finance of Fieldco Construction Services, Inc., which provided oilfield construction services to clients throughout East Texas &amp; Western Louisiana, from 2011 to 2014. From 2009 to 2013, Mr. Tholen served as founder and President of SDL&amp;T Energy Partners, a source of equity &amp; debt financing to fund energy companies and energy projects worldwide. From 2001 to 2008, Mr. Tholen was Senior Vice President &amp; CFO of Harvest Natural Resources, Inc., an E&amp;P company with properties in the United States, Venezuela, Indonesia, Gabon, and Russia. From 1995 to 2000, Mr. Tholen served as Vice President and CFO of Penn Virginia Corporation, an independent natural gas and oil company. From 1990 to 1995, Mr. Tholen was Treasurer/Manager of Business Administration of Cabot Oil &amp; Gas Corporation, a North American independent natural gas producer. Mr. Tholen graduated from St. John’s University with a Bachelor of Science degree in Physics in 1971 and earned his Master of Business Administration in Finance from The University of Denver, Daniels School of Business in 1979.</w:t>
      </w:r>
    </w:p>
    <w:p>
      <w:pPr>
        <w:spacing w:after="0" w:line="18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Keith Forbes </w:t>
      </w:r>
      <w:r>
        <w:rPr>
          <w:rFonts w:ascii="Times New Roman" w:cs="Times New Roman" w:eastAsia="Times New Roman" w:hAnsi="Times New Roman"/>
          <w:sz w:val="18"/>
          <w:szCs w:val="18"/>
          <w:color w:val="auto"/>
        </w:rPr>
        <w:t>has served as our Vice President and Chief Accounting Officer (“CAO”) since November 2020 and previously served as our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Controller from our inception in October 2019 until November 2020. Mr. Forbes has over 30 years of experience in various field and corporate accounting functions and business organization functions for large, geographically diverse public companies. Before his appointment as CAO to HighPeak Energy, Mr. Forbes served as Vice President and Controller of the HighPeak Funds since 2017. Mr. Forbes additionally served as Director-Business Optimization at Quicksilver Resources Inc. from December 2015 through April 2016, and as Assistant Controller-Operations and Revenue at Quicksilver Resources Inc. from June 2012 through November 2015. Mr. Forbes is a certified public accountant in Texas. Mr. Forbes graduated from Pittsburg State University with a Bachelor of Business Administrations degree in Accounting in 1985.</w:t>
      </w:r>
    </w:p>
    <w:p>
      <w:pPr>
        <w:spacing w:after="0" w:line="183"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Jay M. Chernosky </w:t>
      </w:r>
      <w:r>
        <w:rPr>
          <w:rFonts w:ascii="Times New Roman" w:cs="Times New Roman" w:eastAsia="Times New Roman" w:hAnsi="Times New Roman"/>
          <w:sz w:val="17"/>
          <w:szCs w:val="17"/>
          <w:color w:val="auto"/>
        </w:rPr>
        <w:t>has served on our Board since August 2020 and is currently a Principal of Travis Energy Partners LP since 2019, Jayco Holdings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LP since 2005, Jayco Holdings II, LP since 2010, Jayco Holdings LLC since 2005, Bertrand Properties LP and Bertrand Properties, Inc. since 2000, Vargas Properties LP since 2022, which are private family-owned real estate and energy investment entities. Mr. Chernosky was previously a Managing Director of the Energy &amp; Power Corporate &amp; Investment Banking group at Wells Fargo Securities from 2009 until his retirement in 2019. Mr. Chernosky joined Wells Fargo’s predecessor firm Wachovia Securities (formerly First Union) in 1993 as a co-founder of the energy practice. Prior to joining Wells Fargo Securities, Mr. Chernosky worked in various capacities in the Energy Division of First City, Texas - Houston for 10 years. During his career, Mr. Chernosky was charged with developing strategic and financial ideas and solutions for relationships he managed for the bank and was also responsible for the origination and execution of public and private capital markets activities, including equities, bonds, convertibles, private placements, loan syndications and merger and acquisition advisory services. During this time, Mr. Chernosky’s primary focus was on the upstream sector of the oil and gas industry.</w:t>
      </w:r>
    </w:p>
    <w:p>
      <w:pPr>
        <w:spacing w:after="0" w:line="17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Currently, Mr. Chernosky serves as Lead Director on the board of directors of Colt Midstream LLC, a private gas gathering and processing company focused in the Fort Worth Basin of Texas since 2019.</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Mr. Chernosky has served on the Endowment Board of the Christian Community Service Center and as a director on the Christian Community board of directors. Mr. Chernosky served on the board of directors and is an active member of the Houston Producers’ Forum. Mr. Chernosky served on the regional board of directors of OneGoal Houston, a non-profit organization.</w:t>
      </w:r>
    </w:p>
    <w:p>
      <w:pPr>
        <w:spacing w:after="0" w:line="176"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Mr. Chernosky graduated from The University of Texas at Austin with a Bachelor of Business Administration in 1981 and received a Master of Business Administration from the University of Houston in 1983. Mr. Chernosky is also a graduate of the Southwestern Graduate School of Banking at Southern Methodist University in 1993.</w:t>
      </w:r>
    </w:p>
    <w:p>
      <w:pPr>
        <w:spacing w:after="0" w:line="172"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Keith A. Covington </w:t>
      </w:r>
      <w:r>
        <w:rPr>
          <w:rFonts w:ascii="Times New Roman" w:cs="Times New Roman" w:eastAsia="Times New Roman" w:hAnsi="Times New Roman"/>
          <w:sz w:val="18"/>
          <w:szCs w:val="18"/>
          <w:color w:val="auto"/>
        </w:rPr>
        <w:t>has served on our Board since August 2020 and is an active real estate investor specializing in residential properties in southern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for the past 29 years, most recently serving as a General Partner for Magnolia Partners since 2002.</w:t>
      </w:r>
    </w:p>
    <w:p>
      <w:pPr>
        <w:spacing w:after="0" w:line="159"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Mr. Covington was an independent director on the board of directors of Gores Holdings IX, Inc. (a Special Purpose Acquisition Company (“SPAC”)), and a member of both its audit and compensation committees since its January 2022 IPO for $525 million until it was liquidated to stockholders at par in December 2024. Mr. Covington was an independent director on the board of directors of Gores Holdings VII, Inc., a SPAC, and a member of both its audit and compensation committees since its February 2021 IPO for $550 million, which was liquidated to stockholders at par in December 2022.</w:t>
      </w:r>
    </w:p>
    <w:p>
      <w:pPr>
        <w:spacing w:after="0" w:line="164" w:lineRule="exact"/>
        <w:rPr>
          <w:sz w:val="20"/>
          <w:szCs w:val="20"/>
          <w:color w:val="auto"/>
        </w:rPr>
      </w:pPr>
    </w:p>
    <w:p>
      <w:pPr>
        <w:jc w:val="both"/>
        <w:ind w:right="200" w:firstLine="486"/>
        <w:spacing w:after="0" w:line="258" w:lineRule="auto"/>
        <w:rPr>
          <w:sz w:val="20"/>
          <w:szCs w:val="20"/>
          <w:color w:val="auto"/>
        </w:rPr>
      </w:pPr>
      <w:r>
        <w:rPr>
          <w:rFonts w:ascii="Times New Roman" w:cs="Times New Roman" w:eastAsia="Times New Roman" w:hAnsi="Times New Roman"/>
          <w:sz w:val="18"/>
          <w:szCs w:val="18"/>
          <w:color w:val="auto"/>
        </w:rPr>
        <w:t>Mr. Covington was a founding board member of Pure Resources, an energy company engaged in the exploration and development of oil and gas properties which had a market capitalization of over $1 billion and served such directorship from 2000 to 2002. As an independent director for over two years, Mr. Covington served as chairman of the audit committee and member of the compensation committee of Pure Resources and was a co-member of the special committee responsible for evaluating, negotiating and recommending on behalf of company shareholders the acquisition of Pure Resources to Unocal Corporation (acquired by Chevron Corporation) in October 2002.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Mr. Covington served in various capacities over 11 years at Davis Companies from 1991 to 2002, where he was Vice President and earlier served as Principal of Stone Canyon Venture Partners, LLC. Mr. Covington’s tenure included responsibility in the real estate and private equity/venture capital groups within the organization. Investment and operational experience within these areas included investments in trophy commercial and mixed-use real estate assets, gaming ventures, a chain of upscale health clubs, resort properties and hotels, a restaurant and a technology company. His responsibilities included extensive independent due diligence for potential acquisitions, financial analysis and comprehensive asset management for equity investments in real estate assets and operating companies valued at over $10 billion. Prior professional experience includes Janss Corporation, a Santa Monica, California real estate developer where he was responsible for due diligence and financial structuring and leasing of residential and commercial real estate projects from 1989 to 1990. Mr. Covington started his career as a Financial Analyst at PaineWebber Group Inc. (UBS Investment Bank) in New York with experience in real estate investment banking transactions including sale/leasebacks and the firm’s largest initial public offering and real estate master limited partnership from 1985 to 1987. Mr. Covington received his Master of Business Administration from the Stanford Graduate School of Business and earned a Bachelor of Arts cum laude in Economics from Claremont McKenna College. Mr. Covington maintains a California real estate broker’s license and has maintained board governance expertise through participation in KPMG’s Audit Committee Institute. Mr. Covington has previously served as Chief Financial Officer for the El Segundo Senior Housing Board for over five years.</w:t>
      </w:r>
    </w:p>
    <w:p>
      <w:pPr>
        <w:spacing w:after="0" w:line="183"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Jason A. Edgeworth </w:t>
      </w:r>
      <w:r>
        <w:rPr>
          <w:rFonts w:ascii="Times New Roman" w:cs="Times New Roman" w:eastAsia="Times New Roman" w:hAnsi="Times New Roman"/>
          <w:sz w:val="18"/>
          <w:szCs w:val="18"/>
          <w:color w:val="auto"/>
        </w:rPr>
        <w:t>has served on our Board since 2023 and as an Investment and Asset Manager for the John Paul DeJoria family office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with responsibility for diligence, execution and investor relations.</w:t>
      </w:r>
    </w:p>
    <w:p>
      <w:pPr>
        <w:spacing w:after="0" w:line="15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Previously, Mr. Edgeworth served as an Executive Director of Investment &amp; Merchant Banking at U.S. Capital Advisors LLC from 2013 to 2020. Mr. Edgeworth’s responsibilities included diligence, execution and investor communications with a focus on equity market transactions, including initial public offerings, follow on equity offerings, at-the-market equity offerings and preferred equity offerings, for public E&amp;P companies and midstream companies. Mr. Edgeworth also advised on merchant banking and private equity transactions for the midstream and service sectors of the oil and gas industry both domestically and internationally.</w:t>
      </w:r>
    </w:p>
    <w:p>
      <w:pPr>
        <w:spacing w:after="0" w:line="18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From 2008 to 2012, Mr. Edgeworth served as an equity analyst at CLW Investments and Twin Eagle Resource Management and also AEW Europe and Curzon Global Partners where he focused on the energy sector and commercial and mixed-use real estate.</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Mr. Edgeworth serves on or has served on the board of several companies including Borealis Alaska Oil, Inc. and Badger Midstream Energy, LP. Mr. Edgeworth graduated from the University of St. Andrews in 2008 with a Master of Arts in International Relations. Mr. Edgeworth is a Chartered Alternative Investment Analyst.</w:t>
      </w:r>
    </w:p>
    <w:p>
      <w:pPr>
        <w:spacing w:after="0" w:line="17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Sharon F. Fulgham </w:t>
      </w:r>
      <w:r>
        <w:rPr>
          <w:rFonts w:ascii="Times New Roman" w:cs="Times New Roman" w:eastAsia="Times New Roman" w:hAnsi="Times New Roman"/>
          <w:sz w:val="18"/>
          <w:szCs w:val="18"/>
          <w:color w:val="auto"/>
        </w:rPr>
        <w:t>has served on our Board since August 2020 and is currently a partner of the Fulgham Hampton Law Group since August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Fulgham has also been associated with Carlisle Title since December 2016 and has been their corporate attorney since November 2019. Prior to working at Fulgham Law Firm, P.C., Ms. Fulgham was a partner at Kelly Hart &amp; Hallman from January 2016 to November 2016 and an associate at Kelly Hart &amp; Hallman from 2009 to 2016. During her legal career, Ms. Fulgham has represented numerous public and private companies in litigation matters including commercial and employment disputes. Specifically, she has extensive experience representing companies in the oil and gas sector, as well as experience in the title industry preparing title documents for real estate closings and instruction to brokers and realtors.</w:t>
      </w:r>
    </w:p>
    <w:p>
      <w:pPr>
        <w:spacing w:after="0" w:line="186"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Ms. Fulgham has served the Fort Worth community extensively through the Junior League of Fort Worth, Inc. (the “Junior League”), a charitable nonprofit organization of women committed to promoting volunteerism, developing the potential of women and improving communities, both as a community volunteer and in leadership roles within the organization. She served as Vice President of Administration and was a member of the board of directors from 2015 to 2016. Ms. Fulgham is currently a sustaining member and served on the Junior League’s Legal Committee from 2019 to 2022. Ms. Fulgham is also involved in the Young Men’s Service League, a national nonprofit made up of mothers and their teenage sons who volunteer together to serve their local communities, and has served on the board of directors for the local chapter from 2021 to 2024.</w:t>
      </w:r>
    </w:p>
    <w:p>
      <w:pPr>
        <w:spacing w:after="0" w:line="18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Ms. Fulgham graduated cum laude from Texas Christian University with a Bachelor of Science in Biology in 2000 and went on to obtain her Juris Doctorate from the University of Houston in 2004.</w:t>
      </w:r>
    </w:p>
    <w:p>
      <w:pPr>
        <w:spacing w:after="0" w:line="158" w:lineRule="exact"/>
        <w:rPr>
          <w:sz w:val="20"/>
          <w:szCs w:val="20"/>
          <w:color w:val="auto"/>
        </w:rPr>
      </w:pPr>
    </w:p>
    <w:p>
      <w:pPr>
        <w:jc w:val="cente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Larry C. Oldham </w:t>
      </w:r>
      <w:r>
        <w:rPr>
          <w:rFonts w:ascii="Times New Roman" w:cs="Times New Roman" w:eastAsia="Times New Roman" w:hAnsi="Times New Roman"/>
          <w:sz w:val="18"/>
          <w:szCs w:val="18"/>
          <w:color w:val="auto"/>
        </w:rPr>
        <w:t>has served on our Board since August 2020 and currently serves as a Manager and Advisor of Gateway Royalty VI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(“Gateway VI”) since 2022. Gateway VI is the sixth entity of the Gateway Royalty companies, which were founded by Chris Oldham, Mr. Oldham’s son, and have been successful in acquiring oil and gas minerals and royalties in the Utica Shale since 2012. Mr. Oldham is also a Manager of Gateway Royalty</w:t>
      </w:r>
    </w:p>
    <w:p>
      <w:pPr>
        <w:jc w:val="both"/>
        <w:ind w:right="280" w:firstLine="8"/>
        <w:spacing w:after="0" w:line="255" w:lineRule="auto"/>
        <w:tabs>
          <w:tab w:leader="none" w:pos="2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since 2016, Gateway Royalty IV LLC since 2018 and Gateway Royalty V LLC since 2019. In addition, Mr. Oldham has been actively advising Gateway Royalty II LLC and Gateway Royalty I LLC since 2014 and 2012, respectively. Additionally, Mr. Oldham has served as Manager of Oldham Properties, Ltd. since 1990.</w:t>
      </w:r>
    </w:p>
    <w:p>
      <w:pPr>
        <w:spacing w:after="0" w:line="18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Mr. Oldham currently serves as an Operating Partner in Mountain Capital LLC, a private equity firm located in Houston, Texas since 2015 and serves on the board of directors of Hannathon Petroleum II, a private oil and gas company headquartered in Midland, Texas since 2023. Mr. Oldham has served on the board of directors of Saddleback Exploration Inc., a private oil and gas company headquartered in Tulsa, Oklahoma from 2015 until it was sold in 2023. Mr. Oldham is also a member of the board of directors of the West Texas A&amp;M University Foundation.</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1979, Mr. Oldham founded Parallel Petroleum Corporation (“Parallel”), an independent energy company headquartered in Midland, Texas, which engaged in the acquisition, development and production of long-lived oil and gas properties, primarily in the Permian Basin. Parallel completed its initial public offering in 1980 and in December 2009 was acquired by an affiliate of Apollo Global Management, Inc. (formerly known as Apollo Global Management, LLC), which was sold to Samsung C&amp;T Corporation in December of 2011. Prior to the sale to Apollo Global Management, Inc., Mr. Oldham served as Parallel’s President from 1994 to 2009, Chief Executive Officer from 2004 to 2009 and director from 1979 until 2009. During Mr. Oldham’s years at Parallel, some of the most notable property acquisitions were the Fullerton Property in Andrews County, Diamond M Canyon Reef Field in Scurry County and the acquisition of all of Fina’s West Texas assets in July 1999. In 1992, Parallel was an early adopter of 3D seismic and drilled several Canyon Reef discoveries in Howard County, Texas and several discoveries in the Yegua/Frio Trend onshore the Gulf Coast of Texas. In 2005, horizontal drilling was successfully implemented in the Wolfcamp formation in New Mexico and the Barnett Shale in Tarrant County, Texas. In 2014, Parallel drilled the first of several horizontal wells in the Harris Field, which were large producing wells completed with engineered fracs. Parallel was the forerunner of this highly successful completion technique.</w:t>
      </w:r>
    </w:p>
    <w:p>
      <w:pPr>
        <w:spacing w:after="0" w:line="19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Prior to Parallel’s formation, Mr. Oldham was employed by Dorchester Gas Corporation from 1976 to 1979 and KPMG Peat Marwick, LLP from 1975 to 1976.</w:t>
      </w:r>
    </w:p>
    <w:p>
      <w:pPr>
        <w:sectPr>
          <w:pgSz w:w="11900" w:h="16838" w:orient="portrait"/>
          <w:cols w:equalWidth="0" w:num="1">
            <w:col w:w="11220"/>
          </w:cols>
          <w:pgMar w:left="320" w:top="580" w:right="359" w:bottom="0" w:gutter="0" w:footer="0" w:header="0"/>
        </w:sectPr>
      </w:pPr>
    </w:p>
    <w:bookmarkStart w:id="32" w:name="page33"/>
    <w:bookmarkEnd w:id="32"/>
    <w:p>
      <w:pPr>
        <w:ind w:firstLine="486"/>
        <w:spacing w:after="0" w:line="266" w:lineRule="auto"/>
        <w:rPr>
          <w:sz w:val="20"/>
          <w:szCs w:val="20"/>
          <w:color w:val="auto"/>
        </w:rPr>
      </w:pPr>
      <w:r>
        <w:rPr>
          <w:rFonts w:ascii="Times New Roman" w:cs="Times New Roman" w:eastAsia="Times New Roman" w:hAnsi="Times New Roman"/>
          <w:sz w:val="18"/>
          <w:szCs w:val="18"/>
          <w:color w:val="auto"/>
        </w:rPr>
        <w:t>Mr. Oldham earned a Bachelor of Business Administration in Accounting from West Texas State University (now West Texas A&amp;M University) in 1975 and was a 2012 Distinguished Alumni Award recipient. Mr. Oldham is a certified public accountant and is a member of the Permian Basin Landman’s Association and the Permian Basin Producers Association.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There are many factors that may affect our business, financial condition and results of operations and investments in us. Security holders and potential investors in our securities should carefully consider the risk factors set forth below, as well as the discussion of other factors that could affect us or investments in us included elsewhere in this Annual Report. If one or more of these risks were to materialize, our business, financial condition or results of operations could be materially and adversely affected. These known material risks could cause our actual results to differ materially from those contained in any written or oral forward-looking statements made by us or on our behalf.</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34" w:name="page35"/>
    <w:bookmarkEnd w:id="34"/>
    <w:p>
      <w:pPr>
        <w:ind w:right="180"/>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Annual Report to enhance the readability and accessibility of our risk factor disclosures. We encourage our stockholders to carefully review the full risk factors contained in this Annual Report in their entirety for additional information regarding the risks and uncertainties that could cause our actual results to vary materially from recent results or from our anticipated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natural gas prices are volatile. Sustained volatility, or declines in, crude oil, NGL and natural gas prices could adversely affect HighPeak Energy’s business, financial condition and results of operations and its ability to meet its capital expenditure obligations and other financial commitments.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trade environment, including the imposition of tariffs, could adversely affect our business.</w:t>
      </w:r>
    </w:p>
    <w:p>
      <w:pPr>
        <w:spacing w:after="0" w:line="1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estimates depend on many assumptions that may turn out to be inaccurate. Any material inaccuracies in reserve estimates or underlying assumptions will materially affect the quantities and present value of reserves.</w:t>
      </w:r>
    </w:p>
    <w:p>
      <w:pPr>
        <w:ind w:left="660" w:right="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development projects and acquisitions will require substantial capital expenditures. HighPeak Energy may be unable to obtain required capital or financing on satisfactory terms, including as a result of recent increases in cost of capital resulting from Federal Reserve policies or otherwise, which could reduce its ability to access or increase production and reserves.</w:t>
      </w:r>
    </w:p>
    <w:p>
      <w:pPr>
        <w:spacing w:after="0" w:line="1"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Term Loan Credit Agreement, the Senior Credit Facility Agreement and any future debt agreements could limit HighPeak Energy’s growth and ability to engage in certain activities.</w:t>
      </w:r>
    </w:p>
    <w:p>
      <w:pPr>
        <w:ind w:left="660" w:right="3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under our share repurchase program is subject to certain considerations, and any share repurchases thereunder could increase the volatility of our stock prices and could diminish our cash reserves.</w:t>
      </w:r>
    </w:p>
    <w:p>
      <w:pPr>
        <w:ind w:left="660" w:right="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indebtedness may adversely affect our cash flows and ability to operate our business, remain in compliance and repay our debt.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cash flows vary significantly from year to year due to the cyclical nature of the crude oil and natural gas industry.</w:t>
      </w:r>
    </w:p>
    <w:p>
      <w:pPr>
        <w:spacing w:after="0" w:line="17"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experiences periods of higher costs as commodity prices have risen and inflation may adversely affect our operating results, which negatively impacts our profitability, cash flow and ability to complete development activities as planned. Continuing or worsening inflationary issues and associated changes in monetary policy, including tariffs, have resulted in and may result in additional increases to the cost of our goods, services and personnel, which in turn could cause our capital expenditures and operating costs to rise.</w:t>
      </w:r>
    </w:p>
    <w:p>
      <w:pPr>
        <w:spacing w:after="0" w:line="2"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 as a result of the change in U.S. presidential administration and political instability or armed conflict in crude oil or natural gas producing regions, such as the ongoing war between Russia and Ukraine, the Israel-Hamas conflict and OPEC+ policy decisions could have a material adverse impact on our business, financial condition or future results.</w:t>
      </w:r>
    </w:p>
    <w:p>
      <w:pPr>
        <w:spacing w:after="0" w:line="1" w:lineRule="exact"/>
        <w:rPr>
          <w:rFonts w:ascii="Times New Roman" w:cs="Times New Roman" w:eastAsia="Times New Roman" w:hAnsi="Times New Roman"/>
          <w:sz w:val="18"/>
          <w:szCs w:val="18"/>
          <w:color w:val="auto"/>
        </w:rPr>
      </w:pPr>
    </w:p>
    <w:p>
      <w:pPr>
        <w:ind w:left="660" w:right="360" w:hanging="328"/>
        <w:spacing w:after="0" w:line="265"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marketability of HighPeak Energy’s production is dependent upon transportation, storage and other facilities, certain of which it does not control. If these facilities are unavailable, in whole or in part, HighPeak Energy’s operations could be interrupted, and its revenues reduced.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could require HighPeak Energy to shut-in production or cease its capital expenditure program.</w:t>
      </w:r>
    </w:p>
    <w:p>
      <w:pPr>
        <w:spacing w:after="0" w:line="1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undeveloped leasehold acreage of HighPeak Energy’s assets is subject to leases that will expire over the next several years unless production is established on units containing the acreage or the leases are renewed.</w:t>
      </w:r>
    </w:p>
    <w:p>
      <w:pPr>
        <w:ind w:left="660" w:right="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ind w:left="660" w:right="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for and producing crude oil and natural gas are high risk activities with many uncertainties that could adversely affect HighPeak Energy’s business, financial condition or results of operations.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 expose HighPeak Energy to counterparty credit risk and may become more costly or unavailable.</w:t>
      </w:r>
    </w:p>
    <w:p>
      <w:pPr>
        <w:spacing w:after="0" w:line="17" w:lineRule="exact"/>
        <w:rPr>
          <w:rFonts w:ascii="Times New Roman" w:cs="Times New Roman" w:eastAsia="Times New Roman" w:hAnsi="Times New Roman"/>
          <w:sz w:val="18"/>
          <w:szCs w:val="18"/>
          <w:color w:val="auto"/>
        </w:rPr>
      </w:pPr>
    </w:p>
    <w:p>
      <w:pPr>
        <w:ind w:left="660" w:right="8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derivatives legislation could have an adverse effect on our ability to use derivative instruments to reduce the effect of commodity price, interest rate and other risks associated with our business.</w:t>
      </w:r>
    </w:p>
    <w:p>
      <w:pPr>
        <w:ind w:left="660" w:right="2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standardized measure of estimated reserves may not be an accurate estimate of the current fair value of estimated crude oil and natural gas reserves.</w:t>
      </w:r>
    </w:p>
    <w:p>
      <w:pPr>
        <w:ind w:left="660" w:right="3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may negatively affect HighPeak Energy’s operating results and ability to conduct drilling activities.</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operations are substantially dependent on the availability of sand and water. Restrictions on its ability to obtain sand and water may have an adverse effect on its financial condition, results of operations and cash flows.</w:t>
      </w:r>
    </w:p>
    <w:p>
      <w:pPr>
        <w:ind w:left="660" w:right="1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located in the northeastern Midland Basin, making HighPeak Energy vulnerable to risks associated with operating in a limited geographic area.</w:t>
      </w:r>
    </w:p>
    <w:p>
      <w:pPr>
        <w:ind w:left="660" w:right="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HighPeak Energy replaces its reserves with new reserves and develops those new reserves, its reserves and production will decline, which would adversely affect future cash flows and results of operations.</w:t>
      </w:r>
    </w:p>
    <w:p>
      <w:pPr>
        <w:ind w:left="660" w:right="40" w:hanging="328"/>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5" w:name="page36"/>
    <w:bookmarkEnd w:id="35"/>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may be unable to make additional attractive acquisitions or successfully integrate acquired businesses with its current assets, and any inability to do so may disrupt its business and hinder its ability to grow.</w:t>
      </w:r>
    </w:p>
    <w:p>
      <w:pPr>
        <w:ind w:left="660" w:right="1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or high cost of drilling rigs, equipment, supplies, personnel, frac crews and oilfield services due to commodity price volatility or supply constraints as a result of the conflict in Ukraine, the Israel-Hamas conflict, elevated interest rates and associated policies of the Federal Reserve could adversely affect HighPeak Energy’s ability to execute its development plans within its budget and on a timely basis and consequently could materially and adversely affect our cash flows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2022 could accelerate the transition to a low carbon economy and could impose new costs on our operations.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may be involved in legal proceedings that could result in substantial liabilities.</w:t>
      </w:r>
    </w:p>
    <w:p>
      <w:pPr>
        <w:spacing w:after="0" w:line="36"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our operators fail to comply with all applicable regulatory agency administered statutes, rules, regulations and orders, our operators could be subject to substantial penalties and fines.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HighPeak Energy are subject to a variety of risks arising from climate change.</w:t>
      </w:r>
    </w:p>
    <w:p>
      <w:pPr>
        <w:spacing w:after="0" w:line="1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Energy’s production.</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could adversely affect HighPeak Energy’s business.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business could be adversely affected by security threats, including cybersecurity threats, and related disruptions.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229" w:lineRule="exact"/>
        <w:rPr>
          <w:sz w:val="20"/>
          <w:szCs w:val="20"/>
          <w:color w:val="auto"/>
        </w:rPr>
      </w:pPr>
    </w:p>
    <w:p>
      <w:pPr>
        <w:ind w:left="660" w:right="2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is a “controlled company”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effective tax rates or laws or adverse outcomes resulting from examination of HighPeak Energy’s income or other tax returns could adversely affect HighPeak Energy’s financial condition, results of operations and cash flow.</w:t>
      </w:r>
    </w:p>
    <w:p>
      <w:pPr>
        <w:ind w:left="660" w:right="2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is an emerging growth company within the meaning of the Securities Act, and if HighPeak Energy takes advantage of certain exemptions from disclosure requirements available to emerging growth companies, which could make HighPeak Energy’s common stock less attractive to investors and may make it more difficult to compare its performance with other public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Crude oil, NGL and natural gas prices are volatile. Sustained volatility, or declines in, crude oil, NGL and natural gas prices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and results of operations and its ability to meet its capital expenditure obligations and other financial commitments.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prices HighPeak Energy receives for its crude oil, NGL and natural gas production heavily influence its revenue, profitability, access to capital, future rate of growth and the carrying value of its properties. The markets for crude oil and natural gas have been volatile historically and are likely to remain volatile in the future. For example, during the period from January 1, 2021 through December 31, 2024, the calendar month average NYMEX WTI crude oil price per Bbl ranged from a low of $52.10 to a high of $114.34, and the last trading day NYMEX natural gas price per MMBtu ranged from a low of $1.58 to a high of $9.35. One of the factors which caused the fall in prices was OPEC+ being unable to reach an agreement on production levels for crude oil, which resulted in Saudi Arabia and Russia initiating efforts to increase production. The convergence of these events, along with the significantly reduced demand because of the COVID-19 pandemic, created an unprecedented global crude oil and natural gas supply and demand imbalance, reduced global crude oil and natural gas storage capacity, caused crude oil and natural gas prices to decline significantly and resulted in continued volatility in crude oil, NGL and natural gas prices. Prices have recovered to pre-pandemic levels, with the calendar month average NYMEX WTI crude oil price of $71.69 per Bbl and the last trading day NYMEX natural gas price of $3.43 per MMBtu for the month of December 2024. However, there can be no certainty that commodity prices will sustain at these levels or continue to increase. In addition, the incoming U.S. presidential administration has signaled it will encourage increased domestic production of crude oil, which could lead to falling crude oil, NGL and natural gas prices.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spacing w:after="0" w:line="176"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including elevated interest rates and associated policies of the Federal Reserve, impacting the global supply and demand for crude oil, NGL and natural gas;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of crude oil, NGL and natural gas;</w:t>
      </w:r>
    </w:p>
    <w:p>
      <w:pPr>
        <w:spacing w:after="0" w:line="17"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global political and economic conditions, such as the change in U.S. presidential administration, the ongoing conflict in Ukraine, the Israel-Hamas conflict, socio-political unrest and instability, terrorism or hostilities in or affecting other producing regions or countries, including the Middle East, Africa, South America and Russia;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threat of epidemic or pandemic diseases, such as COVID-19, or any government response to such occurrence or threat;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OPEC, its members and other state-controlled crude oil companies relating to crude oil price and production controls;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exploration, development and production;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inventories;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prices, and expectations regarding future prices, on local price indexes in the areas in which HighPeak Energy operates;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capacity, cost and availability of gathering and transportation facilities;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localized and global supply and demand fundamentals and transportation availability;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developing, producing and transporting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36"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including the potential acceleration of the development of alternative fuels as a result of the IRA 2022 or otherwise;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future commodity prices;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and non-U.S. governmental regulation and taxes.</w:t>
      </w:r>
    </w:p>
    <w:p>
      <w:pPr>
        <w:spacing w:after="0" w:line="2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Lower commodity prices may reduce HighPeak Energy’s cash flow and access to capital markets.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global trade environment, including the imposition of tariffs, could adversely affect our business.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Escalating trade tensions, particularly between the U.S. and Canada, Mexico, China and other countries, may lead to the imposition of tariffs and trade restrictions. We may be materially adversely impacted by tariffs if we are not able to adapt our supply chain strategy. We may also face unanticipated costs in developing our domestic supply chain and increased competition for materials and components in the United States, which also would impact our business and results of operations. The imposition of tariffs may also create uncertainty in our industry. Increases in costs to drill and develop reserves as a result of tariffs coupled with lower commodity prices from increased domestic production could make producing such reserves no longer economically viable or technically feasible. Additionally, existing or future tariffs may negatively affect our customers, suppliers, and manufacturing partners. Such outcomes could adversely affect the amount or timing of our revenues, results of operations or cash flows, and continuing uncertainty could cause sales volatility and price fluctuations.</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Tariffs, the adoption and expansion of trade restrictions, the occurrence of a trade war, or other governmental action related to tariffs, trade agreements or related policies have the potential to adversely impact our supply chain and access to equipment, and our costs and ability to economically serve certain markets. Any such cost increases or decreases in availability could slow our growth and cause our financial results and operational metrics to suffer. There is current uncertainty about the future relationship between the United States and other countries with respect to trade policies, taxes, government regulations, and tariffs and we cannot predict whether, and to what extent, U.S. trade policies will change in the future, including as a result of changes by the incoming U.S. presidential administration.</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Reserve estimates depend on many assumptions that may turn out to be inaccurate. Any material inaccuracies in reserve estimates or underlying assumptions will materially affect the quantities and present value of reserves.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Numerous uncertainties are inherent in estimating quantities of crude oil and natural gas reserves. Our estimates of our SEC reserves are based upon average commodity prices over the prior 12 months, which may not reflect actual prices received for our production. For example, our reserve volumes and PV-10 as disclosed in this Annual Report are based on assumed commodity prices of $75.48 per Bbl of crude oil and NGL and $2.130 per MMBtu of natural gas as of December 31, 2024, which are somewhat higher for crude oil and lower for natural gas than the December 31, 2024 front-month forward pricing of $71.72 per Bbl of crude oil and $3.633 per Mcf of natural gas. Accordingly, you are cautioned not to place undue weight on our reserve volumes or PV-10 based on such pricing when evaluating our financial condition or an investment in our securities. The process of estimating crude oil and natural gas reserves is complex. It requires interpretations of available technical data and many assumptions, including assumptions relating to current and future economic conditions and commodity prices. Any significant inaccuracies in these interpretations or assumptions could materially affect the estimated quantities and present value of reserves. To prepare the reserve estimates included in this Annual Report, CG&amp;A analyzed available geological, geophysical, production and engineering data and projected the production rates and timing of development expenditures. The extent, quality and reliability of this data can vary. The process also requires economic assumptions about matters such as crude oil and natural gas prices, drilling and operating expenses, capital expenditures, taxes and availability of funds.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447" w:gutter="0" w:footer="0" w:header="0"/>
        </w:sectPr>
      </w:pPr>
    </w:p>
    <w:bookmarkStart w:id="37" w:name="page38"/>
    <w:bookmarkEnd w:id="37"/>
    <w:p>
      <w:pPr>
        <w:ind w:right="20"/>
        <w:spacing w:after="0" w:line="255" w:lineRule="auto"/>
        <w:rPr>
          <w:sz w:val="20"/>
          <w:szCs w:val="20"/>
          <w:color w:val="auto"/>
        </w:rPr>
      </w:pPr>
      <w:r>
        <w:rPr>
          <w:rFonts w:ascii="Times New Roman" w:cs="Times New Roman" w:eastAsia="Times New Roman" w:hAnsi="Times New Roman"/>
          <w:sz w:val="18"/>
          <w:szCs w:val="18"/>
          <w:color w:val="auto"/>
        </w:rPr>
        <w:t>Actual future production, crude oil, NGL and natural gas prices, revenues, taxes, development expenditures, operating expenses and quantities of recoverable crude oil and natural gas reserves may vary from the estimates included in this Annual Report. For instance, initial production rates reported by HighPeak Energy or other operators may not be indicative of future or long-term production rates, and recovery efficiencies may be worse than expected and production declines may be greater than estimated and may be more rapid and irregular compared with initial production rates. In addition, estimates of proved reserves may be adjusted to reflect additional production history, results of development activities, current commodity prices and other existing factors. Any significant variance could materially affect the estimated quantities and present value of reserves. Moreover, there can be no assurance that reserves will ultimately be produced or that proved undeveloped reserves will be developed within the periods anticipated.</w:t>
      </w:r>
    </w:p>
    <w:p>
      <w:pPr>
        <w:spacing w:after="0" w:line="18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development projects and acquisitions will require substantial capital expenditures. HighPeak Energy may be unable to obtain required capital or financing on satisfactory terms, including as a result of recent increases in the cost of capital resulting from Federal Reserve policies or otherwise, which could reduce its ability to access or increase production and reserves.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crude oil and natural gas industry is capital-intensive. HighPeak Energy has evaluated multiple development scenarios under multiple potential commodity price assumptions. Under its current 2025 development program, HighPeak Energy would expect to incur approximately $375 to $405 million of capital expenditures for drilling, completion, facilities and equipping costs, $40 - $50 million for field infrastructure, land and other costs and $33 - $35 million on one-time infrastructure expenditures. The ability to make these capital expenditures will be highly dependent on the price of crude oil and available funding of HighPeak Energy. Commodity prices have recovered, with the calendar month average NYMEX WTI price of $71.69 per Bbl and last trading day NYMEX natural gas price of $3.43 per MMBtu for the month of December 2024. HighPeak Energy ran a two-rig program for the majority of 2024. HighPeak Energy expects to average two (2) drilling rigs and one (1) frac crew during 2025. However, HighPeak Energy recognizes that commodity prices remain highly volatile and that its liquidity is limited, and as a result, there is no certainty that HighPeak Energy will operate a two (2) rig development program in the future.</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HighPeak Energy expects to fund its forecasted capital expenditures with cash on its balance sheet, cash generated by operations, through borrowings under the Senior Credit Facility Agreement if needed and, depending on market circumstances, potential future debt or equity offerings. For terms of the Term Loan Credit Agreement and Senior Credit Facility Agreement, see Note 7 of Notes to Consolidated Financial Statements included in “Item 8. Financial Statements and Supplementary Data.”</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flows from operations are subject to significant uncertainty. As a result, the amount of liquidity that HighPeak Energy will have in the future is uncertain.</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HighPeak Energy’s financing needs may require it to alter or increase its capitalization substantially through the issuance of debt or equity securities or the sale of assets. The availability and cost of these capital sources is cyclical, and these capital sources may not remain available, or we may not be able to obtain financing at a reasonable cost in the future. For example, due to the high levels of inflation in the U.S., the Federal Reserve and other central banks increased interest rates multiple times in 2022 and 2023, and began decreasing rates with three rate cuts toward the end of 2024 and although the Federal Reserve has indicated that such decreases should continue in 2025, uncertainty remains as to when or if such elevated rates may be decreased further. Such increased interest rates have increased the cost of capital and may prevent us from being able to obtain debt financing at favorable rates, or at all, which would materially impact our operations. In addition, conditions in the global capital markets have been volatile due to the conflict in Ukraine, the Israel-Hamas conflict or otherwise, making terms for certain types of financing difficult to predict, and in certain cases, resulting in certain types of financing being unavailable. Further,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HighPeak Energy’s ability to increase production.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cash flow from operations and access to capital are subject to several variables,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HighPeak Energy’s production is sold;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hydrocarbons HighPeak Energy is able to produce from its wells;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acquire, locate and produce new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HighPeak Energy’s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settlements from HighPeak Energy’s derivative activities;</w:t>
      </w:r>
    </w:p>
    <w:p>
      <w:pPr>
        <w:spacing w:after="0" w:line="9" w:lineRule="exact"/>
        <w:rPr>
          <w:rFonts w:ascii="Times New Roman" w:cs="Times New Roman" w:eastAsia="Times New Roman" w:hAnsi="Times New Roman"/>
          <w:sz w:val="18"/>
          <w:szCs w:val="18"/>
          <w:color w:val="auto"/>
        </w:rPr>
      </w:pPr>
    </w:p>
    <w:p>
      <w:pPr>
        <w:ind w:left="660" w:right="320" w:hanging="328"/>
        <w:spacing w:after="0" w:line="180" w:lineRule="auto"/>
        <w:tabs>
          <w:tab w:leader="none" w:pos="660" w:val="left"/>
        </w:tabs>
        <w:numPr>
          <w:ilvl w:val="0"/>
          <w:numId w:val="2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production interruptions or curtailments from time-to-time related to third-party infrastructure downtime or delays in third-party installation of infrastructure, including electrical power supply, that affects our ability to produce our crude oil and natural gas;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capital expenditures in certain circumstances under the Term Loan Credit Agreement or the Senior Credit Facility Agreement;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obtain additional debt financing, including increases to the Term Loan Credit Agreement or the Senior Credit Facility Agreement;</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ongoing war between Russia and Ukraine and conflict in the Middle East, including between Israel and Hamas;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obtain storage capacity for the crude oil it produces;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instruments governing HighPeak Energy’s debt on HighPeak Energy’s ability to incur additional indebtedness;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access the public or private capital markets.</w:t>
      </w:r>
    </w:p>
    <w:p>
      <w:pPr>
        <w:spacing w:after="0" w:line="20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Should HighPeak Energy’s revenues decrease as a result of lower crude oil, NGL and natural gas prices, operational difficulties, declines in reserves or for any other reason, HighPeak Energy may have limited ability to obtain the capital necessary to sustain operations at expected levels. If additional capital is needed, HighPeak Energy may not be able to obtain debt or equity financing on terms acceptable to it, if at all, due to elevated interest rates and associated policies of the Federal reserve, or otherwise. If cash flow generated by HighPeak Energy’s operations or available debt financing, including borrowings under the Credit Agreements, are insufficient to meet its capital requirements, the failure to obtain additional financing could result in a curtailment of the development of HighPeak Energy’s properties, which in turn could lead to a decline in reserves and production and could materially and adversely affect HighPeak Energy’s business, financial condition and results of operations. If HighPeak Energy seeks and obtains additional financing, subject to the restrictions in the instruments governing its existing debt, the addition of new debt to existing debt levels could intensify the operational risks that HighPeak Energy will face. Further, adding new debt could limit HighPeak Energy’s ability to service existing debt service obligations.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80" w:right="339" w:bottom="0" w:gutter="0" w:footer="0" w:header="0"/>
        </w:sectPr>
      </w:pPr>
    </w:p>
    <w:bookmarkStart w:id="38" w:name="page39"/>
    <w:bookmarkEnd w:id="38"/>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Term Loan Credit Agreement, the Senior Credit Facility Agreement and any future debt agreements could limit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growth and ability to engage in certain activities.</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terms and conditions governing the Term Loan Credit Agreement, the Senior Credit Facility Agreement and any future additional indebtedness are expected to:</w:t>
      </w:r>
    </w:p>
    <w:p>
      <w:pPr>
        <w:spacing w:after="0" w:line="162" w:lineRule="exact"/>
        <w:rPr>
          <w:sz w:val="20"/>
          <w:szCs w:val="20"/>
          <w:color w:val="auto"/>
        </w:rPr>
      </w:pPr>
    </w:p>
    <w:p>
      <w:pPr>
        <w:jc w:val="both"/>
        <w:ind w:left="660" w:right="40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HighPeak Energy to dedicate a portion of cash flow from operations to service its debt, thereby reducing the cash available to finance operations and other business activities and could limit its flexibility in planning for or reacting to changes in its business and the industry in which it operates;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vulnerability to economic downturns and adverse developments in HighPeak Energy’s business;</w:t>
      </w:r>
    </w:p>
    <w:p>
      <w:pPr>
        <w:spacing w:after="0" w:line="17"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HighPeak Energy’s ability to engage in certain business activities, including without limitation, to raise capital, obtain additional financing (whether for working capital, capital expenditures or acquisitions) or to refinance indebtedness, grant or incur liens on assets, pay dividends or make distributions in respect of its capital stock, make investments, amend or repay subordinated indebtedness, sell or otherwise dispose of assets, businesses or operations and engage in business combinations or other fundamental changes;</w:t>
      </w:r>
    </w:p>
    <w:p>
      <w:pPr>
        <w:spacing w:after="0" w:line="2"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place HighPeak Energy at a competitive disadvantage relative to competitors with lower levels of indebtedness in relation to their overall size or less restrictive terms governing their indebtedness;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management’s discretion in operating HighPeak Energy’s business.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debt instruments also contain provisions that could have the effect of making it more difficult for a third party to acquire control of us. The Term Loan Credit Agreement and the Senior Credit Facility Agreement provide that a change of control constitutes an event of default and would permit the lenders to declare the indebtedness thereunder to be immediately due and payable. Our future credit facilities may contain similar provisions. The need to repay all such indebtedness may deter potential third parties from acquiring us.</w:t>
      </w:r>
    </w:p>
    <w:p>
      <w:pPr>
        <w:spacing w:after="0" w:line="1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HighPeak Energy’s ability to meet its expenses and its current and future debt obligations and comply with the covenants and restrictions contained therein will depend on its future performance, which will be affected by financial, business, economic, industry, regulatory and other factors, many of which are beyond HighPeak Energy’s control. If market or other economic conditions deteriorate, HighPeak Energy’s ability to comply with these covenants may be impaired. HighPeak Energy cannot be certain that its cash flow will be sufficient to enable it to pay the principal and interest on its debt and meet its other obligations. If HighPeak Energy does not have enough money, HighPeak Energy may be required to refinance all or part of its debt, sell assets, borrow more money or raise equity. HighPeak Energy may not be able to refinance its debt, sell assets, borrow more money or raise equity on terms acceptable to it, or at all. For example, HighPeak Energy’s future debt agreements may require the satisfaction of certain conditions, including coverage and leverage ratios, to borrow money. HighPeak Energy’s future debt agreements may also restrict the payment of dividends and distributions by certain of its subsidiaries to it, which could affect its access to cash. In addition, HighPeak Energy’s ability to comply with the financial and other restrictive covenants in the agreements governing its indebtedness will be affected by the levels of cash flow from operations and future events and circumstances beyond HighPeak Energy’s control. Breach of these covenants or restrictions could result in an event of default under HighPeak Energy’s existing and/or future financing arrangements, which, if not cured or waived, could permit the lenders to accelerate all indebtedness outstanding thereunder. Upon acceleration, the debt would become immediately due and payable, together with accrued and unpaid interest, and any lenders’ commitment to make further loans to HighPeak Energy may terminate. Even if new financing were then available, it may not be on terms that are acceptable to HighPeak Energy. Additionally, upon the occurrence of an event of default under HighPeak Energy’s financing agreements, the affected lenders may exercise remedies, including through foreclosure, on the collateral, if any, securing any such secured financing arrangements. Moreover, any subsequent replacement of HighPeak Energy’s financing arrangements may require it to comply with more restrictive covenants which could further restrict business operations.</w:t>
      </w:r>
    </w:p>
    <w:p>
      <w:pPr>
        <w:spacing w:after="0" w:line="1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had an aggregate maximum commitment amount and actual commitment amount of $100.0 million with respect to the Senior Credit Facility Agreement as of December 31, 2024. The Term Loan Credit Agreement also limits the amounts HighPeak Energy can borrow under the Senior Credit Facility Agreement to $100.0 million.</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repurchase shares under our recently announced share repurchase program is subject to certain considerations, and any share repurchases thereunder could increase the volatility of our stock prices and could diminish our cash reserves.</w:t>
      </w:r>
    </w:p>
    <w:p>
      <w:pPr>
        <w:spacing w:after="0" w:line="15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On March 6, 2025, the Board extended the expiration date of the prior repurchase program of up to $75 million of the Company’s common stock that was originally authorized by the Board in February 2024 (the “2024 Repurchase Program”). The extension did not alter the terms of the 2024 Repurchase Program, did not increase the total amount under the program and does not obligate HighPeak to repurchase any specific dollar amount or to acquire any specific number of shares and will depend upon, among other things, our earnings, liquidity, capital requirements, financial condition and other factors deemed relevant by our board of directors. Additionally, our Term Loan Credit Agreement limits our ability to repurchase shares of our common stock. Further, our share repurchases could affect our share trading prices, increase their volatility, reduce our cash reserves and may be suspended or terminated at any time, which may result in a decrease in the trading prices of our stock. Our Board of Directors may amend or suspend the share repurchase program at any time in its discretion. We can provide no assurances that we will repurchase shares of our common stock within the authorized amount or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future indebtedness may adversely affect our cash flows and ability to operate our business, remain in compliance and repay our debt.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we had $1.1 billion of total indebtedness, including $1.1 billion outstanding of our Term Loan Credit Agreement and no indebtedness outstanding under our Senior Credit Facility Agreement, and available capacity under our Senior Credit Facility Agreement of approximately $93.1 million. The entirety of our $1.1 billion of total indebtedness is maturing in 2026.</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t>Among other events of default, an event of default will occur under the Term Loan Credit Agreement and the Senior Credit Facility Agreement if HighPeak Energy should fail to make any payment (whether of principal or interest and regardless of amount) in respect of any material debt, when and as the same shall become due and payable and such failure to pay continues beyond any applicable grace period, or any event or condition occurs that results in any material debt becoming due prior to its scheduled maturity or that enables or permits (with or without the giving of notice, the lapse of time or both) the holder or holders of any material debt or any trustee or agent on its or their behalf to cause any material debt to become due, or to require the redemption thereof or any offer to redeem to be made in respect thereof, prior to its scheduled maturity or require HighPeak Energy to make an offer in respect thereof and such event or condition continues beyond any applicable grace period. In the event of a default under these circumstances, lenders could terminate their commitments to lend or accelerate the loans and declare all amounts borrowed due and payable.</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be unable to repay amounts due when they become due, and our ability to refinance our indebtedness on reasonable terms may be limited. Although our debt agreements contain restrictions on the incurrence of additional indebtedness, these restrictions are subject to several significant qualifications and exceptions, and any indebtedness incurred in compliance with these restrictions could be substantial, and some of which may be secured by our assets. Our current level of indebtedness could have important consequences, such as:</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satisfy our obligations under our indebtedness and contractual and commercial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36"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availability of our cash flow to fund working capital, capital expenditures and other general corporate purposes;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 the industry in which we operate;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exploiting business opportunities;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our ability to compete effectively or operate successfully under adverse economic and industry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cash flows vary significantly from year to year due to the cyclical nature of the crude oil and natural gas industry.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Any insufficiency could negatively impact our business. A range of economic, competitive, business and industry factors will affect our future financial performance, and as a result, our ability to generate cash flows from operations and to pay our debt.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or restructuring our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investments;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raise additional capital.</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However, any alternative financing plans that we undertake, if necessary, may not allow us to meet our debt obligations. We cannot assure you that any refinancing or debt restructuring would be possible, that any assets could be sold or that, if sold, the timing of the sales and the amount of proceeds realized from those sales would be favorable to us or that additional financing could be obtained on acceptable terms. Our inability to generate sufficient cash flows to satisfy our debt obligations, or to obtain alternative financing, could materially and adversely affect our business, financial condition, results of operations and prospects.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if we fail to comply with the covenants or other terms of our Credit Agreements, our lenders will have the right to accelerate the maturity of that debt and foreclose upon the collateral, if any, securing that debt. Realization of any of these factors could adversely affect our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HighPeak Energy experiences periods of higher costs when commodity prices rise and inflation may adversely affect our operating results, which could negatively impact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may have an adverse effect on HighPeak Energy’s operating results and this impact may be magnified to the extent that HighPeak Energy’s ability to participate in the commodity price increases is limited by its derivative activities, if any.</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Elevated inflation rates throughout 2023 and 2024 and inflationary pressures have resulted in and may result in additional increases to the costs of our oilfield goods, services and personnel, which would in turn cause our capital expenditures and operating costs to rise. Due to the high levels of inflation in the U.S., the Federal Reserve and other central banks increased interest rates multiple times in 2022 and 2023, and began decreasing rates with three rate cuts toward the end of 2024 and although the Federal Reserve has indicated that such decreases could continue into 2025, uncertainty remains as to when or if such elevated rates may be decreased further. To the extent rates remain high, this could have the effects of raising the cost of capital and depressing economic growth, either of which—or the combination thereof—could hurt the financial and operating results of our business. To the extent elevated inflation remains, we may experience further cost increases for our operations, including oilfield services, labor costs and equipment if our drilling activity increases.</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Higher crude oil and natural gas prices, continued inflation and supply chain issues as well as an increase in demand for services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political, legal and regulatory environments as a result of the change in U.S. presidential administration and political instability or armed conflict in crude oil or natural gas producing regions, such as the ongoing war between Russia and Ukraine, the Israel-Hamas conflict and OPEC+ policy decisions could have a material adverse impact on our business, financial condition or future results.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future results are subject to political and economic risks and uncertainties, including volatility in the political, legal and regulatory environments as a result of the change in U.S. presidential administration and instability resulting from civil unrest, political demonstrations, mass strikes or armed conflict or other crises in crude oil or natural gas producing areas such as the ongoing war between Russia and Ukraine and the Israel-Hamas conflict.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States and other countries and certain international organizations have imposed broad-ranging and severe economic sanctions on Russia and certain Russian individuals, banking entities and corporations as a response, and additional sanctions may be imposed in the future. This conflict and the resulting sanctions and concerns regarding global energy security have contributed to increases and volatility in the prices for crude oil and natural gas. The length, impact, and outcome of the ongoing war between Russia and Ukraine is highly unpredictable, and such events or any further hostilities in Ukraine or elsewhere could severely impact the world economy and may adversely affect our financial condition. Furthermore, escalations of the Israel-Hamas conflict may result in heightened geopolitical risks for crude oil and natural gas markets, given the significant share of global oil supply in the Middle East. While the Company does not have operations overseas, these conflicts elevate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Currently, global crude oil inventories are low relative to historical levels and supply from OPEC+ and other crude oil producing nations are not expected to be sufficient to meet forecasted crude oil demand growth for the next few years. It is believed that many OPEC+ countries will be unable to increase their production levels or even produce at expected levels due to their lack of capital investments in developing incremental crude oil supplies over the past few years. In December 2024, OPEC+ postponed planned reductions of 2.2 million Bopd of oil production until April 2025, due to a slowdown in global demand and rising output surrounding the global economic and crude oil market outlooks. Furthermore, sanctions and import bans on Russian crude oil have been implemented by various countries in response to the war in Ukraine, further impacting global crude oil supply. Still, crude oil and natural gas prices have declined from the highs experienced in second quarter of 2022 and could decrease or increase with any changes in demand due to, among other things, uncertainty and volatility from global supply chain disruptions attributable to the pandemic, the ongoing conflict in Ukraine, the Israel-Hamas conflict, international sanctions, speculation as to future actions by OPEC+,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which are not within our control and cannot be accurately predicted.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marketability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production is dependent upon transportation, storage and other facilities, certain of which it does not control.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these facilities are unavailable, in whole or in part,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could be interrupted, and its revenues reduced.</w:t>
      </w:r>
    </w:p>
    <w:p>
      <w:pPr>
        <w:spacing w:after="0" w:line="20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marketability of HighPeak Energy’s crude oil and natural gas production depends in part upon the availability, proximity and capacity of transportation, processing and storage facilities owned and operated by third parties. Any significant interruption in service from, damage to, or lack of available capacity in these systems and facilities may result in the shutting-in of producing wells or the delay or discontinuance of development plans for our properties. Federal and state regulation of crude oil, NGL and natural gas production and transportation, tax and energy policies, changes in supply and demand, pipeline pressures, damage to or destruction of pipelines or processing facilities, infrastructure or capacity constraints, and general economic conditions could adversely affect our ability to produce, gather, process, transport or market crude oil, NGLs and natural gas. In addition, even if these systems and facilities remain open generally, certain quality specifications implemented thereby may restrict our ability to utilize such systems and facilities. Further, insufficient production from wells to support the construction of pipeline facilities by purchasers or a significant disruption in the availability of HighPeak Energy’s or third-party transportation facilities or other production facilities could adversely impact HighPeak Energy’s ability to deliver to market or produce crude oil and natural gas and thereby cause a significant interruption in HighPeak Energy’s operations. If, in the future, HighPeak Energy is unable, for any sustained period, to implement acceptable delivery or transportation arrangements or encounters production related difficulties, it may be required to shut-in or curtail production. Any such shut-in or curtailment, or an inability to obtain favorable terms for delivery of the crude oil and natural gas produced from HighPeak Energy’s fields, would materially and adversely affect its financial condition and results of operations.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Production may be interrupted, or shut-in, from time to time for numerous reasons, including as a result of weather conditions, accidents, loss of pipeline, gathering, processing or transportation system access or capacity, various contaminants, field labor issues or strikes, or we might voluntarily curtail production in response to market or other conditions. Some of these risks may be exacerbated by other risks that we face. For instance, the potential exists for some of our wells to produce high levels of hydrogen sulfide, a highly toxic, naturally-occurring gas frequently associated with crude oil and natural gas production. Safe handling of hydrogen sulfide gas requires highly skilled operations and field personnel as well as specialized infrastructure, treating facilities, disposal facilities, and/or third-party sour gas takeaway. If we are unable to successfully secure adequate treatment and/or sour gas takeaway capacity from third parties when and if necessary, our production may be adversely impacted. If a substantial amount of our production is interrupted at the same time, it could adversely affect our cash flows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could require HighPeak Energy to shut-in production or cease its capital expenditure program.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2020, the reduction in global demand caused by COVID-19, coupled with the actions of foreign crude oil producers such as Saudi Arabia and Russia, materially decreased global crude oil prices and generated a surplus of crude oil. This significant surplus created a saturation of storage and caused imminent crude storage constraints, which led to, and in the future may further lead to the shut-in of production of our wells due to the lack of sufficient markets or the lack of availability and capacity of processing, gathering, storing and transportation systems. Additionally, several state crude oil and natural gas authorities, including the TRRC, implemented or considered implementing crude oil and natural gas production limits in an effort to stabilize declining commodity prices. To the extent adopted, such production limits could not only reduce our revenue, but also, if wells are required to be shut-in for extended periods of time due to such production limits, result in expenditures related to well plugging and abandonment. Cost increases necessary to bring wells back online may be significant enough that such wells would become uneconomic at low commodity price levels, which may lead to decreases in HighPeak Energy’s proved reserve estimates and potential impairments and associated charges to its earnings. As of December 31, 2024, HighPeak Energy was running a two-rig program and expects to average two (2) drilling rigs and approximately one (1) frac crew during 2025 under our current development plan. HighPeak Energy will continue to monitor the extent by which prices continue to increase and/or stabilize as we execute our capital expenditure program. Any shut-in or curtailment of the crude oil, NGL and natural gas produced from HighPeak Energy’s fields could adversely affect its financial condition and results of operations.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undeveloped leasehold acreage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assets is subject to leases that will expire over the next several years unless production is established on units containing the acreage or the leases are renewed.</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2024, approximately 64% of HighPeak Energy’s acreage was held by production. Generally, the leases for net acreage not held by production will expire at the end of their primary term unless production is established in paying quantities under the units containing these leases or the leases are extended or renewed. From 2025 through 2027, approximately 54%, 31% and 11%, respectively, of the net undeveloped acreage associated with the leases are set to expire. If the leases expire and HighPeak Energy is unable to renew the leases, HighPeak Energy will lose its right to develop the related properties. Although HighPeak Energy intends to hold substantially all these leases through its development drilling program or extend substantially all the net acreage associated with identified drilling locations through a combination of exploratory and development drilling, a portion of such leases may be extended or renewed. Additionally, any payments related to such extensions or renewals may be more than anticipated. Please see “Items 1 and 2: Business and Properties—Reserve Data—Undeveloped Acreage Expirations” for more information regarding acreage expirations and our plans for extending our acreage. HighPeak Energy’s ability to drill and develop its acreage and establish production to maintain its leases depends on a number of uncertainties, including crude oil, NGL and natural gas prices, the availability and cost of capital, drilling and production costs, availability of drilling services and equipment, drilling results, lease expirations, gathering system and pipeline transportation constraints, access to and availability of water sourcing, frac sand and distribution systems, regulatory approvals and other factors.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Accounting rules require that HighPeak Energy periodically review the carrying value of its properties for possible impairment, whenever changes in events or circumstances indicate that the carrying value of its properties may not be recoverable. If there is an indication the carrying value of the assets may not be recovered, an impairment loss is recognized if the sum of the expected future cash flows is less than the carrying amount of the assets. Based on prevailing commodity prices and specific market factors and circumstances at the time of prospective impairment reviews, and the continuing evaluation of development plans, production data, economics and other factors, HighPeak Energy may be required to write-down the carrying value of its properties. A write-down constitutes a non-cash impairment charge to earnings. Historically, crude oil, NGL and natural gas prices have been volatile. For example, during the period from January 1, 2021 through December 31, 2024, the calendar month average NYMEX WTI crude oil price per Bbl ranged from a low of $52.10 to a high of $114.34, and the last trading day NYMEX natural gas price per MMBtu ranged from a low of $1.58 to a high of $9.35.</w:t>
      </w:r>
    </w:p>
    <w:p>
      <w:pPr>
        <w:spacing w:after="0" w:line="1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Sustained levels of depressed commodity prices, or further decreases, in the future could result in impairments of HighPeak Energy’s properties, which could have a material adverse effect on results of operations for the periods in which such charges are taken. HighPeak Energy could experience material write-downs as a result of lower commodity prices or other factors, including low production results or high lease operating expenses, capital expenditures or transportation fees.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strategy involves using some of the latest available horizontal drilling and completion techniques, which involve risks and uncertainties in their application.</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HighPeak Energy’s operations involve utilizing some of the latest drilling and completion techniques as developed by HighPeak Energy and its service providers. The difficulties HighPeak Energy may face drilling horizontal wells may include, among others: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its wellbore in the desired drilling zone;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staying in the desired drilling zone while drilling horizontally through the formation;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and cementing casing throughout the wellbore;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able to run tools and other equipment consistently through the horizontal wellbore.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Difficulties that HighPeak Energy may face while completing its wells include the following, among others: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fracture stimulate the planned number of stages;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run tools the entire length of the wellbore during completion operations;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clean out the wellbore after completion of the final fracture stimulation stage.</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Use of new technologies may not prove successful and could result in significant cost overruns or delays or reductions in production, and, in extreme cases, the sidetracking or abandonment of a well. In addition, certain of the new techniques HighPeak Energy adopts may cause irregularities or interruptions in production due to offset wells being shut-in and the time required to drill and complete multiple wells before any such wells begin producing. Furthermore, the results of drilling in new or emerging formations are more uncertain initially than drilling results in areas that are more developed and have a longer history of established production. Newer and emerging formations and areas have limited or no production history and, consequently, HighPeak Energy may be more limited in assessing future drilling results in these areas. If its drilling results are less than anticipated, the return on investment for a particular project may not be as attractive as anticipated, and HighPeak Energy could incur material write downs of unevaluated properties and the value of undeveloped acreage could decline in the future.</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example, potential complications associated with the new drilling and completion techniques that HighPeak Energy intends to utilize may cause HighPeak Energy to be unable to develop its assets in line with current expectations and projections. Further, recent well results may not be indicative of HighPeak Energy’s future well results.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Drilling for and producing crude oil and natural gas are high risk activities with many uncertainties that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or results of operations.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HighPeak Energy’s future financial condition and results of operations will depend on the success of its development, production and acquisition activities, which are subject to numerous risks beyond its control, including the risk that drilling will not result in commercially viable crude oil and natural gas production.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HighPeak Energy’s decisions to develop or purchase prospects or properties will depend, in part, on the evaluation of data obtained through geophysical and geological analyses, production data and engineering studies, which are often inconclusive or subject to varying interpretations. For a discussion of the uncertainty involved in these processes, see “—Reserve estimates depend on many assumptions that may turn out to be inaccurate. Any material inaccuracies in reserve estimates or underlying assumptions will materially affect the quantities and present value of reserves.” In addition, the cost of drilling, completing and operating wells will often be uncertain.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Further, many factors may curtail, delay or cancel scheduled drilling operations, including:</w:t>
      </w:r>
    </w:p>
    <w:p>
      <w:pPr>
        <w:spacing w:after="0" w:line="225" w:lineRule="exact"/>
        <w:rPr>
          <w:sz w:val="20"/>
          <w:szCs w:val="20"/>
          <w:color w:val="auto"/>
        </w:rPr>
      </w:pPr>
    </w:p>
    <w:p>
      <w:pPr>
        <w:ind w:left="660" w:right="44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imposed by, or resulting from, compliance with regulatory requirements, including the IRA 2022, limitations on wastewater disposal, emission of GHGs and hydraulic fracturing;</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irregularities in geological formations;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obtaining equipment and qualified personnel or in obtaining water for hydraulic fracturing activities;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accidents or other unexpected operational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gathering facilities or delays in construction of gathering facilities;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capacity on interconnecting transmission pipelines;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water and electricity;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compliance with environmental regulations;</w:t>
      </w:r>
    </w:p>
    <w:p>
      <w:pPr>
        <w:spacing w:after="0" w:line="36"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crude oil and natural gas leaks, crude oil spills, pipeline and tank ruptures and unauthorized discharges of brine, well stimulation and completion fluids, toxic gases or other pollutants into the surface and subsurface environment;</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crude oil and natural gas prices;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financing on acceptable terms;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issues;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limitations in HighPeak Energy’s industry.</w:t>
      </w:r>
    </w:p>
    <w:p>
      <w:pPr>
        <w:spacing w:after="0" w:line="24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HighPeak Energy has entered into and may in the future enter into certain crude oil, natural gas or produced water gathering or transportation agreements, natural gas processing agreements, NGL transportation agreements, produced water disposal agreements or similar commercial arrangements with midstream companies and contracts to provide sand or other drilling and completion or operating supplies. Certain of these agreements require HighPeak Energy to meet minimum volume commitments, often regardless of actual throughput.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2024, the Company entered into an amended and restated crude oil marketing contract with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2024, the Company has delivered approximately 31,196 Bopd under the contract. The remaining monetary commitment as of December 31, 2024, if the Company never delivers any additional volumes under the agreement, is approximately $130.3 million.</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party to an amended agreement whereby it has agreed to purchase at least 750,000 tons of frac sand over a fifteen-month period beginning April 1, 2024. The Company has taken deliveries of approximately 547,000 tons of sand through December 31, 2024, leaving a commitment of approximately 203,000 tons remaining. There are stipulations in the agreement that reduce this commitment should we experience a downturn in crude oil prices. Generally, if the Company never takes delivery of any additional frac sand under the agreement, the monetary commitment that remains as of December 31, 2024 is approximately $5.2 million.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HighPeak Energy has insufficient production to meet the minimum volume commitments under any of these agreements or if HighPeak Energy fails to take delivery of supplies which it committed to, HighPeak Energy’s cash flow from operations will be reduced, which may require HighPeak Energy to reduce or delay its planned investments and capital expenditures, or seek alternative means of financing, all of which may have a material adverse effect on HighPeak Energy’s results of operation.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 expose HighPeak Energy to counterparty credit risk and may become more costly or unavailable.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HighPeak is required under the Term Loan Credit Agreement and Senior Credit Facility Agreement to hedge certain quantities of its projected crude oil production. Hedging transactions expose HighPeak Energy to risk of financial loss if a counterparty fails to perform under a derivative contract. Disruptions in the financial markets could lead to sudden decreases in a counterparty’s liquidity, which could make them unable to perform under the terms of the derivative contract and HighPeak Energy may not be able to realize the benefit of the derivative contract. Derivative instruments also expose HighPeak Energy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use of derivatives may, in some cases, require the posting of cash collateral with counterparties. If HighPeak Energy enters into derivative instruments that require cash collateral and commodity prices or interest rates change in an adverse manner, our cash otherwise available for use in operations would be reduced which could limit HighPeak Energy’s ability to make future capital expenditures and make payments on indebtedness. Future collateral requirements will depend on arrangements with counterparties, highly volatile crude oil, NGL and natural gas prices and interest rates.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derivative arrangements could limit the benefits to be received from increases in the prices for natural gas, NGL and crude oil, which could also have an adverse effect on HighPeak Energy’s financial condition. If natural gas, NGL or crude oil prices upon settlement of derivative swap contracts exceed the price at which commodities have been hedged, HighPeak Energy will be obligated to make cash payments to counterparties, which could, in certain circumstances, be significant.</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derivatives legislation could have an adverse effect on our ability to use derivative instruments to reduce the effect of commodity price, interest rate and other risks associated with our businesses.</w:t>
      </w:r>
    </w:p>
    <w:p>
      <w:pPr>
        <w:spacing w:after="0" w:line="118"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18"/>
          <w:szCs w:val="18"/>
          <w:color w:val="auto"/>
        </w:rPr>
        <w:t>On July 21, 2010, new comprehensive financial reform legislation, known as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“Act”), was enacted that establishes federal oversight and regulation of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derivatives market and entities, such as us, that participate in that market. The Act requires the CFTC, the SEC and other regulators to promulgate rules and regulations implementing the new legislation.</w:t>
      </w:r>
    </w:p>
    <w:p>
      <w:pPr>
        <w:spacing w:after="0" w:line="198"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exchange trading. To the extent we engage in such transactions or transactions that become subject to such rules in the future, we will be required to comply or take steps to qualify for an exemption to such requirements. Although we expect to qualify for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to the mandatory clearing requirements for swaps entered to hedge our commercial risks, the application of the mandatory clearing and trade execution requirements to other market participants, such as swap dealers, may change the cost and availability of the swaps that we use for hedging. If our swaps do not qualify for the commercial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or the cost of entering into uncleared swaps becomes prohibitive, we may be required to clear such transactions. The ultimate effect of the rules and any additional regulations on our businesses is uncertain at this time.</w:t>
      </w:r>
    </w:p>
    <w:p>
      <w:pPr>
        <w:spacing w:after="0" w:line="20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addition, the Act requires that regulators establish margin rules for uncleared swaps. Banking regulators and the CFTC have adopted final rules establishing minimum margin requirements for uncleared swaps. Although we expect to qualify for the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from such margin requirements for swaps entered into to hedge our commercial risks, the application of such requirements to other market participants, such as swap dealers, may change the cost and availability of the swaps that we use for hedging. If any of our swaps do not qualify for the commercial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 exception, posting of initial or variation margin could impact our liquidity and reduce cash available for capital expenditures, therefore reducing our ability to execute hedges to reduce risk and protect cash flows.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CFTC has finalized rules that place limits on positions in certain core futures and equivalent swaps contracts for, or linked to, certain physical commodities, subject to exceptions for certain bona fide hedging transactions. We currently do not expect such rules will have a material impact on us. The CFTC has also adopted a final rule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2025 or the effective date of any codifying rulemaking—from various conditions and requirements in the final aggregation rules. With the implementation of the final aggregation rules and upon the effectiveness of the final CFTC position limits rule, our ability to execute our hedging strategies described above could be limited.</w:t>
      </w:r>
    </w:p>
    <w:p>
      <w:pPr>
        <w:spacing w:after="0" w:line="1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full impact of the Act and related regulatory requirements upon our businesses will not be known until all of the related regulations are implemented. The Act and any new regulations could significantly increase the cost of derivative contracts (including from swap recordkeeping and reporting requirements and through requirements to post collateral which could adversely affect our available liquidity), materially alter the terms of derivative contracts, reduce the availability of some derivatives to protect against risks we encounter and reduce our ability to monetize or restructure our existing derivative contracts. If we reduce our use of derivatives as a result of the Act and regulations, our results of operations may become more volatile and our cash flows may be less predictable, which could adversely affect our ability to plan for and fund capital expenditures. Any of these consequences could have material adverse effect on our financial condition, results of operations and cash available for distribution.</w:t>
      </w:r>
    </w:p>
    <w:p>
      <w:pPr>
        <w:spacing w:after="0" w:line="148" w:lineRule="exact"/>
        <w:rPr>
          <w:sz w:val="20"/>
          <w:szCs w:val="20"/>
          <w:color w:val="auto"/>
        </w:rPr>
      </w:pPr>
    </w:p>
    <w:p>
      <w:pPr>
        <w:ind w:right="360"/>
        <w:spacing w:after="0" w:line="245" w:lineRule="exact"/>
        <w:rPr>
          <w:sz w:val="20"/>
          <w:szCs w:val="20"/>
          <w:color w:val="auto"/>
        </w:rPr>
      </w:pPr>
      <w:r>
        <w:rPr>
          <w:rFonts w:ascii="Times New Roman" w:cs="Times New Roman" w:eastAsia="Times New Roman" w:hAnsi="Times New Roman"/>
          <w:sz w:val="18"/>
          <w:szCs w:val="18"/>
          <w:color w:val="auto"/>
        </w:rPr>
        <w:t>In addition, the European Union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jurisdictions are implementing regulations with respect to the derivatives market. To the extent we transact with counterparties in foreign jurisdictions, we may become subject to such regulations.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standardized measure of estimated reserves may not be an accurate estimate of the current fair value of estimated crude oil and natural gas reserves.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Standardized measure is a reporting convention that provides a common basis for comparing crude oil and natural gas companies subject to the rules and regulations of the SEC. Standardized measure requires historical twelve-month pricing as required by the SEC as well as operating and development costs prevailing as of the date of computation. For example, our reserve volumes and PV-10 as disclosed in this Annual Report are based on assumed commodity prices of $75.48 per Bbl of crude oil and NGL and $2.130 per MMBtu of natural gas as of December 31, 2024, which are higher for crude oil and lower for natural gas than December 31, 2024 front-month forward pricing of $71.72 per Bbl of crude oil and $3.633 per Mcf of natural gas. Consequently, it may not reflect the prices ordinarily received or that will be received for crude oil and natural gas production because of varying market conditions, nor may it reflect the actual costs that will be required to produce or develop the crude oil and natural gas properties. As a result, estimates included in this Annual Report of future net cash flow may be materially different from the future net cash flows that are ultimately received. Therefore, the standardized measure of estimated reserves included in this Annual Report should not be construed as an accurate estimate of the current fair value of such proved reserves. Accordingly, you are cautioned not to place undue weight on our reserve volumes or PV-10 based on such pricing when evaluating our financial condition or an investment in our securities.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not assume the present value of future net revenues from the reserves presented in this Annual Report is the current market value of the estimated reserves of our assets. Actual future prices and costs may differ materially from those used in the present value estimate. If spot prices are below such calculated amounts, using more recent prices in estimating proved reserves may result in a reduction in proved reserve volumes due to economic limits.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HighPeak Energy enters into agreements to effect certain acquisitions, whereby it acquires crude oil and natural gas producing properties and undeveloped acreage. To the extent these acquisitions include producing crude oil and natural gas properties, acquiring crude oil and natural gas properties requires HighPeak Energy to assess reservoir and infrastructure characteristics, including such assets and/or other recoverable reserves, future crude oil and natural gas prices and their applicable differentials, development and operating costs, and potential liabilities, including environmental liabilities. In connection with these assessments, HighPeak Energy performs a review of the subject properties that it believes to be generally consistent with industry practices. Such assessments are inexact and inherently uncertain. For these reasons, the properties that HighPeak Energy acquires, or may acquire in the future, may not produce as expected. In connection with the assessments, HighPeak Energy performs a review of the subject properties, but such a review may not reveal all existing or potential problems. In the course of due diligence, HighPeak Energy may not review every well, pipeline or associated facility. HighPeak Energy cannot necessarily observe structural and environmental problems, such as groundwater contamination, when a review is performed. HighPeak Energy may be unable to obtain contractual indemnities from the seller for liabilities created prior to HighPeak Energy’s purchase of the property. HighPeak Energy may be required to assume the risk of the physical condition of the properties in addition to the risk that the properties may not perform in accordance with its expectations. Additionally, the success of future acquisitions will depend on HighPeak Energy’s ability to integrate effectively the then-acquired business into its then-existing operations. The process of integrating acquired assets may involve unforeseen difficulties and may require a disproportionate amount of managerial and financial resources. HighPeak Energy’s failure to achieve consolidation savings, to incorporate the additionally acquired assets into its then-existing operations successfully, or to minimize any unforeseen operational difficulties, or the failure to acquire future assets at all, could have a material adverse effect on its financial condition and results of operations.</w:t>
      </w:r>
    </w:p>
    <w:p>
      <w:pPr>
        <w:spacing w:after="0" w:line="191"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is not the operator on all its acreage or drilling locations, and, therefore, HighPeak Energy is not able to control the timing of exploration or development efforts, associated costs or the rate of production of any non-operated assets, and could be liable for certain financial obligations of the operators or any of its contractors, to the extent such operator or contractor is unable to satisfy such obligations.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HighPeak Energy is not the operator on all its acreage or drilling locations, and there is no assurance that it will operate all HighPeak Energy’s other future drilling locations. As a result, HighPeak Energy will have limited ability to exercise influence over the operations of the drilling locations operated by its partners and there is the risk that HighPeak Energy’s partners may at any time have economic, business or legal interests or goals that are inconsistent with ours. Furthermore, the success and timing of development activities operated by its partners will depend on several factors that will be largely outside of HighPeak Energy’s control, including:</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expertise and financial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participants in drilling wells;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technology;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production of reserves, if 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right="120"/>
        <w:spacing w:after="0" w:line="255" w:lineRule="auto"/>
        <w:rPr>
          <w:sz w:val="20"/>
          <w:szCs w:val="20"/>
          <w:color w:val="auto"/>
        </w:rPr>
      </w:pPr>
      <w:r>
        <w:rPr>
          <w:rFonts w:ascii="Times New Roman" w:cs="Times New Roman" w:eastAsia="Times New Roman" w:hAnsi="Times New Roman"/>
          <w:sz w:val="18"/>
          <w:szCs w:val="18"/>
          <w:color w:val="auto"/>
        </w:rPr>
        <w:t>This limited ability to exercise control over the operations and associated costs of some of HighPeak Energy’s drilling locations could prevent the realization of targeted returns on capital in drilling or acquisition activities. Further, HighPeak Energy may be liable for certain financial obligations of the operator of a well in which it owns a working interest to the extent such operator becomes insolvent and cannot satisfy such obligations. Similarly, HighPeak Energy may be liable for certain obligations of contractors to the extent such contractor becomes insolvent and cannot satisfy their obligations. The satisfaction of such obligations could have a material adverse effect on HighPeak Energy’s financial condition. For more information about certain of HighPeak Energy’s assets, see the sections entitled “Items 1 and 2. Business and Properties” and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may negatively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ability to conduct drilling activities.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Adverse weather conditions may cause, among other things, increases in the costs of, and delays in, drilling or completing new wells, power failures, temporary shut-in of production and difficulties in the transportation of crude oil, NGL and natural gas. Any decreases in production due to poor weather conditions will have an adverse effect on revenues, which will in turn negatively affect cash flow from operations. Climate change may also increase the frequency or intensity of such adverse weather conditions; for more information, see our risk factor titled “The operations of HighPeak Energy are subject to a variety of risks arising from climate change.”</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are substantially dependent on the availability of frac sand and water. Restrictions on its ability to obtain frac sand and water may have an adverse effect on its financial condition, results of operations and cash flows.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Water and sand are an essential component of crude oil and natural gas production during the hydraulic fracturing process, and to a lesser extent, drilling operations. Drought conditions have persisted in the areas where the Company’s assets are located in past years. Such drought conditions can lead governmental authorities to restrict the use of water, subject to their jurisdiction, for hydraulic fracturing to protect local water supplies. Although HighPeak Energy may enter into a long-term contract for the supply of water, it currently procures local water for drilling on a well-to-well basis and currently recycles a significant portion of its produced water for completion operations. If HighPeak Energy is unable to obtain water to use in operations, it may need to be obtained from non-local sources and transported to drilling sites, resulting in increased costs, or HighPeak Energy may be unable to economically produce crude oil and natural gas, which could have a material and adverse effect on its financial condition,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assets are located in the northeastern Midland Basin, making HighPeak Energy vulnerable to risks associated with operating in a limited geographic area.</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HighPeak Energy’s producing properties are geographically concentrated in the northeastern Midland Basin. As a result, HighPeak Energy may be disproportionately exposed to various factors, including, among others: (i) the impact of regional supply and demand factors, (ii) delays or interruptions of production from wells in such areas caused by governmental regulation, (iii) processing or transportation capacity constraints, (iv) market limitations, (v) availability of equipment and personnel, (vi) water shortages or other drought related conditions or (vii) interruption of the processing or transportation of crude oil, NGL or natural gas. The concentration of the Company’s assets in a limited geographic area also increases its exposure to changes in local laws and regulations, certain lease stipulations designed to protect wildlife and unexpected events that may occur in the regions such as natural disasters, adverse weather, seismic events, industrial accidents or labor difficulties. Any one of these factors has the potential to cause producing wells to be shut-in, delay operations, decrease cash flows, increase operating and capital costs and prevent development of lease inventory before expirations. Any of the risks described above could have a material adverse effect on HighPeak Energy’s business, financial condition, results of operations and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incur losses as a result of title defects in the properties in which it invests.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existence of a material title deficiency can render a lease worthless and adversely affect HighPeak Energy’s results of operations and financial condition. While HighPeak Energy typically obtains title opinions prior to commencing drilling operations on a lease or in a unit, the failure of title may not be discovered until after a well is drilled, in which case HighPeak Energy may lose the lease and the right to produce all or a portion of the minerals under the property. Additionally, if an examination of the title history of a property reveals that a crude oil or natural gas lease or other developed right has been purchased in error from a person who is not the owner of the mineral interest desired, HighPeak Energy’s interest would substantially decline in value. In such cases, the amount paid for such crude oil or natural gas lease or leases would be lost.</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estimated PUDs may take longer and may require higher levels of capital expenditures than anticipated. Therefore, estimated PUDs may not be ultimately developed or produced.</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Company’s assets contained 90,879 MBoe of proved undeveloped reserves, or PUDs, consisting of 69,639 MBbls of crude oil, 11,365 MBbls of NGL and 59,252 MMcf of natural gas. Development of these proved undeveloped reserves may take longer and require higher levels of capital expenditures than anticipated. Estimated future development costs relating to the development of such PUDs at December 31, 2024 are approximately $1.4 billion over the next five (5) years. HighPeak Energy’s ability to fund these expenditures is subject to several risks. See “—HighPeak Energy’s development projects and acquisitions will require substantial capital expenditures. HighPeak Energy may be unable to obtain required capital or financing on satisfactory terms, which could reduce its ability to access or increase production and reserves.” Delays in the development of reserves, increases in costs to drill and develop such reserves or decreases in commodity prices will reduce the value of the estimated PUDs and future net revenues estimated for such reserves and may result in some projects becoming uneconomic. In addition, delays in the development of reserves could cause HighPeak Energy to have to reclassify PUDs as unproved reserves. Furthermore, there is no certainty that HighPeak Energy will be able to convert PUDs to developed reserves or that undeveloped reserves will be economically viable or technically feasible to produce.</w:t>
      </w:r>
    </w:p>
    <w:p>
      <w:pPr>
        <w:spacing w:after="0" w:line="194"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Further, SEC rules require that, subject to limited exceptions, PUDs may only be booked if they relate to wells scheduled to be drilled within five years after the date of booking. This requirement may limit HighPeak Energy’s ability to book additional PUDs as it pursues its future drilling programs. As a result, HighPeak Energy may be required to write-down its PUDs if it does not drill those wells within the required timeframe. If actual reserves prove to be less than current reserve estimates, or if HighPeak Energy is required to write-down some of its PUDs, such reductions could have a material adverse effect on HighPeak Energy’s financial condition, results of operations and future cash flows.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HighPeak Energy replaces its reserves with new reserves and develops those new reserves, its reserves and production will decline, which would adversely affect future cash flows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Producing crude oil and natural gas reservoirs generally are characterized by declining production rates that vary depending upon reservoir characteristics and other factors. Unless HighPeak Energy conducts successful ongoing exploration and development activities or continually acquires properties containing proved reserves, proved reserves will decline as those reserves are produced. HighPeak Energy’s future reserves and production, and therefore future cash flows and results of operations, are highly dependent on HighPeak Energy’s success in efficiently developing current reserves and economically finding or acquiring additional recoverable reserves. HighPeak Energy may not be able to develop, find or acquire sufficient additional reserves to replace future production. If HighPeak Energy is unable to replace such production, the value of its reserves will decrease, and its business, financial condition and results of operations would be materially and adversely affected.</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depends upon a small number of significant purchasers for the sale of most of its crude oil, NGL and natural gas production. The loss of one or more of such purchasers could, among other factors, limit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access to suitable markets for the crude oil, NGL and natural gas it produces.</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HighPeak Energy expects to sell its production to a relatively small number of customers, as is customary in the crude oil and natural gas business. For the years ended December 31, 2024 and 2023, there were two purchasers that accounted for approximately 94% and 96% of our revenue, respectively (one at approximately 76% and 82%, respectively, and one at approximately 18% and 14%, respectively), and for the year ended December 31, 2022, there was one purchaser that accounted for approximately 88% of our revenue. No other purchaser accounted for 10% or more of such revenues during such period. The loss of any such greater than 10% purchaser could adversely affect HighPeak Energy’s revenues in the short term. See the section entitled “Items 1 and</w:t>
      </w:r>
    </w:p>
    <w:p>
      <w:pPr>
        <w:spacing w:after="0" w:line="3" w:lineRule="exact"/>
        <w:rPr>
          <w:sz w:val="20"/>
          <w:szCs w:val="20"/>
          <w:color w:val="auto"/>
        </w:rPr>
      </w:pPr>
    </w:p>
    <w:p>
      <w:pPr>
        <w:ind w:right="180" w:firstLine="8"/>
        <w:spacing w:after="0" w:line="255" w:lineRule="auto"/>
        <w:tabs>
          <w:tab w:leader="none" w:pos="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Properties—Operations—Marketing and Customers” for additional information. HighPeak Energy expects to depend upon these or other significant purchasers for the sale of most of its crude oil and natural gas production. HighPeak Energy cannot ensure that it will continue to have ready access to suitable markets for its future crude oil and natural gas production.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9" w:name="page50"/>
    <w:bookmarkEnd w:id="49"/>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may be exposed to significant delays, costs and liabilities as a result of environmental and occupational health and safety requirements applicable to its business activities.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HighPeak Energy’s operations will be subject to stringent and complex federal, state and local laws and regulations governing the discharge of materials into the environment, the occupational health and safety aspects of its operations or otherwise relating to the protection of the environment and natural resources. These laws and regulations may impose numerous obligations applicable to HighPeak Energy’s operations, including the acquisition of a permit or other approval before conducting regulated activities; the restriction of types, quantities and concentration of materials that can be released into the environment; the limitation or prohibition of drilling activities on certain lands lying within wilderness, wetlands, seismically active areas and other protected areas; the application of specific health and safety criteria addressing worker protection; and the imposition of substantial liabilities for pollution resulting from HighPeak Energy’s operations. Numerous governmental authorities, such as the EPA and analogous state agencies, have the power to enforce compliance with these laws and regulations and the permits issued under them. Such enforcement actions often involve difficult and costly compliance measures or corrective actions. Failure to comply with these laws and regulations may result in the assessment of sanctions, including administrative, civil or criminal penalties, natural resource damages, the imposition of investigatory or remedial obligations, and the issuance of orders limiting or prohibiting some or all HighPeak Energy’s operations. In addition, HighPeak Energy may experience delays in obtaining, or be unable to obtain, required permits, which may delay or interrupt its operations and limit growth and revenue.</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environmental laws impose strict liability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showing of “fault” is required) as well as joint and several liability for costs required to remediate and restore sites where hazardous substances, hydrocarbons or solid wastes have been stored or released. HighPeak Energy may be required to remediate contaminated properties owned or operated by it or facilities of third parties that received waste generated by operations regardless of whether such contamination resulted from the conduct of others or from consequences of its own actions that were in compliance with all applicable laws at the time those actions were taken. In connection with certain acquisitions, HighPeak Energy could acquire, or be required to provide indemnification against, environmental liabilities that could expose HighPeak Energy to material losses. In certain instances, citizen groups also have the ability to bring legal proceedings against HighPeak Energy if it is not in compliance with environmental laws, or to challenge its ability to receive environmental permits needed to operate. In addition, claims for damages to persons or property, including natural resources, may result from the environmental, health and safety impacts of its operations. HighPeak Energy’s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example, HighPeak Energy may incur significant costs and liabilities as a result of environmental requirements applicable to the operation of its wells, gathering systems and other facilities. These costs and liabilities could arise under a wide range of federal, state and local environmental laws and regulations, including the following federal laws and their state counterparts, as amended from time to time, among others:</w:t>
      </w:r>
    </w:p>
    <w:p>
      <w:pPr>
        <w:spacing w:after="0" w:line="176" w:lineRule="exact"/>
        <w:rPr>
          <w:sz w:val="20"/>
          <w:szCs w:val="20"/>
          <w:color w:val="auto"/>
        </w:rPr>
      </w:pPr>
    </w:p>
    <w:p>
      <w:pPr>
        <w:ind w:left="660" w:right="840" w:hanging="328"/>
        <w:spacing w:after="0" w:line="276"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CAA, which restricts the emission of air pollutants from many sources, imposes various pre-construction, monitoring and reporting requirements and is relied upon by the EPA as authority for adopting climate change regulatory initiatives relating to GHG emissions;</w:t>
      </w:r>
    </w:p>
    <w:p>
      <w:pPr>
        <w:ind w:left="660" w:right="10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CWA, which regulates discharges of pollutants from facilities and sources to federal waters and establishes the extent to which waterways are subject to federal jurisdiction and rulemaking as protected waters of the United States;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OPA, which imposes liabilities for removal costs and damages arising from a crude oil spill into waters of the United States;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0" w:name="page51"/>
    <w:bookmarkEnd w:id="50"/>
    <w:p>
      <w:pPr>
        <w:ind w:left="660" w:right="44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SDWA, which ensures the quality of the nations’ public drinking water through adoption of drinking water standards and control over the subsurface injection of fluids into belowground formations;</w:t>
      </w:r>
    </w:p>
    <w:p>
      <w:pPr>
        <w:ind w:left="660" w:right="24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RCRA, which imposes requirements for the generation, treatment, storage, transport, disposal and cleanup of non-hazardous, hazardous and solid wastes;</w:t>
      </w:r>
    </w:p>
    <w:p>
      <w:pPr>
        <w:ind w:left="660" w:right="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CERCLA, which imposes liability on generators, transporters and those who arrange for transportation or disposal of hazardous substances at sites where hazardous substance releases have occurred or are threatening to occur, as well as imposes liability on present and certain past owners and operations of sites where hazardous substance releases have occurred or are threatening to occur;</w:t>
      </w:r>
    </w:p>
    <w:p>
      <w:pPr>
        <w:spacing w:after="0" w:line="1" w:lineRule="exact"/>
        <w:rPr>
          <w:rFonts w:ascii="Times New Roman" w:cs="Times New Roman" w:eastAsia="Times New Roman" w:hAnsi="Times New Roman"/>
          <w:sz w:val="18"/>
          <w:szCs w:val="18"/>
          <w:color w:val="auto"/>
        </w:rPr>
      </w:pPr>
    </w:p>
    <w:p>
      <w:pPr>
        <w:jc w:val="both"/>
        <w:ind w:left="660" w:right="1000" w:hanging="328"/>
        <w:spacing w:after="0" w:line="265"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ESA, which restricts activities that may affect federally identified endangered and threatened species or their habitats through the implementation of operating limitations or restrictions or a temporary, seasonal or permanent ban on operations in affected areas; and</w:t>
      </w:r>
    </w:p>
    <w:p>
      <w:pPr>
        <w:ind w:left="660" w:right="400" w:hanging="328"/>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OSHA, under which federal Occupational Safety and Health Administration and similar state agencies have promulgated regulations limiting exposures to hazardous substances in the workplace and imposing various worker safety requirements.</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Failure to comply with these laws and regulations may result in the assessment of sanctions, including administrative, civil and criminal penalties, the imposition of investigatory, remedial and corrective actions, the incurrence of capital expenditures, the occurrence of delays in the permitting, development or expansion of projects and the issuance of orders enjoining some or all HighPeak Energy’s future operations in a particular area. It is not uncommon for neighboring landowners, employees and other third parties to file claims for personal injury and property damage allegedly caused by the release of hazardous substances, wastes or other materials into the environment. While from time to time there have been periods of deregulation under certain U.S. presidential administrations, the trend in environmental regulation is to place more restrictions and limitations on activities that may affect the environment and more stringent laws and regulations may be adopted in the future.</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To the extent HighPeak Energy’s operations are affected by national, regional, local and other laws, and to the extent such laws are enacted or other governmental action is taken that restricts drilling or imposes more stringent and costly operating, waste handling, disposal and cleanup requirements, HighPeak Energy’s business, prospects, financial condition or results of operations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incur increasing attention to ESG matters that may impact its business.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Businesses across all industries are facing increasing scrutiny from investors, customers, employees, regulatory bodies and other stakeholders related to their ESG practices. Businesses that do not adapt to or comply with such stakeholder expectations and standards, which are evolving, or which are perceived to have not responded appropriately to the growing concern for ESG related issues, regardless of whether there is a legal requirement to do so, may suffer from reputational damage and the business, financial condition and/or stock price of such business entity could be adversely affected. Increasing attention to climate change, increasing societal expectations on businesses to address climate change, changes in regulation relating to climate change, and potential consumer use of substitutes to energy commodities may result in increased costs, reduced demand for HighPeak Energy’s hydrocarbon products, reduced profits, increased investigations and litigation and negative impacts on its stock price and access to capital markets. Increasing attention to climate change, for example, may result in demand shifts for HighPeak Energy’s hydrocarbon products and additional governmental investigations and private litigation.</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while we may create and publish voluntary disclosures regarding ESG matters from time to time, certain statements in those voluntary disclosures may be based on expectations and assumptions or hypothetical scenarios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approach to identifying, measuring and reporting on many ESG matters. We may also announce participation in, or certification under, various third-party ESG frameworks in an attempt to improve our ESG profile, but such participation or certification may be costly and may not achieve the desired results. Additionally, while we may announce various voluntary ESG targets, such targets are often aspirational. We may not be able to meet such targets in the manner or on such a timeline as initially contemplated, including but not limited to as a result of unforeseen costs or technical difficulties associated with achieving such results. To the extent we meet such targets, it may be achieved through various contractual arrangements, including the purchase of various credits or offsets that may be deemed to mitigate our ESG impact instead of actual changes in our business operations. Some of these arrangements may receive scrutiny from certain constituencies. Also, despite these aspirational goals and any other actions taken, we may receive pressure from investors, lenders, or other groups to adopt more aggressive climate or other ESG-related goals, but we cannot guarantee that we will be able to pursue or implement such goals because of potential costs or technical or operational obstacles.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or initiatives with respect to ESG matters that we may pursue or assert are increasingly subject to heightened scrutiny from the public and governmental authorities, as well as other parties. For example, the SEC has recently taken enforcement action against companies for ESG-related misconduct, including alleged “greenwashing,”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process of conveying misleading information or making false claims that overstate potential ESG benefits). Certain regulators, such as the SEC and various state agencies, as well as non-governmental organizations and other private actors have filed lawsuits under various securities and consumer protection laws alleging that certain ESG statements, goals or standards were misleading, false or otherwise deceptive. Certain social and inclusion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More recent political developments could mean that the Company faces increasing criticism or litigation risks from certain “anti-ESG” parties, including various government agencies. Such sentiment may focus on the Company’s environmental or social commitments (such as reducing GHG emissions) or its pursuit of certain employment practices or social initiatives that are alleged to be political or polarizing in nature or are alleged to violate laws based, in part, on changing priorities of, or interpretations by, federal agencies or state governments. Consideration of ESG-related factors in the Company’s decision-making could be subject to increasing scrutiny and objection from such anti-ESG parties. As a result, the Company may be subject to pressure in the media or through other means, such as governmental investigations, enforcement actions, or other proceedings, all of which could adversely affect our reputation, business, financial performance, market access and growth. Accordingly, there may be increased costs related to reviewing, implementing and managing such policies, as well as compliance and litigation risks based both on positions we do or do not take, or work we do or do not perform.</w:t>
      </w:r>
    </w:p>
    <w:p>
      <w:pPr>
        <w:spacing w:after="0" w:line="19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 addition, organizations that provided information to investors on ESG and related matters have developed rating processes for evaluating business entities on their approach to ESG matters. Currently, there are no universal standards for such scores or ratings, but the importance of sustainability evaluations has become more broadly accepted by investors and shareholders. Such ratings are used by some investors to inform their investment and voting decisions. Additionally, certain investors use these scores to benchmark businesses against their peers and if a business entity is perceived as lagging, these investors may engage with such entities to require improved ESG disclosure or performance. Moreover, certain members of the broader investment community may consider a business entity’s sustainability score as a reputational or other factor in making an investment decision. Consequently, a low sustainability score could result in exclusion of HighPeak Energy’s stock from consideration by certain investment funds, engagement</w:t>
      </w:r>
    </w:p>
    <w:p>
      <w:pPr>
        <w:sectPr>
          <w:pgSz w:w="11900" w:h="16838" w:orient="portrait"/>
          <w:cols w:equalWidth="0" w:num="1">
            <w:col w:w="11240"/>
          </w:cols>
          <w:pgMar w:left="320" w:top="580" w:right="339" w:bottom="0" w:gutter="0" w:footer="0" w:header="0"/>
        </w:sectPr>
      </w:pPr>
    </w:p>
    <w:bookmarkStart w:id="51" w:name="page52"/>
    <w:bookmarkEnd w:id="51"/>
    <w:p>
      <w:pPr>
        <w:spacing w:after="0" w:line="266" w:lineRule="auto"/>
        <w:rPr>
          <w:sz w:val="20"/>
          <w:szCs w:val="20"/>
          <w:color w:val="auto"/>
        </w:rPr>
      </w:pPr>
      <w:r>
        <w:rPr>
          <w:rFonts w:ascii="Times New Roman" w:cs="Times New Roman" w:eastAsia="Times New Roman" w:hAnsi="Times New Roman"/>
          <w:sz w:val="18"/>
          <w:szCs w:val="18"/>
          <w:color w:val="auto"/>
        </w:rPr>
        <w:t>by investors seeking to improve such scores and a negative perception of HighPeak Energy’s operation by certain investors. Additionally, to the extent ESG matters negatively impact our reputation, we may not be able to compete as effectively to recruit or retain employees, which may adversely affect our operations. ESG matters may also impact our suppliers and customers, which may ultimately have adverse impacts on our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ESG efforts related to employment practices and social initiatives are the subject of scrutiny by stakeholders, regulators and other third-parties. The complex regulatory and legal frameworks applicable to such initiatives continue to evolve. We cannot be certain of the impact of such regulatory, legal and other developments on our business. To the extent any enforcement actions or other litigation is brought against us as a result of emerging viewpoints and legal interpretations, our business, financial condition and access to financing may be materially and adversely affected.</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incur substantial losses and be subject to substantial liability claims as a result of operations. Additionally, HighPeak Energy may not be insured for, or insurance may be inadequate to protect HighPeak Energy against, these risks.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HighPeak Energy will not be insured against all risks. Losses and liabilities arising from uninsured and underinsured events could materially and adversely affect its business, financial condition or results of operations.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HighPeak Energy’s development activities will be subject to all the operating risks associated with drilling for and producing crude oil and natural gas, including the possibility of:</w:t>
      </w:r>
    </w:p>
    <w:p>
      <w:pPr>
        <w:spacing w:after="0" w:line="162" w:lineRule="exact"/>
        <w:rPr>
          <w:sz w:val="20"/>
          <w:szCs w:val="20"/>
          <w:color w:val="auto"/>
        </w:rPr>
      </w:pPr>
    </w:p>
    <w:p>
      <w:pPr>
        <w:ind w:left="660" w:right="22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uncontrollable releases of crude oil, natural gas, brine, well fluids, toxic gas or other pollution into the environment, including groundwater, air and shoreline contamination, damage to natural resources or wildlife, or the presence of endangered or threatened species;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abnormally pressured formations;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difficulties, such as stuck oilfield drilling and service tools and casing collapse;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and ruptures of pipelines;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 and death;</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targeting crude oil and natural gas related facilities and infrastructure.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adversely affect HighPeak Energy’s ability to conduct operations or result in substantial loss as a result of claims for:</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or loss of life;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and destruction of property, natural resources and equipment;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environmental or natural resource damage;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and penalties;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remediation costs.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HighPeak Energy may elect not to obtain insurance for any or all of these risks if it believes that the cost of available insurance is excessive relative to the risks presented. In addition, pollution and environmental risks generally are not fully insurable. The occurrence of an event that is not fully covered by insurance could have a material adverse effect 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that HighPeak Energy decides to drill may not yield crude oil or natural gas in commercially viable quantities.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Properties that HighPeak Energy decides to drill that do not yield crude oil or natural gas in commercially viable quantities will adversely affect its results of operations and financial condition. There is no way to predict in advance of drilling and testing whether any particular prospect will yield crude oil or natural gas in sufficient quantities to recover drilling or completion costs or to be economically viable. The use of micro-seismic data and other technologies and the study of producing fields in the same area will not enable HighPeak Energy to know conclusively prior to drilling whether crude oil or natural gas will be present or, if present, whether crude oil or natural gas will be present in commercial quantities. HighPeak Energy cannot assure you that the analogies drawn from available data from other wells, more fully explored prospects or producing fields will be applicable to its drilling prospects. Further, HighPeak Energy’s drilling operations may be curtailed, delayed or cancelled as a result of numerous factors, including:</w:t>
      </w:r>
    </w:p>
    <w:p>
      <w:pPr>
        <w:spacing w:after="0" w:line="18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lost circulation in formations;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environmental and other governmental or contractual requirements, including the IRA 2022; and</w:t>
      </w:r>
    </w:p>
    <w:p>
      <w:pPr>
        <w:spacing w:after="0" w:line="36"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and shortages or delays in the availability of, electricity, supplies, materials, drilling or workover rigs, equipment and services.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3" w:name="page54"/>
    <w:bookmarkEnd w:id="53"/>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be unable to make additional attractive acquisitions or successfully integrate acquired businesses with its current assets, and any inability to do so may disrupt its business and hinder its ability to grow.</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HighPeak Energy may not be able to identify attractive acquisition opportunities that complement the Company’s assets or expand its business. In the event it identifies attractive acquisition opportunities, HighPeak Energy may not be able to complete the acquisition or do so on commercially acceptable terms. Competition for acquisitions may also increase the cost of, or cause HighPeak Energy to refrain from, completing acquisitions.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success of completed acquisitions will depend on HighPeak Energy’s ability to integrate effectively the acquired business into its then-existing operations. The process of integrating acquired businesses may involve unforeseen difficulties and may require a disproportionate amount of its managerial and financial resources. In addition, possible future acquisitions may be larger and for purchase prices significantly higher than those paid for earlier acquisitions. No assurance can be given that it will be able to identify additional suitable acquisition opportunities, negotiate acceptable terms, obtain financing for acquisitions on acceptable terms or successfully acquire identified targets. HighPeak Energy’s failure to achieve consolidation savings, to integrate the acquired businesses and assets, including those from the Hannathon and Alamo Acquisitions, into its then-existing operations successfully or to minimize any unforeseen operational difficulties could have a material adverse effect on its financial condition and results of operations.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the Term Loan Credit Agreement and Senior Credit Facility Agreement impose certain limitations on HighPeak Energy’s ability to enter into mergers or combination transactions and on HighPeak Energy’s and its restricted subsidiaries’ ability to incur certain indebtedness, which could indirectly limit its ability to acquire assets and businesses.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properties are subject to land use restrictions, which could limit the manner in which HighPeak Energy conducts business.</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Certain of HighPeak Energy’s properties are subject to land use restrictions, which could limit the manner in which HighPeak Energy conducts business. Such restrictions could affect, among other things, access to and the permissible uses of facilities as well as the manner in which HighPeak Energy produces crude oil and natural gas and may restrict or prohibit drilling in general. The costs incurred to comply with such restrictions may be significant, and HighPeak Energy may experience delays or curtailment in the pursuit of development activities and perhaps even be precluded from the drilling of wells.</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or high cost of drilling rigs, equipment, supplies, personnel, frac crews and oilfield services due to commodity price volatility or supply constraints as a result of the conflict in Ukraine, the Israel-Hamas conflict, elevated interest rates and associated policies of the Federal Reserve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execute its development plans within its budget and on a timely basis and consequently could materially and adversely affect our cash flows and results of operations.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demand for drilling rigs, pipe and other equipment and supplies, as well as for qualified and experienced field personnel to drill wells and conduct field operations, geologists, geophysicists, engineers and other professionals in the crude oil and natural gas industry, can fluctuate significantly, often in correlation with crude oil, NGL and natural gas prices, causing periodic shortages of equipment, supplies and needed personnel. The incoming U.S. presidential administration has signaled it will encourage increased domestic exploration and production activity, which could lead to a reduction in crude oil, NGL and natural gas prices. Additionally, supply constraints due to the conflict in Ukraine, the Israel-Hamas conflict, elevated interest rates and associated policies of the Federal Reserve has increased the cost of oilfield services. HighPeak Energy’s operations are concentrated in areas in which oilfield activity levels have previously increased rapidly. If that were to happen again, demand for drilling rigs, equipment, supplies and personnel may increase the costs for these services. Access to transportation, processing and refining facilities in these areas may become constrained resulting in higher costs and reduced access for those items. Historically, crude oil, NGL and natural gas prices have been volatile. For example, during the period from January 1, 2021 through December 31, 2024, the calendar month average NYMEX WTI crude oil price per Bbl ranged from a low of $52.10 to a high of $114.34, and the last trading day NYMEX natural gas price per MMBtu ranged from a low of $1.58 to a high of $9.35. To the extent commodity prices improve in the future, the demand for and prices of these goods and services are likely to increase and HighPeak Energy could encounter delays in or an inability to secure the personnel, equipment, power, services, resources and facilities access necessary for it to resume or increase HighPeak Energy’s development activities, which could result in production volumes being below its forecasted volumes. In addition, any such negative effect on production volumes, or significant increases in costs, could have a material adverse effect on cash flow and profitability. Furthermore, if it is unable to secure a sufficient number of drilling rigs at reasonable costs, HighPeak Energy may not be able to drill all its acreage before its leases expire.</w:t>
      </w:r>
    </w:p>
    <w:p>
      <w:pPr>
        <w:spacing w:after="0" w:line="1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could experience periods of higher costs if commodity prices rise and inflation may adversely affect our operating results. These increases in cost could reduce profitability, cash flow and ability to complete development activities as planned.</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including a continuation of inflation at the current rate, may have an adverse effect on HighPeak Energy’s operating results. This impact may be magnified to the extent that HighPeak Energy’s ability to participate in the commodity price increases is limited by its derivative activities, if 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IRA 2022 could accelerate the transition to a low carbon economy and could impose new costs on our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2022, President Biden signed the IRA 2022 into law. The IRA 2022 contains hundreds of billions in incentives for the development of renewable energy, clean hydrogen, clean fuels, electric vehicles and supporting infrastructure and carbon capture and sequestration, amongst other provisions. In addition, the IRA 2022 imposes the first ever federal fee on the emission of greenhouse gases through a methane emissions charge. The IRA 2022 amends the federal Clean Air Act to impose a fee on the emission of methane from sources required to report their GHG emissions to the EPA, including those sources in the onshore petroleum and natural gas production categories. The methane emissions charge began in calendar year 2024 at $900 per ton of methane, increases to $1,200 in 2025, and will be set at $1,500 for 2026 and each year after. Calculation of the fee is based on certain thresholds established in the IRA 2022. In addition, the multiple incentives offered for various clean energy industries referenced above could further accelerate the transition of the economy away from the use of fossil fuels towards lower- or zero-carbon emissions alternatives. We cannot predict whether, how, or when the incoming Trump Administration might take action to revise or repeal the methane emissions charge. Additionally, Congress may take actions to repeal or revise the IRA, including with respect to the methane emissions charge, which timing or outcome similarly cannot be predicted. To the extent the methane emissions charge is implemented as originally promulgated, it could decrease demand for crude oil and natural gas, increase our compliance and operating costs and consequently adversely affect our business.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fuel conservation measures, alternative fuel requirements and increasing consumer demand for alternatives to crude oil, NGL and natural gas could reduce demand for crude oil, NGL and natural gas. The IRA 2022 incentives discussed above could further accelerate the transition of our economy to alternatives to crude oil, NGL and natural gas. The impact of the changing demand for crude oil, NGL and natural gas may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be involved in legal proceedings that could result in substantial liabilities.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Like many crude oil and natural gas companies, HighPeak Energy may be involved from time to time in various legal and other proceedings, such as title, royalty or contractual disputes, regulatory compliance matters and personal injury or property damage matters, in the ordinary course of its business. Such proceedings are inherently uncertain, and their results cannot be predicted. Regardless of the outcome, such proceedings could have an adverse impact on HighPeak Energy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its business practices, which could materially and adversely affect its business, operating results and financial condition. Accruals for such liability, penalties or sanctions may be insufficient, and judgments and estimates to determine accruals or range of losses related to legal and other proceedings could change from one period to the next, and such changes could be material.</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our operators fail to comply with all applicable regulatory agency administered statutes, rules, regulations and orders, our operators could be subject to substantial penalties and fines.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Energy Policy Act of 2005, FERC has civil penalty authority under the Natural Gas Act of 1938 to impose penalties for current violations of up to $1,584,648 per day for each violation (annually adjusted for inflation) and disgorgement of profits associated with any violation. While our operators’ operations have not been regulated by the FERC as a natural gas company under this law, the FERC has adopted regulations that may subject certain of our operators’ otherwise non-FERC jurisdictional facilities to the FERC annual reporting requirements. Our operators also must comply with the anti-market manipulation rules enforced by the FERC. Additional rules and legislation pertaining to those and other matters may be considered or adopted by the FERC from time to time. Additionally, the FTC has regulations intended to prohibit market manipulation in the petroleum industry with authority to fine violators of the regulations civil penalties of up to $1,510,803 per day (annually adjusted for inflation) and the CFTC prohibits market manipulation in the markets regulated by the CFTC, including similar anti-manipulation authority with respect to crude oil swaps and futures contracts as that granted to the CFTC with respect to crude oil purchases and sales. The CFTC rules subject violators to a civil penalty of up to the greater of $1,487,712 per day (annually adjusted for inflation) or triple the monetary gain to the person for each violation. Failure to comply with those regulations in the future could subject our operators to civil penalty liability, as described in “Items 1 and 2: Business and Properties—Regulation of the Crude Oil and Natural Gas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operations of HighPeak Energy are subject to a variety of risks arising from climate change.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in foreign countries. Numerous proposals have been made and could continue to be made at the international, national, regional and state levels of government to monitor and limit existing emissions of GHGs as well as to restrict or eliminate such future emissions. As a result, crude oil and natural gas exploration and production operations are subject to a series of regulatory, political, litigation and financial risks associated with the production and processing of fossil fuels and emission of GHGs.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no comprehensive climate change legislation has been implemented. However, the EPA has adopted rules that, among other things, established construction and operating permit reviews for GHG emissions from certain large stationary sources, required the monitoring and annual reporting of GHG emissions from certain petroleum and natural gas system sources in the United States, and together with the DOT, implemented GHG emissions limits on vehicles manufactured for operation in the United States. However, from time to time, certain administrations have taken actions to repeal or revise such climate-related actions. For example, the regulation of methane from crude oil and natural gas facilities has been subject to uncertainty in recent years. For more information, see the section entitled “Items 1 and 2. Business and Properties—Regulation of Environmental and Occupational Safety and Health Matters— Regulation of Greenhouse Gas Emissions.” Separately,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in 2021, President Biden recommitted the United States to the Paris Agreement, which requires member states to submit non-binding, individually determined reduction goals every five years. In December 2024, President Biden unveiled a new emissions target, seeking to cut emissions by 61-66% from 2005 levels by 2035. Subsequent United Nations climate conferences have called for additional action to transition away from fossil fuels and control or otherwise reduce GHG emissions, though none have been legally binding. However, the Trump Administration has formally begun the process of re-withdrawing from the Paris Agreement, and the United States’ participation in future United Nations climate-related conferences is unclear. Therefore, the full impact of these actions cannot be predicted at this time.</w:t>
      </w:r>
    </w:p>
    <w:p>
      <w:pPr>
        <w:spacing w:after="0" w:line="1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Governmental, scientific and public concern over the threat of climate change arising from GHG emissions has resulted in increasing political risks in the United States, including climate change related pledges made by certain candidates in public office. Litigation risks are also increasing, as a number of entities have sought to bring suit against crude oil and natural gas companies in state or federal court, alleging, among other things, that such companies created public nuisances by producing fuels that contributed to climate change or that such companies have been aware of the adverse effects of climate change for some time but defrauded their investors or customers by failing to adequately disclose those impacts.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ind w:right="60"/>
        <w:spacing w:after="0" w:line="255" w:lineRule="auto"/>
        <w:rPr>
          <w:sz w:val="20"/>
          <w:szCs w:val="20"/>
          <w:color w:val="auto"/>
        </w:rPr>
      </w:pPr>
      <w:r>
        <w:rPr>
          <w:rFonts w:ascii="Times New Roman" w:cs="Times New Roman" w:eastAsia="Times New Roman" w:hAnsi="Times New Roman"/>
          <w:sz w:val="18"/>
          <w:szCs w:val="18"/>
          <w:color w:val="auto"/>
        </w:rPr>
        <w:t>There have also recently been increasing financial risks for fossil fuel producers as certain shareholders currently invested in fossil-fuel energy companies concerned about the potential effects of climate change may elect in the future to shift some or all their investments into other sectors. Institutional lenders who provide financing to fossil-fuel energy companies also have become more attentive to sustainable lending practices and some of them may elect not to provide funding for fossil fuel energy companies or seek to require more aggressive action with respect to climate-related risks. There is also a risk that financial institutions will be required to adopt policies that have the effect of reducing the funding provided to the fossil fuel sector. For more information, see the section entitled “Items 1 and 2. Business and Properties—Regulation of Environmental and Occupational Safety and Health Matters— Regulation of Greenhouse Gas Emissions.”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adoption and implementation of new or more stringent international, federal or state legislation, regulations or other regulatory initiatives that impose more stringent standards for GHG emissions from crude oil and natural gas producers such as HighPeak Energy or otherwise restrict the areas in which HighPeak Energy may produce crude oil and natural gas or generate GHG emissions could result in increased costs of compliance or costs of consuming, and thereby reduce demand for or erode value for, the crude oil and natural gas that HighPeak Energy produces. Additionally, political, litigation and financial risks may result in HighPeak Energy’s restricting or cancelling crude oil and natural gas production activities, incurring liability for infrastructure damages as a result of climatic changes, or having an impaired ability to continue to operate in an economic manner. One or more of these developments could have a material adverse effect on HighPeak Energy’s business, financial condition and results of operations.</w:t>
      </w:r>
    </w:p>
    <w:p>
      <w:pPr>
        <w:spacing w:after="0" w:line="18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Finally, increasing concentrations of GHG in the atmosphere may produce climate changes that have significant physical effects, such as increased frequency and severity of storms, droughts, floods and other climate events that could have an adverse effect on HighPeak Energy’s operations. If such effects were to occur, our development and production operations have the potential to be adversely affected. Potential adverse effects could include damages to our facilities from powerful winds or rising waters in low lying areas, disruption of our production activities either because of climate related damages to our facilities or in our costs of operation potentially arising from such climatic effects, less efficient or non-routine operating practices necessitated by climate effects or increased costs for insurance coverage in the aftermath of such effects. Significant physical effects of climate change could also have an indirect effect on our financing and operations by disrupting the transportation or process-related services provided by midstream companies, service companies or suppliers with whom we have a business relationship or by reducing demand for fossil fuels we provide, such as to the extent warmer winters reduce the demand for energy for heating purposes. We may not be able to recover through insurance some or any of the damages, losses or costs that may result from potential physical effects of climate change. At this time, we have not developed a comprehensive plan to address the legal, economic, social or physical impacts of climate change on our operations. If we are forced to shut-in production, we will likely incur greater costs to bring the associated production back online. Cost increases necessary to bring the associated wells back online may be significant enough that such wells would become uneconomic at low commodity price levels, which may lead to decreases in our proved reserve estimates and potential impairments and associated charges to our earnings.</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crude oil and natural gas from dense subsurface rock formations. The hydraulic fracturing process involves the injection of water, proppants and chemicals under pressure into targeted subsurface formations to fracture the surrounding rock and stimulate production. HighPeak Energy expects to regularly use hydraulic fracturing as part of HighPeak Energy’s operations. Hydraulic fracturing is typically regulated by state crude oil and natural gas commissions, but certain federal agencies have asserted regulatory authority over certain aspects of the process. Congress has, from time to time, considered legislation to provide for federal regulation of hydraulic fracturing under the SDWA and to require disclosure of the chemicals used in the hydraulic fracturing process. It is unclear how any additional federal regulation of hydraulic fracturing activities may affect HighPeak Energy’s operations, but such additional federal regulation could have an adverse effect on its business, financial condition and results of operations.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some states and local governments have adopted, and other governmental entities are considering adopting, regulations that could impose more stringent permitting, disclosure and well-construction requirements on hydraulic fracturing operations, including states in which our properties are located. For example, Texas, among others, has adopted regulations that impose new or more stringent permitting, disclosure, disposal and well construction requirements on hydraulic fracturing operations. States could also elect to prohibit high volume hydraulic fracturing altogether. In addition to state laws, local land use restrictions, such as city ordinances may restrict drilling in general and/or hydraulic fracturing in particular. If new or more stringent federal, state or local legal restrictions relating to the hydraulic fracturing process are adopted in areas where HighPeak Energy will operate, it could incur potentially significant added costs to comply with such requirements, experience delays or curtailment in the pursuit of development activities, and perhaps even be precluded from drilling wells. For more information, see the section entitled “Items 1 and 2. Business and Properties—Regulation of Environmental and Occupational Safety and Health Matters— Hydraulic Fracturing Activities.”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or regulatory initiatives intended to address seismic activity could restrict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drilling and production activities, as well as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dispose of produced water gathered from such activities, which could have a material adverse effect on its future business.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State and federal regulatory agencies have at times focused on a possible connection between the hydraulic fracturing related activities, particularly the underground injection of wastewater into disposal wells, and the increased occurrence of seismic activity, and regulatory agencies at all levels are continuing to study the possible linkage between crude oil and natural gas activity and induced seismicity. For example, in 2015, the United States Geological Study identified eight states, including Texas, with areas of increased rates of induced seismicity that could be attributed to fluid injection or crude oil and natural gas extraction.</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a number of lawsuits have been filed in some states, including Texas,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in the permitting of produced water disposal wells or otherwise to assess the relationship between seismicity and the use of such wells. For example, Texas has imposed certain limits on the permitting or operation of disposal wells in areas with increased instances of induced seismic events. In some instances, regulators may also order that disposal wells be shut-in. For example, in December 2023, the TRRC issued a notice to suspend the permits of all deep disposal wells within the Northern Culberson-Reeves Seismic Response Area.</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HighPeak Energy will likely dispose of large volumes of produced water gathered from its drilling and production operations by injecting it into wells pursuant to permits issued by governmental authorities overseeing such disposal activities. While these permits will be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HighPeak Energy’s ability to use hydraulic fracturing or dispose of produced water gathered from its drilling and production activities by limiting volumes, disposal rates, disposal well locations or otherwise, or requiring HighPeak Energy to shut down disposal wells, could have a material adverse effect on its business, financial condition and results of operations.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crude oil and natural gas industry is intense, which will make it more difficult for HighPeak Energy to acquire properties, market crude oil or natural gas and secure trained personnel.</w:t>
      </w:r>
    </w:p>
    <w:p>
      <w:pPr>
        <w:spacing w:after="0" w:line="15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HighPeak Energy’s ability to acquire additional prospects and to find and develop reserves in the future will depend on its ability to evaluate and select suitable properties for acquisitions and to consummate transactions in a highly competitive environment for acquiring properties, marketing crude oil and natural gas and securing trained personnel. Also, there is substantial competition for capital available for investment in the crude oil and natural gas industry. Many other crude oil and natural gas companies possess and employ greater financial, technical and personnel resources than HighPeak Energy. Those companies may be able to pay more for productive properties and exploratory prospects and to evaluate, bid for and purchase a greater number of properties and prospects than HighPeak Energy’s financial or personnel resources permit. In addition, other companies may be able to offer better compensation packages to attract and retain qualified personnel than HighPeak Energy will be able to offer. The cost to attract and retain qualified personnel has historically continually increased due to competition and may increase substantially in the future. HighPeak Energy may not be able to compete successfully in the future in acquiring prospective reserves, developing reserves, marketing hydrocarbons, attracting and retaining quality personnel and raising additional capital, which could have a material adverse effect on its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senior management or technical personnel could adversely affect operations.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HighPeak Energy will depend on the services of its senior management and technical personnel. HighPeak Energy does not plan to obtain any insurance against the loss of any of these individuals. The loss of the services of its senior management could have a material adverse effect on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HighPeak Energy will require continued access to capital and its business and operating results could be harmed by factors such as the availability, terms of and cost of capital, increases in interest rates or a reduction in credit rating. HighPeak Energy uses, and expects to continue to use debt financing, including borrowings under the Credit Agreements, to finance a portion of its future growth, and these changes could cause its cost of doing business to increase, limit its ability to pursue acquisition opportunities, reduce cash flow used for drilling and place HighPeak Energy at a competitive disadvantage. Recent and continuing disruptions and volatility in the global financial markets may lead to a contraction in credit availability impacting its ability to finance its operations. A significant reduction in cash flows from operations or the availability of credit could materially and adversely affect its ability to achieve its planned growth and operating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use of seismic data is subject to interpretation and may not accurately identify the presence of crude oil and natural gas, which could adversely affect the results of its drilling operations.</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Even when properly used and interpreted, seismic data and visualization techniques are only tools used to assist geoscientists in identifying subsurface structures and hydrocarbon indicators and do not enable the interpreter to know whether hydrocarbons are, in fact, present in those structures. As a result, HighPeak Energy’s drilling activities may not be successful or economical. In addition, the use of advanced technologies, such as 3-D seismic data, requires greater pre-drilling expenditures than traditional drilling strategies, and it could incur losses as a result of such expenditures.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drilling activities intended to protect certain species of wildlife may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conduct drilling activities in areas where it operates.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Crude oil and natural gas operations in HighPeak Energy’s operating areas may be adversely affected by seasonal or permanent restrictions on drilling activities designed to protect various wildlife. Such restrictions may limit HighPeak Energy’s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HighPeak Energy’s operations or materially increase its operating and capital costs. Permanent restrictions imposed to protect threatened or endangered species, other protected species (such as migratory birds), or their habitat could prohibit drilling in certain areas or require the implementation of expensive mitigation measures. The designation of previously unprotected species in areas where HighPeak Energy operates as threatened or endangered could cause it to incur increased costs arising from species protection measures or could result in limitations on its activities that could have a material and adverse impact on its ability to develop and produce reserves. For example, in May 2024, the dunes sagebrush lizard was listed and, in November 2022, the FWS listed two distinct population segments of the lesser prairie-chicken under the ESA, although this decision has been challenged. If these species or others are listed, the FWS and similar state agencies may designate critical or suitable habitat areas that they believe are necessary for the survival of threatened or endangered species. Such a designation could materially restrict use of or access to federal, state and private lands. To the extent species are listed under the ESA or similar state laws, or previously unprotected species are designated as threatened or endangered in areas where our properties are located, operations on those properties could incur increased costs arising from species protection measures and face delays or limitations with respect to production activities thereon. For more information, see the section entitled “Items 1 and 2. Business and Properties—Regulation of Environmental and Occupational Safety and Health Matters— Endangered Species Act and Migratory Birds.”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not be able to keep pace with technological developments in its industry.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crude oil and natural gas industry is characterized by rapid and significant technological advancement and the introduction of new products and services using new technologies. As others use or develop new technologies, HighPeak Energy may be placed at a competitive disadvantage or may be forced by competitive pressures to implement those new technologies at substantial costs. In addition, other crude oil and natural gas companies may have greater financial, technical and personnel resources that allow them to enjoy technological advantages and that may, in the future, allow them to implement new technologies before HighPeak Energy. HighPeak Energy may not be able to respond to these competitive pressures or implement new technologies on a timely basis or at an acceptable cost. If one or more of the technologies it expects to use were to become obsolete, HighPeak Energy’s business, financial condition or results of operations could be materially and adversely affected.</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limitations in all control systems, and misstatements due to error or fraud that could seriously harm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may occur and not be detected.</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HighPeak Energy’s management does not expect that HighPeak Energy’s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at HighPeak Energy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could be adversely affected by security threats, including cybersecurity threats, and related disruptions.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HighPeak Energy relies heavily on its information systems, and the availability and integrity of these systems is essential to conducting HighPeak Energy’s business and operations. As a producer of crude oil and natural gas, HighPeak Energy faces various security threats, including cybersecurity threats, such as attempts to gain unauthorized access to its sensitive information or to render its information or systems unusable, and threats to the security of its facilities and infrastructure or third-party facilities and infrastructure, such as gathering and processing and other facilities, refineries and pipelines. This risk may be heightened as a result of an increased remote working environment, similar to the one created by the COVID-19 outbreak in 2020. The potential for such security threats subjects its operations to increased risks that could have a material adverse effect on its business, financial condition, results of operations and cash flows.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Cybersecurity attacks in particular are becoming more sophisticated and include, but are not limited to, installation of malicious software, attempts to gain unauthorized access to data and systems, and other electronic security breaches that could lead to disruptions in critical systems, unauthorized release of confidential or otherwise protected information and corruption of data. For example, in May 2021, Colonial Pipeline’s digital systems were infected by a ransomware attack that caused the shutdown of the pipeline for several days and the payment of an approximate $4.4 million ransom. The U.S. government also has issued public warnings that indicate that energy assets might be specific targets of cybersecurity threats. These events could damage our reputation and lead to financial losses from remedial actions, loss of business or potential liability.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regulatory environment surrounding data privacy and protection is constantly evolving and can be subject to significant change. New laws and regulations governing data privacy and the unauthorized disclosure of personal or confidential information pose increasingly complex compliance challenges and could potentially elevate our costs. Any failure to comply with these laws and regulations could result in significant penalties and legal liability. We continue to monitor and assess the impact of these laws, which in addition to penalties and legal liability, could impose significant costs for investigations and compliance, require us to change our business practices and carry significant potential liability for our business should we fail to comply with any such applicable laws.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HighPeak Energy’s implementation of various procedures and controls to identify, monitor and mitigate such security threats and to increase security for its information, systems, facilities and infrastructure may result in increased costs. Moreover, there can be no assurance that such procedures and controls will be sufficient to prevent security breaches from occurring. If any of these security breaches were to occur, they could lead to losses of, or damage to, sensitive information or facilities, infrastructure and systems essential to its business and operations, as well as data corruption, communication interruptions or other disruptions to its operations, which, in turn, could have a material adverse effect on its business,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continues to evaluate a range of strategic alternative transactions to maximize shareholder value, including a potential sale of the Company. These transactions could include, but are not limited to, acquisitions, debt refinancing transactions, asset divestitures, monetization of intellectual property, and mergers, reverse mergers or other business combinations. Because we have publicly approved the undertaking of this process, the market price of our common stock may reflect an expectation that shares of our common stock may be acquired at a premium in the near future.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review of strategic alternative transactions will result in the identification or consummation of any transaction. Our Board may also determine that our most effective strategy is to continue to effectuate our current business plan. The process of reviewing strategic alternative transactions may be time consuming and disruptive to our business operations and, if we are unable to effectively manage the process, our business, financial condition and results of operations could be adversely affected. We could incur substantial expenses associated with identifying and evaluating potential strategic alternative transactions. No decision has been made with respect to any transaction and we cannot assure you that we will be able to identify and undertake any transaction that allows our shareholders to realize an increase in the value of their common stock or provide any guidance on the timing of such action, if 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cannot assure you that any potential transaction or other strategic alternatives, if identified, evaluated and consummated, will provide greater value to our shareholders than that reflected in the current price of our common stock. Any potential transaction would be dependent upon a number of factors that may be beyond our control, including, but not limited to, market conditions, industry trends, the interest of third parties in our business and the availability of financing to potential buyers on reasonable terms. We do not intend to comment regarding the evaluation of strategic alternative transactions until such time as our Board has determined the outcome of the process or otherwise has deemed that disclosure is appropriate or required by applicable law. As a consequence,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not be able to pay dividends on our common stock.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of Directors may elect to declare cash dividends on our common stock, subject to our compliance with applicable law and the Credit Agreements. The decision to pay any future dividends is solely within the discretion of, and subject to approval by, our Board of Directors, and we have no obligation to pay any dividends at any time.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of Directors deems relevant at the time of such determination.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Stockholder Group has significant influence over HighPeak Energy.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Principal Stockholder Group owns approximately 68% of HighPeak Energy’s common stock as of December 31, 2024. This includes an aggregate of approximately one million shares of common stock purchased by the Principal Stockholder Group in connection with the Company’s underwritten equity offering in July 2023, which further increased the Principal Stockholder Group’s ownership in the Company. As long as the Principal Stockholder Group owns or controls a significant percentage of HighPeak Energy’s outstanding voting power, subject to the terms of the Stockholders’ Agreement (as defined below),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 For more information about the Stockholders’ Agreement, see the section entitled “Certain Relationships and Related Transactions, and Director Independence.”</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operational and financial performance does not meet the expectations of investors, stockholders or financial analysts, the market price of our securities may decline.</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HighPeak Energy’s operational and financial performance does not meet the expectations of investors or securities analysts, the market price of our securities may decline. The market values of our securities may vary significantly from time to time.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results or the financial results of companies perceived to be similar to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our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HighPeak Energy common stock available for public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ind w:left="660" w:right="78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HighPeak Energy common stock by the Principal Stockholder Group, our directors, executive officers or significant stockholders, or the perception that such sales could occur; and</w:t>
      </w:r>
    </w:p>
    <w:p>
      <w:pPr>
        <w:ind w:left="660" w:right="34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OPEC+’s ability to continue to agree to limit production among its members and acts of war or terrorism.</w:t>
      </w:r>
    </w:p>
    <w:p>
      <w:pPr>
        <w:spacing w:after="0" w:line="17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HighPeak Energy is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Principal Stockholder Group collectively owns a majority of HighPeak Energy’s outstanding voting stock. Therefore, HighPeak Energy is a controlled company within the meaning of Nasdaq corporate governance standards. Under Nasdaq rules, a company of which more than 50% of the voting power is held by an individual, company or group of persons acting together is a controlled company and may elect not to comply with certain Nasdaq corporate governance requirements, including the requirements that:</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consist of independent directors under Nasdaq rules;</w:t>
      </w:r>
    </w:p>
    <w:p>
      <w:pPr>
        <w:spacing w:after="0" w:line="36" w:lineRule="exact"/>
        <w:rPr>
          <w:rFonts w:ascii="Times New Roman" w:cs="Times New Roman" w:eastAsia="Times New Roman" w:hAnsi="Times New Roman"/>
          <w:sz w:val="18"/>
          <w:szCs w:val="18"/>
          <w:color w:val="auto"/>
        </w:rPr>
      </w:pPr>
    </w:p>
    <w:p>
      <w:pPr>
        <w:ind w:left="660" w:right="54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ind w:left="660" w:right="620" w:hanging="328"/>
        <w:spacing w:after="0" w:line="26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1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HighPeak Energy has elected to rely on all of the exemptions for controlled companies provided for under the Nasdaq rules. These requirements will not apply to HighPeak Energy as long as it remains a controlled company.</w:t>
      </w:r>
    </w:p>
    <w:p>
      <w:pPr>
        <w:spacing w:after="0" w:line="158"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be required to take write-downs or write-offs, restructuring and impairment or other charges that could have a significant negative effect on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results of operations and stock price, which could cause you to lose some or all of your investment.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HighPeak Energy conducted due diligence on the Company’s assets in connection with their acquisitions, HighPeak Energy cannot assure you that this diligence revealed all material issues that may be present in the businesses of the Company’s assets, that it would be possible to uncover all material issues through a customary amount of due diligence, or that factors outside of HighPeak Energy’s control will not later arise. As a result, HighPeak Energy may be forced to later write-down or write-off assets, restructure HighPeak Energy’s operations, or incur impairment or other charges that could result in losses. Even if HighPeak Energy’s due diligence successfully identifies certain risks, unexpected risks may arise, and previously known risks may materialize in a manner not consistent with HighPeak Energy’s preliminary risk analysis. Even though these charges may be non-cash items and may not have an immediate impact on HighPeak Energy’s liquidity, the fact that HighPeak Energy reports charges of this nature could contribute to negative market perceptions about HighPeak Energy’s securities. In addition, charges of this nature may cause HighPeak Energy to be unable to obtain future financing on favorable terms or at all.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warrants will be in the money at the time you choose to exercise them, and they may expire worthless.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$11.50 per share of HighPeak Energy common stock, subject to certain adjustments. There is no guarantee that our warrants will be in the money at the time you choose to exercise them, and as such, our warrants may expire worthless.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warrants may be amended in a manner that may be adverse to holders of our warrants with the approval by the holders of at least 50% of our then-outstanding warrants.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warrants were issued in registered form under the Warrant Agreement Amendment. The Warrant Agreement Amendment provides that the terms of the warrants may be amended without the consent of any holder to cure any ambiguity or correct or supplement any defective provision but requires the approval by the holders of at least 50% of the then-outstanding warrants to make any other change or modification, including any amendment that adversely affects the interests of the registered holders of our warrants. Accordingly, HighPeak Energy, may amend the terms of its warrants in a manner adverse to a holder if holders of at least 50% of the then-outstanding warrants approve of such amendment. Although HighPeak Energy’s ability to amend the terms of its warrants with the consent of at least 50% of the then-outstanding warrants is unlimited and such amendments could, among other things, increase the exercise price of the warrants, shorten the exercise period or decrease the number of shares of HighPeak Energy common stock purchasable upon exercise of a warrant.</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HighPeak Energy common stock and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LTIP provides for a significant number of stock options, each of which could increase the number of shares eligible for future resale in the public market and result in dilution to stockholders.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potential for the issuance of a substantial number of additional shares of HighPeak Energy common stock upon exercise of its warrants would increase the number of issued and outstanding shares of HighPeak Energy common stock and reduce the value of the shares issued and outstanding as of the date hereof. Additionally, the sale, or even the possibility of sale, of the shares underlying the warrants could have an adverse effect on the market price for HighPeak Energy’s common stock or on its ability to obtain future financing. If and to the extent these warrants are exercised, you may experience dilution to your holdings.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to attract and retain key management personnel and non-employee directors, HighPeak Energy has implemented a Long-Term Incentive Plan (“LTIP”), pursuant to which the Share Pool (as defined in the LTIP) is reserved and available for delivery with respect to Stock Awards (as defined in the LTIP). From time to time and prior to the expiration of the LTIP, the Share Pool will automatically be increased by (i) the number of shares of HighPeak Energy common stock issued pursuant to the LTIP and (ii) 13% of the number of shares of HighPeak Energy common stock that are newly issued by HighPeak Energy (other than those issued pursuant to the LTIP), including any shares issued upon the exercise of the warrants. As a result, HighPeak Energy could issue a significant number of stock options under the LTIP, including additional shares added to the LTIP upon the exercise of the warrants, which could further dilute your holdings.</w:t>
      </w:r>
    </w:p>
    <w:p>
      <w:pPr>
        <w:spacing w:after="0" w:line="18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HighPeak Energy,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or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market, or if they change their recommendations regarding HighPeak Energy common stock adversely, the price and trading volume of HighPeak Energy common stock could decline. Furthermore, negative publicity or sentiments shared on social media platforms can also influence the perception of HighPeak Energy and its stock price, potentially leading to volatility.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trading market for HighPeak Energy common stock will be influenced by the research and reports that industry or securities analysts may publish about HighPeak Energy, HighPeak Energy’s business, HighPeak Energy’s market, or HighPeak Energy’s competitors. Additionally, the sentiments and discussions on social media platforms can significantly impact investor perceptions and trading behaviors. If any of the analysts who may cover HighPeak Energy change their recommendation regarding HighPeak Energy common stock adversely, or provide more favorable relative recommendations about its competitors, the price of HighPeak Energy common stock would likely decline. Similarly, unfavorable social media trends or negative comments about HighPeak Energy could drive down the stock price. If any analyst who may cover HighPeak Energy were to cease their coverage or fail to regularly publish reports on HighPeak Energy, HighPeak Energy could lose visibility in the financial markets, which could cause HighPeak Energy’s stock price or trading volume to decline. Social media also plays a role in maintaining visibility; a lack of positive social media engagement could further decrease investor interest and trading volume.</w:t>
      </w:r>
    </w:p>
    <w:p>
      <w:pPr>
        <w:spacing w:after="0" w:line="1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Second Amended and Restated Certificate of Incorporation designates the Court of Chancery of the State of Delaware as the sole and exclusive forum for certain types of actions and proceedings that may be initiated by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(“A&amp;R Charter”) provides that, unless HighPeak Energy consents in writing to the selection of an alternative forum, the Court of Chancery of the State of Delaware (“Court of Chancery”) will, to the fullest extent permitted by applicable law and subject to applicable jurisdictional requirements, be the sole and exclusive forum for (i) any derivative action or proceeding as to which the Delaware General Corporation Law (“DGCL”) confers jurisdiction upon the Court of Chancery, (ii) any action asserting a claim of breach of a fiduciary duty owed by any director, officer or other employee of HighPeak Energy to HighPeak Energy or its stockholders, (iii) any action asserting a claim against HighPeak Energy, its directors, officers or employees arising pursuant to any provision of the DGCL, the A&amp;R Charter or HighPeak Energy’s bylaws or</w:t>
      </w:r>
    </w:p>
    <w:p>
      <w:pPr>
        <w:spacing w:after="0" w:line="5" w:lineRule="exact"/>
        <w:rPr>
          <w:sz w:val="20"/>
          <w:szCs w:val="20"/>
          <w:color w:val="auto"/>
        </w:rPr>
      </w:pPr>
    </w:p>
    <w:p>
      <w:pPr>
        <w:ind w:firstLine="8"/>
        <w:spacing w:after="0" w:line="252"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HighPeak Energy, its directors, officers or employees that is governed by the internal affairs doctrine, in each case except for such claims as to which (a) the Court of Chancery determines that it does not have personal jurisdiction over an indispensable party, (b) exclusive jurisdiction is vested in a court or forum other than the Court of Chancery or (c) the Court of Chancery does not have subject matter jurisdiction. The forum selection provision is not intended to apply to claims arising under the Securities Act or the Exchange Act. To the extent the provision could be construed to apply to such claims, there is uncertainty as to whether a court would enforce such provision in connection with such claims. Stockholders will not be deemed, by operation of Article 8 of the A&amp;R Charter alone, to have waived claims arising under the federal securities laws and the rules and regulations promulgated thereunder.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014" w:gutter="0" w:footer="0" w:header="0"/>
        </w:sectPr>
      </w:pPr>
    </w:p>
    <w:bookmarkStart w:id="63" w:name="page64"/>
    <w:bookmarkEnd w:id="63"/>
    <w:p>
      <w:pPr>
        <w:ind w:right="18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HighPeak Energy’s capital stock will be deemed to have notice of, and consented to, the provisions of our A&amp;R Charter described in the preceding paragraph. This exclusive forum provision may limit a stockholder’s ability to bring a claim in a judicial forum that it finds favorable for disputes with HighPeak Energy or its directors, officers or other employees, which may discourage such lawsuits against HighPeak Energy and such persons.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 If a court were to find these provisions of the A&amp;R Charter inapplicable to, or unenforceable in respect of, one or more of the specified types of actions or proceedings, HighPeak Energy may incur additional costs associated with resolving such matters in other jurisdictions, which could adversely affect its business, financial condition or results of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or regulations, may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investments and results of operations.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HighPeak Energy is subject to laws, regulations and rules enacted by national, regional and local governments and the Nasdaq. In particular, HighPeak Energy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HighPeak Energy’s business, investments and results of operations. In addition, a failure to comply with applicable laws, regulations and rules, as interpreted and applied, could have a material adverse effect on HighPeak Energy’s business and results of operations.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HighPeak Energy common stock issued, including issuable upon exercise of our warrants, will remain listed on the Nasdaq, or that HighPeak Energy will be able to comply with the continued listing standards of the Nasdaq.</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HighPeak Energy’s common stock and warrants are currently listed on the Nasdaq, which such listings includes its common stock or shares of its common stock issuable upon exercise of its warrants. If the Nasdaq delists HighPeak Energy’s common stock from trading on its exchange for failure to meet the listing standards, HighPeak Energy and its security holders could face significant material adverse consequences, such as:</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HighPeak Energy’s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HighPeak Energy’s securities;</w:t>
      </w:r>
    </w:p>
    <w:p>
      <w:pPr>
        <w:spacing w:after="0" w:line="36"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HighPeak Energy common stock is a “penny stock,” which will require brokers trading in HighPeak Energy common stock to adhere to more stringent rules and possibly result in a reduced level of trading activity in the secondary trading market for HighPeak Energy’s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HighPeak Energy’s securities are listed on the Nasdaq, they are covered securities. Although the states are preempted from regulating the sale of HighPeak Energy’s securities, the federal statute does allow the states to investigate companies if there is a suspicion of fraud, and, if there is a finding of fraudulent activity, then the states can regulate or bar the sale of covered securities in a particular case. Further, if HighPeak Energy were no longer listed on the Nasdaq, its securities would not be covered securities and HighPeak Energy would be subject to regulation in each state in which HighPeak Energy offers its securities.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4" w:name="page65"/>
    <w:bookmarkEnd w:id="64"/>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laws or adverse outcomes resulting from examination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income or other tax returns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results of operations and cash flow.</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HighPeak Energy is subject to tax by U.S. federal, state and local tax authorities. HighPeak Energy’s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HighPeak Energy’s deferred tax assets and liabilities;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example, in previous years, legislation has been proposed to eliminate or defer certain key U.S. federal income tax deductions historically available to crude oil and natural gas exploration and production companies. Such proposed changes have included: (i) a repeal of the percentage depletion allowance for crude oil and natural gas properties; (ii) the elimination of deductions for intangible drilling and exploration and development costs; (iii) the elimination of the deduction for certain production activities; and (iv) an extension of the amortization period for certain geological and geophysical expenditures. The passage of any legislation as a result of these proposals or other similar changes in U.S. federal income tax laws that alter, eliminate or defer these or other tax deductions utilized within the industry could adversely affect HighPeak Energy’s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HighPeak Energy may be subject to audits of its income, sales and other transaction taxes by U.S. federal, state and local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HighPeak Energy’s financial condition and results of operations.</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is an emerging growth company within the meaning of the Securities Act, and if HighPeak Energy takes advantage of certain exemptions from disclosure requirements available to emerging growth companies, which could make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less attractive to investors and may make it more difficult to compare its performance with other public companies.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HighPeak Energy is an “emerging growth company” within the meaning of the Securities Act, as modified by the Jumpstart Our Business Startups Act of 2012 (the “JOBS Act”), and HighPeak Energy takes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HighPeak Energy’s periodic reports and proxy statements, and exemptions from the requirements of holding a nonbinding advisory vote on executive compensation and stockholder approval of any golden parachute payments not previously approved. As a result, HighPeak Energy’s stockholders may not have access to certain information they may deem important. HighPeak Energy’s exemption status as an emerging growth company will end on December 31, 2025, unless we issue more than $1 billion in non-convertible debt during any three-year period before that time, in which case we would cease to be an emerging growth company immediately. HighPeak Energy cannot predict whether investors will find its securities less attractive because HighPeak Energy will rely on these exemptions. If some investors find HighPeak Energy’s common stock less attractive as a result of HighPeak Energy’s reliance on these exemptions, the trading prices of HighPeak Energy’s common stock may be lower than they otherwise would be, there may be a less active trading market for HighPeak Energy’s common stock and the trading prices of HighPeak Energy’s common stock may be more volatile.</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HighPeak Energy has elected not to opt out of such extended transition period, which means that when a standard is issued or revised and it has different application dates for public or private companies, HighPeak Energy, as an emerging growth company, can adopt the new or revised standard at the time private companies adopt the new or revised standard. This may make comparison of HighPeak Energy’s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HighPeak Energy maintains a cybersecurity program that aims to protect the confidentiality, integrity, and availability of data required by our business to be stored, analyzed, transported, and/or processed. The Company has implemented various internal and external controls and processes, including internal risk assessment and policy implementation, to incorporate a risk-based cybersecurity framework to identify, monitor and mitigate security threats and other strategies to increase security for our information, facilities, and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the risk that cybersecurity threats pose to our operations, and cybersecurity is an important component of our overall risk management strategy. HighPeak Energy’s cybersecurity team consists of certain of our executive officers, as well as internal and third-party cybersecurity personnel, with cybersecurity expertise across multiple industries. The cybersecurity team takes a cross-functional approach to addressing these risks and engages in discussions with the Board and our executive management team on an as-needed basis.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implemented a monitoring and detection system to help promptly identify cybersecurity incidents. We also require our employees and contractors to receive annual cybersecurity awareness training. We perform cybersecurity tabletop exercises to test the effectiveness of our incidence response plan (“IRP”) and implement post-incident “lessons learned” to enhance our response. We provide our system users with access consistent with the principle of least privilege, which requires that such users be given no more access than necessary to complete their job functions. We have also implemented a multi-factor authentication process for employees accessing company information. We use encryption methods to protect sensitive data. This includes the encryption of our customer data, financial information, and other confidential data. We have programs in place to monitor our retained data with the goal of identifying personal identifiable information and taking appropriate actions to secure the data.</w:t>
      </w:r>
    </w:p>
    <w:p>
      <w:pPr>
        <w:spacing w:after="0" w:line="18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Third parties also play a role in the Company’s approach to cybersecurity and its associated risk management framework. HighPeak Energy leverages technological tools and partners with the goal of augmenting and enabling the efforts of its internal cybersecurity team. Separately, our internal auditing processes include processes to identify, manage and oversee the risks from cybersecurity threats associated with our engagement of third-party service providers. In connection with and pursuant to the IRP, our incident response team, made up of management, employees and third-party cybersecurity personnel, works collaboratively across HighPeak Energy to carry out a program that has been designed to protect our information systems from cybersecurity threats, assess and manage risks arising from any such threats, and to respond to potential cybersecurity incidents.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an IRP that delineates the procedures to be followed for handling a variety of cybersecurity incidents; categorizes potential cybersecurity incidents and the required timeframe for reporting each; establishes cybersecurity incident response levels; provides for investigations designed to help us to meet applicable legal obligations, including possible notification requirements; and outlines the roles and responsibilities for various personnel in the event of a cybersecurity incident.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in coordination with the Audit Committee, is responsible for the oversight of risks from cybersecurity threats. The responsibilities of the Audit Committee include overseeing policies and management systems for cybersecurity matters and reviewing HighPeak Energy’s strategy, objectives, and policies relative to cybersecurity. In addition, the Board and the Audit Committee receive regular presentations and reports on cybersecurity risks that address a range of topics, including developments, technological trends or tools, third party updates, and regulatory standards. The HighPeak Energy IRP calls for prompt and timely direct notifications and updates to the Board (or its committees) as necessary in connection with cybersecurity incidents deemed to have a moderate or higher business impact, even if immaterial. On a periodic basis, the Board and the Audit Committee discuss our approach to cybersecurity with our executive officers and cybersecurity personnel.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plays a role in assessing and managing our material risks from cybersecurity threats through membership on our cybersecurity team, as well as by making final materiality determinations and disclosures and other compliance decisions, as reflected in the HighPeak Energy IRP. Our cybersecurity team is made up of experienced professionals, both employees and third parties with extensive backgrounds in information security, risk management, and incident response. This team is lead by an officer of the Company, bringing over a decade of experience in IT leadership, policy development, and technology strategy. With a strong background in overseeing IT departments and driving digital transformation, the team plays a critical role in ensuring the security, efficiency, and innovation of our technology infrastructure. Cybersecurity remains a top priority, with a focus on risk management, regulatory compliance, and safeguarding company data. Our cybersecurity team regularly interacts with the Board of Directors and the Audit Committee, providing insights on IT governance, cybersecurity initiatives, and emerging technology trends.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Risks from Cybersecurity Threats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As of the date of this Report, though the Company and our service providers have experienced certain cybersecurity incidents, we are not aware of any previous cybersecurity threats that have materially affected, or are reasonably likely to materially affect, the Company, including our business strategy, results of operations or financial condition. Despite the implementation of our cybersecurity processes, we may not be successful in preventing or mitigating a cybersecurity incident that could have a material adverse effect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cybersecurity related risks, see “Item 1A. Risk Factors” for additional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be a party to various proceedings and claims incidental to its business from time to time. While many of these matters involve inherent uncertainty, the Company believes the amount of the liability, if any, ultimately incurred with respect to these proceedings and claims will not have a material adverse effect on the Company’s consolidated financial position as a whole or on its liquidity, capital resources or future annual results of operations. See “Item 8. Financial Statements and Supplementary Data – Note 10” for additional information.</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29, 2024, a purported HighPeak stockholder filed a derivative lawsuit in the Delaware Court of Chancery against various current and former HighPeak directors, alleging that the Company’s directors breached their fiduciary duties in approving the compensation awarded to the Company’s CEO and President and that the Company’s CEO was unjustly enriched by the compensation. The initial complaint alleged that the Company’s directors engaged in an inadequate process and approved excessive compensation in the years 2020 through 2023. After the defendants filed a motion to dismiss the initial complaint, the plaintiff filed an amended complaint on September 30, 2024. The amended complaint removed the plaintiff’s challenge to the Company’s President’s compensation, but it continues to challenge the compensation awarded to the Company’s CEO in “at least 2022, 2023, and 2024.” The defendants filed a motion to dismiss the amended complaint, and the court has not yet ruled on that motion. The plaintiff seeks to recover purported damages on behalf of the Company, disgorgement of the Company’s CEO’s compensation, an order requiring HighPeak to make various changes to its corporate governance policies, attorneys’ fees, and other relief. The Company believes the lawsuit is without merit and intends to vigorously defend against 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common stock and warrants are listed and traded on the Nasdaq under the symbols “HPK” and “HPKEW,”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6, 2025, there were 35 holders of record of HighPeak Energy common stock and 5 holders of record of HighPeak Energy’s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6, 2021, the Company announced the initiation of a quarterly cash dividend in the amount of $0.025 per share of our common stock payable quarterly which began with the third quarter of 2021 and continued quarterly through the fourth quarter of 2023. The Company also approved a special dividend of $0.075 per share of common stock that was paid in July 2021. During the first quarter of 2024, the Company announced an increase in its quarterly cash dividends to $0.04 per share of our common stock. The decision to pay any future dividends is solely within the discretion of, and subject to approval by, our Board. Our Board’s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In addition, the Term Loan Credit Agreement and the Senior Credit Facility Agreement place certain restrictions on our ability to pay cash dividends.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December 31,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May Yet to Be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4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38"/>
        </w:trPr>
        <w:tc>
          <w:tcPr>
            <w:tcW w:w="33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Purchased</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1"/>
              <w:spacing w:after="0" w:line="239" w:lineRule="exact"/>
              <w:rPr>
                <w:sz w:val="20"/>
                <w:szCs w:val="20"/>
                <w:color w:val="auto"/>
              </w:rPr>
            </w:pPr>
            <w:r>
              <w:rPr>
                <w:rFonts w:ascii="Times New Roman" w:cs="Times New Roman" w:eastAsia="Times New Roman" w:hAnsi="Times New Roman"/>
                <w:sz w:val="17"/>
                <w:szCs w:val="17"/>
                <w:b w:val="1"/>
                <w:bCs w:val="1"/>
                <w:color w:val="auto"/>
                <w:w w:val="97"/>
              </w:rPr>
              <w:t>Share</w:t>
            </w:r>
            <w:r>
              <w:rPr>
                <w:rFonts w:ascii="Times New Roman" w:cs="Times New Roman" w:eastAsia="Times New Roman" w:hAnsi="Times New Roman"/>
                <w:sz w:val="27"/>
                <w:szCs w:val="27"/>
                <w:b w:val="1"/>
                <w:bCs w:val="1"/>
                <w:color w:val="auto"/>
                <w:w w:val="97"/>
                <w:vertAlign w:val="superscript"/>
              </w:rPr>
              <w:t>(2)</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4"/>
                <w:szCs w:val="14"/>
                <w:b w:val="1"/>
                <w:bCs w:val="1"/>
                <w:color w:val="auto"/>
              </w:rPr>
              <w:t>(3)(4)</w:t>
            </w:r>
          </w:p>
        </w:tc>
      </w:tr>
      <w:tr>
        <w:trPr>
          <w:trHeight w:val="210"/>
        </w:trPr>
        <w:tc>
          <w:tcPr>
            <w:tcW w:w="3340" w:type="dxa"/>
            <w:vAlign w:val="bottom"/>
          </w:tcPr>
          <w:p>
            <w:pPr>
              <w:spacing w:after="0"/>
              <w:rPr>
                <w:sz w:val="18"/>
                <w:szCs w:val="18"/>
                <w:color w:val="auto"/>
              </w:rPr>
            </w:pPr>
          </w:p>
        </w:tc>
        <w:tc>
          <w:tcPr>
            <w:tcW w:w="5260" w:type="dxa"/>
            <w:vAlign w:val="bottom"/>
            <w:gridSpan w:val="6"/>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shares)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390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67,289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67,289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46,866</w:t>
            </w: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2640" w:type="dxa"/>
            <w:vAlign w:val="bottom"/>
            <w:gridSpan w:val="2"/>
            <w:shd w:val="clear" w:color="auto" w:fill="CCEEFF"/>
          </w:tcPr>
          <w:p>
            <w:pPr>
              <w:spacing w:after="0"/>
              <w:rPr>
                <w:sz w:val="19"/>
                <w:szCs w:val="19"/>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490,496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490,496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39,907</w:t>
            </w:r>
          </w:p>
        </w:tc>
      </w:tr>
      <w:tr>
        <w:trPr>
          <w:trHeight w:val="20"/>
        </w:trPr>
        <w:tc>
          <w:tcPr>
            <w:tcW w:w="33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50"/>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557,785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14.20</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557,785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cancelled and retired.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approved a stock repurchase program for up to $75.0 million, excluding excise taxes and other expenses. The stock repurchase program expired on December 31, 2024. However, on March 6, 2025, our Board extended the program in its entirety to December 31, 2025. The program may be suspended, modified, or discontinued by the Board at any time.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of 2022, which was enacted into law on August 16, 2022, imposed a nondeductible 1% excise tax on the net value of certain stock repurchases made after December 31, 2022. All dollar amounts presented exclude such excise taxes, as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 nor shall the information be incorporated by reference into any future filing under the Securities Act or Exchange Act except to the extent that the Company specifically incorporate it be reference 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spacing w:after="0" w:line="26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Company’s common stock during the period from August 24, 2020 through December 31, 2024, with cumulative total returns during the same period for the Standard &amp; Poor’s (“S&amp;P”) 500 Index and the S&amp;P Oil and Gas Exploration &amp; Production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123190</wp:posOffset>
            </wp:positionV>
            <wp:extent cx="6978015" cy="5768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978015" cy="576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580" w:right="799" w:bottom="1440" w:gutter="0" w:footer="0" w:header="0"/>
        </w:sectPr>
      </w:pPr>
    </w:p>
    <w:bookmarkStart w:id="70" w:name="page71"/>
    <w:bookmarkEnd w:id="70"/>
    <w:p>
      <w:pPr>
        <w:ind w:right="5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7.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 {START HERE}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should be read in conjunction with the other sections of this Annual Report, including but not limited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Items 1 and</w:t>
      </w:r>
    </w:p>
    <w:p>
      <w:pPr>
        <w:spacing w:after="0" w:line="29" w:lineRule="exact"/>
        <w:rPr>
          <w:sz w:val="20"/>
          <w:szCs w:val="20"/>
          <w:color w:val="auto"/>
        </w:rPr>
      </w:pPr>
    </w:p>
    <w:p>
      <w:pPr>
        <w:ind w:firstLine="8"/>
        <w:spacing w:after="0" w:line="251" w:lineRule="auto"/>
        <w:tabs>
          <w:tab w:leader="none" w:pos="18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and Properties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of the Crude Oil and Natural Gas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Historical financial statements and related notes included elsewhere in this Annual Report. This discussion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 due to a number of factors. Factors that could cause or contribute to such differences include, but are not limited to, market prices for crude oil and natural gas, capital expenditures, economic and competitive conditions, regulatory changes and other uncertainties, as well as those factors discussed below and elsewhere in this Annual Report. Please read Cautionary Statement Concerning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Looking Statements. Also, please read the risk factors and other cautionary statements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assume no obligation to update any of these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 except as required by applicable law. See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t>
      </w:r>
      <w:hyperlink r:id="rId84">
        <w:r>
          <w:rPr>
            <w:rFonts w:ascii="Times New Roman" w:cs="Times New Roman" w:eastAsia="Times New Roman" w:hAnsi="Times New Roman"/>
            <w:sz w:val="18"/>
            <w:szCs w:val="18"/>
            <w:i w:val="1"/>
            <w:iCs w:val="1"/>
            <w:u w:val="single" w:color="auto"/>
            <w:color w:val="0000EE"/>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2023 filed with the SEC on March 6, 2024 for a discussion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2023 results of operations compared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2022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December 31, 2024, the assets consisted of two highly contiguous leasehold positions of approximately 154,368 gross (141,907 net) acres, approximately 64% of which were held by production, with an average working interest of 92%. Our acreage is composed of two core areas, Flat Top primarily in the northern portion of Howard County extending into southern Borden County, southwest Scurry County and northwest Mitchell County and Signal Peak in the southern portion of Howard County. We operate approximately 97% of the net acreage across the Company’s assets and more than 90% of the net operated acreage provides for horizontal wells with lateral lengths of 10,000 feet or greater. For the year ended December 31, 2024, approximately 88% and 12% of sales volumes from the assets were attributable to liquids (both crude oil and NGL) and natural gas, respectively. As of December 31, 2024, HighPeak Energy was developing its properties using two (2) drilling rigs and one (1) frac crew and expects to average two (2) drilling rigs and approximately one (1) frac crew during 2025 under our current development plan.</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and continued to remain strong through 2023 and into 2024, although the market has decreased from 2022 levels overall,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in 2022 before cooling off slightly in 2023. However, commodity markets, unavailability or high cost of drilling rigs, equipment, supplies, personnel, frac crews and oilfield services or supply constraints remain subject to heightened levels of uncertainty as a result of the war in Ukraine, the conflict between Israel and Hamas, elevated interest rates and associated policies of the Federal Reserve, which could adversely affect HighPeak Energy’s ability to execute on its capital plan. Despite continuing impacts of these and other factors and future uncertainty, we expect to maintain our ability to sustain strong operational performance and financial stability while maximizing returns, improving leverage metrics, and increasing the value of our Midland Basin assets. Additionally, the impact of inflation as well as elevated interest rates continue to have a negative impact on our cash flows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was subject to being suspended from time to time, modified, extended or discontinued by the board of directors at any time. The common stock repurchase program expired on December 31, 2024 (the “2024 Repurchase Program”). On March 6, 2025, the Company’s board of directors extended the program from its original expiration on December 31, 2024 and extended the program through December 31, 2025 (the “Repurchase Extension”). The Repurchase Extension did not alter any of the original terms of the 2024 Repurchase Program nor did it change the total amount provided for under the original 2024 Repurchase Program. HighPeak’s management the authority to repurchase shares opportunistically in the open market from time to time, through block trades, in privately negotiated transactions or by such other means which comply with applicable state and federal laws. This is the Company’s second authorization for a stock repurchase program since its founding.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The stock repurchase program authority will expire December 31, 2025.</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February, May, August and November 2024, the Board declared a quarterly dividend of $0.04 per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outstanding which resulted in a total of $5.1 million, $5.0 million, $5.0 million and $5.0 million, respectively, in dividends being paid on March 25, 2024, June 25, 2024, September 25, 2024 and December 23, 2024, respectively. In addition, under the terms of the LTIP, the Company paid a dividend equivalent per share to all vested stock option holders of $530,000 in March 2024, $538,000 in June 2024, $534,000 in September 2024 and $531,000 in December 2024. In addition, the Company accrued an additional combined $84,000 in March 2024, $84,000 in June 2024, $86,000 in September 2024 and $86,000 in December 2024 in dividends on the restricted stock issued to directors, management directors and certain employees that will be payable upon vesting, assuming no forfeitures.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year ended December 31, 2024, the Company incurred a total of $14.8 million in acquisition costs related to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extensions and to acquire additional crude oil and natural gas leases covering additional contiguous bolt-on undeveloped acreage to its Flat Top and Signal Peak operating areas.</w:t>
      </w:r>
    </w:p>
    <w:p>
      <w:pPr>
        <w:sectPr>
          <w:pgSz w:w="11900" w:h="16838" w:orient="portrait"/>
          <w:cols w:equalWidth="0" w:num="1">
            <w:col w:w="11240"/>
          </w:cols>
          <w:pgMar w:left="320" w:top="576" w:right="339" w:bottom="10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sales contract. </w:t>
      </w:r>
      <w:r>
        <w:rPr>
          <w:rFonts w:ascii="Times New Roman" w:cs="Times New Roman" w:eastAsia="Times New Roman" w:hAnsi="Times New Roman"/>
          <w:sz w:val="18"/>
          <w:szCs w:val="18"/>
          <w:color w:val="auto"/>
        </w:rPr>
        <w:t>In September 2024, the Company entered into an amended and restated crude oil marketing contract with DK Trading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LLC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2024, the Company has delivered approximately 31,196 Bopd under the contract. The remaining monetary commitment as of December 31, 2024, if the Company never delivers any additional volumes under the agreement, is approximately $130.3 million.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Since mid-2020, crude oil prices have improved, with demand steadily increasing.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However, as a result of current global supply and demand imbalances, crude oil and natural gas prices remain strong, although down from the prior year. In addition, the war between Russia and Ukraine and ongoing conflict between Israel and Hamas and other tensions in the Middle East have resulted in global supply chain disruptions, which has led to significant cost inflation. Such impacts may also be exacerbated by recent developments in the Israel-Hamas conflict. Specifically, the Company’s 2023 and 2024 capital program has been and continues to be impacted by higher prices for steel, diesel, chemicals and services, among other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2" w:lineRule="auto"/>
        <w:tabs>
          <w:tab w:leader="none" w:pos="2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conflict,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2021 through December 31, 2024, the calendar month average NYMEX WTI crude oil price per Bbl ranged from a low of $52.10 to a high of $114.34, and the last trading day NYMEX natural gas price per MMBtu ranged from a low of $1.58 to a high of $9.35.</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and continued to remain strong through 2024 and into 2025, although the market has decreased from 2022 levels overall,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between Russia and Ukraine and between Israel and Hamas, elevated interest rates and associated policies of the Federal Reserve, which could adversely affect HighPeak Energy. For additional information on the risks, see “Part I, Item 1A. Risk Factors.”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plan to maintain a two (2) drilling rig program for 2025.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and Wells Fargo Securities, LLC have been retained as a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and operating performance for the year ended December 31, 2024 included the following highlights:</w:t>
      </w:r>
    </w:p>
    <w:p>
      <w:pPr>
        <w:spacing w:after="0" w:line="225"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2024 was $95.1 million ($0.67 per diluted share) compared with $215.9 million for the year ended December 31, 2023. The primary components of the $120.8 million decrease in net income include: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$76.3 million increase in DD&amp;A expense due to an 10% increase in daily sales volumes as a result of the Company’s successful horizontal drilling program, in addition to a 7% increase in the DD&amp;A rate from $25.51 to $27.39 per Boe primarily as a result of significant inflationary pressures on capital costs;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$74.1 million increase in the Company’s net derivative instruments loss from a $27.6 million gain to a $46.5 million loss year over year as a result of its crude oil commodity contracts entered into and the change in crude oil prices thereafter;</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$41.9 million decrease in crude oil, NGL and natural gas revenues due to a 12% decrease in average realized commodity prices per Boe, partially offset by a 10% increase in daily sales volumes resulting from the Company’s successful horizontal drilling program, excluding the effects of derivatives;</w:t>
      </w:r>
    </w:p>
    <w:p>
      <w:pPr>
        <w:spacing w:after="0" w:line="202"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$20.8 million increase in interest expense due to the increase in the Company’s average overall indebtedness and the increase in overall interest rates, partially offset by decreased amortization of debt issuance costs and discounts;</w:t>
      </w:r>
    </w:p>
    <w:p>
      <w:pPr>
        <w:spacing w:after="0" w:line="188" w:lineRule="exact"/>
        <w:rPr>
          <w:rFonts w:ascii="Times New Roman" w:cs="Times New Roman" w:eastAsia="Times New Roman" w:hAnsi="Times New Roman"/>
          <w:sz w:val="18"/>
          <w:szCs w:val="18"/>
          <w:color w:val="auto"/>
        </w:rPr>
      </w:pPr>
    </w:p>
    <w:p>
      <w:pPr>
        <w:jc w:val="both"/>
        <w:ind w:left="1300" w:right="12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increase in the Company’s general and administrative expenses primarily attributable to increased employee count, salary increases and annual bonuses in addition to increased internal and external audit costs and legal expenses as a result of the growth of the Company; and</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production and ad valorem taxes primarily attributable to an increase in ad valorem taxes, partially offset by lower production taxes as a result of lower revenues recognized by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$30.1 million decrease in the Company’s income tax expense primarily due to the net income realized during 2024 being less than the net income realized during 2023;</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$27.3 million decrease in loss on extinguishment of debt as a result of the Company refinancing its debt in 2023 which resulted in the recognition of a loss thereon, which included $22.8 million of unamortized debt issuance costs and discounts and a make whole premium on the 10.625% Senior Notes of $4.5 million;</w:t>
      </w:r>
    </w:p>
    <w:p>
      <w:pPr>
        <w:spacing w:after="0" w:line="20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$13.3 million decrease in the Company’s stock-based compensation expense as a result of fewer restricted stock and stock options being issued relative to the prior period;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$13.1 million decrease in lease operating expenses related primarily to lower chemical and treating costs, lower costs of handling produced water and lower workover costs, partially offset by increased pumper, roustabout and supervision costs, communication expenses, rental equipment and contract services;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increase in the Company’s interest income due to the increased cash on hand (interest-bearing) subsequent to the closing of the Term Loan Credit Agreement in September 2023;</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decrease in the Company’s other expense primarily as a result of the settlement of a water treatment contract in the prior year;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decrease in the Company’s exploration and abandonment expense due to a decrease in the amount of leasehold abandonments experienced in 2024 compared to 2023.</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average daily sales volumes totaled 49,960 Boepd, an increase of 10% over 2023, due to the Company’s successful horizontal drilling program in the Permian Basin.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decreased during the year ended December 31, 2024 to $76.42, excluding the effects of derivatives, compared with $78.26 for 2023. Weighted average realized NGL prices per Bbl increased during the year ended December 31, 2024 to $22.06, compared with $21.51 for 2023. Weighted average realized natural gas prices per Mcf decreased to $0.49 during the year ended December 31, 2024, compared with $1.56 during 2023.</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$690.4 million for the year ended December 31, 2024, compared with $756.4 million for the year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 exposure. </w:t>
      </w:r>
      <w:r>
        <w:rPr>
          <w:rFonts w:ascii="Times New Roman" w:cs="Times New Roman" w:eastAsia="Times New Roman" w:hAnsi="Times New Roman"/>
          <w:sz w:val="18"/>
          <w:szCs w:val="18"/>
          <w:color w:val="auto"/>
        </w:rPr>
        <w:t>As of December 31, 2024, the Company was a party to the following open crude oil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Collars, Enhanced Collars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&amp; Deferred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Payable</w:t>
            </w:r>
          </w:p>
        </w:tc>
      </w:tr>
      <w:tr>
        <w:trPr>
          <w:trHeight w:val="23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4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Bbl</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Bbl</w:t>
            </w:r>
          </w:p>
        </w:tc>
      </w:tr>
      <w:tr>
        <w:trPr>
          <w:trHeight w:val="210"/>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7,467</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tcBorders>
              <w:bottom w:val="single" w:sz="8" w:color="auto"/>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1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140" w:type="dxa"/>
            <w:vAlign w:val="bottom"/>
            <w:tcBorders>
              <w:bottom w:val="single" w:sz="8" w:color="auto"/>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0" w:lineRule="exact"/>
        <w:rPr>
          <w:sz w:val="20"/>
          <w:szCs w:val="20"/>
          <w:color w:val="auto"/>
        </w:rPr>
      </w:pP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December 31, 2024 was a net asset of $2.2 million which is included in current assets and current liabilities on the Company’s consolidated balance sheet as of December 31, 2024. During the year ended December 31, 2024, the Company recognized a net derivative loss of $46.5 million, including a $32.2 million mark-to-market loss and $14.3 million in net monthly settlement payments.</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Natural gas derivative instruments. </w:t>
      </w:r>
      <w:r>
        <w:rPr>
          <w:rFonts w:ascii="Times New Roman" w:cs="Times New Roman" w:eastAsia="Times New Roman" w:hAnsi="Times New Roman"/>
          <w:sz w:val="18"/>
          <w:szCs w:val="18"/>
          <w:color w:val="auto"/>
        </w:rPr>
        <w:t>In February 2025, the Company entered into the following natural gas derivative instruments,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HH fixed price swaps at $4.43 per MMBtu for 30,000 MMBtu per day for March 2025 through February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MMBtu</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10,333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19,667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37,914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34,828</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liquids production was 88% of total production on a Boe basis for the year ended December 31, 2024.</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1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acquisitions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162,223</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incurred</w:t>
            </w:r>
          </w:p>
        </w:tc>
        <w:tc>
          <w:tcPr>
            <w:tcW w:w="158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Development/service and exploration/extension drilling activity is as follows:</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580" w:type="dxa"/>
            <w:vAlign w:val="bottom"/>
          </w:tcPr>
          <w:p>
            <w:pPr>
              <w:jc w:val="right"/>
              <w:ind w:right="237"/>
              <w:spacing w:after="0" w:line="188"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Exploration/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wells in progress</w:t>
            </w:r>
          </w:p>
        </w:tc>
        <w:tc>
          <w:tcPr>
            <w:tcW w:w="1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 spud</w:t>
            </w: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Successful wells</w:t>
            </w:r>
          </w:p>
        </w:tc>
        <w:tc>
          <w:tcPr>
            <w:tcW w:w="1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vMerge w:val="continue"/>
            <w:shd w:val="clear" w:color="auto" w:fill="CCEEFF"/>
          </w:tcPr>
          <w:p>
            <w:pPr>
              <w:spacing w:after="0"/>
              <w:rPr>
                <w:sz w:val="5"/>
                <w:szCs w:val="5"/>
                <w:color w:val="auto"/>
              </w:rPr>
            </w:pPr>
          </w:p>
        </w:tc>
        <w:tc>
          <w:tcPr>
            <w:tcW w:w="1580" w:type="dxa"/>
            <w:vAlign w:val="bottom"/>
            <w:tcBorders>
              <w:bottom w:val="single" w:sz="8" w:color="auto"/>
            </w:tcBorders>
            <w:shd w:val="clear" w:color="auto" w:fill="CCEEFF"/>
          </w:tcPr>
          <w:p>
            <w:pPr>
              <w:jc w:val="right"/>
              <w:ind w:right="17"/>
              <w:spacing w:after="0" w:line="68" w:lineRule="exact"/>
              <w:rPr>
                <w:sz w:val="20"/>
                <w:szCs w:val="20"/>
                <w:color w:val="auto"/>
              </w:rPr>
            </w:pPr>
            <w:r>
              <w:rPr>
                <w:rFonts w:ascii="Times New Roman" w:cs="Times New Roman" w:eastAsia="Times New Roman" w:hAnsi="Times New Roman"/>
                <w:sz w:val="7"/>
                <w:szCs w:val="7"/>
                <w:color w:val="auto"/>
              </w:rPr>
              <w:t>(52</w:t>
            </w: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Ending wells in progress</w:t>
            </w:r>
          </w:p>
        </w:tc>
        <w:tc>
          <w:tcPr>
            <w:tcW w:w="1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Results of operations should be read together with the Company’s consolidated financial statements and related notes included in “Item 8. Financial Statements and Supplementary Data” of this Annual Report. See the Company’s </w:t>
      </w:r>
      <w:hyperlink r:id="rId84">
        <w:r>
          <w:rPr>
            <w:rFonts w:ascii="Times New Roman" w:cs="Times New Roman" w:eastAsia="Times New Roman" w:hAnsi="Times New Roman"/>
            <w:sz w:val="17"/>
            <w:szCs w:val="17"/>
            <w:u w:val="single" w:color="auto"/>
            <w:color w:val="0000EE"/>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2023 filed with the SEC on March 6, 2024 for a discussion of the Company’s 2023 results of operations compared with the Company’s 2022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revenues, which are entirely originated in the continental United States, are derived from the sale of crude oil and natural gas production and the sale of NGL that are extracted from natural gas during processing. For the years ended December 31, 2024, 2023 and 2022, revenues from our assets were derived approximately 99%, 98% and 95%, respectively, from crude oil sales and 1%, 2% and 5%, respectively, from NGL and natural gas sales.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resulting from the concentration of its crude oil and natural gas receivables with significant purchasers. For the year ended December 31, 2024, sales to the Company’s largest purchaser accounted for approximately 76%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revenues are presented net of certain gathering, transportation and processing expenses incurred to deliver production of its assets’ crude oil, NGL and natural gas to the market. Cost levels of these expenses can vary based on the volume of crude oil, NGL and natural gas produced as well as the cost of commodity processing. Crude oil, NGL and natural gas prices are inherently volatile and are influenced by many factors outside the Company’s control. To reduce the impact of fluctuations in crude oil, NGL and natural gas prices on revenues, the Company may periodically enter into derivative contracts with respect to a portion of its estimated crude oil, NGL and natural gas production through various transactions that fix or set a floor price for future prices received.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Components of Cost Structure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Costs associated with producing crude oil, NGL and natural gas are substantial. Some of these costs vary with commodity prices, some trend with the type and volume of production, and others are a function of the number of wells owned. The sections below summarize the primary operating costs typically incurred:</w:t>
      </w:r>
    </w:p>
    <w:p>
      <w:pPr>
        <w:spacing w:after="0" w:line="172" w:lineRule="exact"/>
        <w:rPr>
          <w:sz w:val="20"/>
          <w:szCs w:val="20"/>
          <w:color w:val="auto"/>
        </w:rPr>
      </w:pPr>
    </w:p>
    <w:p>
      <w:pPr>
        <w:ind w:left="660" w:hanging="328"/>
        <w:spacing w:after="0" w:line="25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Lease operating expenses (“LOE”) are the costs incurred in the operation of producing properties and workover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for utilities, direct labor, water injection and disposal, workover rigs and workover expenses, materials and supplies comprise the most significant portion of LOE. Certain items, such as direct labor and materials and supplies, generally remain relatively fixed across broad production volume ranges, but can fluctuate depending on activities performed during a specific period. For instance, repairs to pumping equipment or surface facilities result in increased LOE in periods during which they are performed. Certain operating cost components are variable and increase or decrease as the level of produced hydrocarbons and water increases or decreases. For example, power costs are incurred in connection with various production-related activities, such as pumping to recover crude oil and natural gas and separation and treatment of water produced in connection with crude oil and natural gas production.</w:t>
      </w:r>
    </w:p>
    <w:p>
      <w:pPr>
        <w:spacing w:after="0" w:line="188"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monitors the operation of its assets to determine whether it is incurring LOE at an acceptable level. For example, it monitors LOE per Boe to determine if any wells or properties should be shut-in, recompleted or sold. This unit rate also allows the Company to monitor these costs to identify trends and to benchmark against other producers. Although the Company strives to reduce its LOE, these expenses can increase or decrease on a per-unit basis as a result of various factors as it operates its assets or makes acquisitions and dispositions of properties. For example, the Company may increase field-level expenditures to optimize their operations, incurring higher expenses in one quarter relative to another, or they may acquire or dispose of properties that have different LOE per Boe. These initiatives would influence overall operating cost and could cause fluctuations when comparing LOE on a period-to-period basis.</w:t>
      </w:r>
    </w:p>
    <w:p>
      <w:pPr>
        <w:spacing w:after="0" w:line="18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and other taxes. </w:t>
      </w:r>
      <w:r>
        <w:rPr>
          <w:rFonts w:ascii="Times New Roman" w:cs="Times New Roman" w:eastAsia="Times New Roman" w:hAnsi="Times New Roman"/>
          <w:sz w:val="18"/>
          <w:szCs w:val="18"/>
          <w:color w:val="auto"/>
        </w:rPr>
        <w:t>Production and other taxes are paid on produced crude oil and natural gas based on rates established by federal, 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local taxing authorities. In general, production and other taxes paid correlate to changes in crude oil, NGL and natural gas revenues. Production taxes are based on the market value of production at the wellhead. The Company is also subject to ad valorem taxes in the counties where production is located. Ad valorem taxes are based on the fair market value of the mineral interests for producing wells.</w:t>
      </w:r>
    </w:p>
    <w:p>
      <w:pPr>
        <w:spacing w:after="0" w:line="176"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Depletion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Crude Oil and Natural Gas Properties. </w:t>
      </w:r>
      <w:r>
        <w:rPr>
          <w:rFonts w:ascii="Times New Roman" w:cs="Times New Roman" w:eastAsia="Times New Roman" w:hAnsi="Times New Roman"/>
          <w:sz w:val="18"/>
          <w:szCs w:val="18"/>
          <w:color w:val="auto"/>
        </w:rPr>
        <w:t>Depletion is the systematic expensing of the capitalized costs incurred to acquire and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properties. The Company uses the successful efforts method of accounting for crude oil and natural gas properties. Accordingly, all costs associated with acquisition, successful exploration/extension wells and development of crude oil and natural gas reserves, including directly related overhead costs and asset retirement costs are capitalized. However, the costs of abandoned properties, exploratory dry holes, geophysical costs and annual lease rentals are charged to expense as incurred. All capitalized costs of crude oil and natural gas properties are amortized on the unit-of-production method using estimates of proved reserves. Any remaining investments in unproved properties are not amortized until proved reserves associated with the projects can be determined or until impairment occurs.</w:t>
      </w:r>
    </w:p>
    <w:p>
      <w:pPr>
        <w:spacing w:after="0" w:line="182"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(“G&amp;A”) are costs incurred for overhead, including payroll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for corporate staff and costs of maintaining a headquarters, costs of managing production and development operations, IT expenses and audit and other fees for professional services, including legal compliance and acquisition-related expenses.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Results of operations should be read together with the Company’s consolidated financial statements and related notes included in “Item 8. Financial Statements and Supplementary Data”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revenues are derived from the sales of crude oil, NGL and natural gas production. Increases or decreases in the Company’s revenues, profitability and future production are highly dependent on commodity prices. Prices are market driven and future prices will fluctuate due to supply and demand factors, availability of transportation, seasonality, geopolitical developments and economic factors, among other items.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Crude oil, NGL and natural gas revenues are as follows (in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NGL and natural gas revenues</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1,069,414</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1,111,293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(41,879)</w:t>
            </w: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are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average daily Boe sales volumes for the year ended December 31, 2024, compared with 2023 was due to the Company tying in all of its existing production facilities into natural gas gathering, processing and treating facilities and maintaining relatively flat crude oil production utilizing only a two-rig drilling program throughout 2024.</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prices, excluding the effects of derivatives,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33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76.42</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33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22.06</w:t>
            </w: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33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33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58.48</w:t>
            </w: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slight decrease in prices for crude oil, slight increase in prices for NGL and decrease in prices for natural gas for the year ended December 31, 2024, compared with 2023 was due to an overall lower commodity price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Variance Analysis.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illustrates the variance in revenues attributable to prices versus volumes (in thousands except prices and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1,069,414</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1,111,293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(Boe)</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45,577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price per Boe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58.48</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change from prior period due to prices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Revenue change from prior period due to volumes</w:t>
            </w:r>
          </w:p>
        </w:tc>
        <w:tc>
          <w:tcPr>
            <w:tcW w:w="3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Rounding</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from prior period revenues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detailed above, the decrease in total operating revenues for the year ended December 31, 2024 compared to the same period in 2023 is the result of a 12% decrease in average realized price per Boe partially offset by a 10% increase in average daily sales volumes primarily as a result of the Company’s successful drilling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are as follows (in thousands):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5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132,244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145,362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432"/>
        </w:trPr>
        <w:tc>
          <w:tcPr>
            <w:tcW w:w="538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per Boe are as follows:</w:t>
            </w: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3"/>
        </w:trPr>
        <w:tc>
          <w:tcPr>
            <w:tcW w:w="5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w:t>
            </w:r>
          </w:p>
        </w:tc>
        <w:tc>
          <w:tcPr>
            <w:tcW w:w="17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Workover costs</w:t>
            </w:r>
          </w:p>
        </w:tc>
        <w:tc>
          <w:tcPr>
            <w:tcW w:w="7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5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Lease operating expense per Boe for 2024 decreased compared with 2023. This is primarily related to lower chemical and treating costs, lower costs of handling produced water and lower workover costs, partially offset by increased pumper, roustabout and supervision costs, communication expenses, rental equipment and contract services.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5"/>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59,677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58,472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production and commodity price changes; however, Texas ad valorem taxes are based upon prior year commodity prices and valuations as of the first of the year, whereas production taxes are based upon current year commodity prices and sales volumes.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Production taxes per Boe for the year ended December 31, 2024, compared with 2023, decreased primarily due to the 12% overall decrease in realized sales prices. The increase in ad valorem taxes per Boe for the year ended December 31, 2024, compared with 2023, was primarily due to the increase in commodity prices in 2023 and a significant number of wells that came on production during 2023 that had no ad valorem tax in 2023. 2024 was the first year these wells were assessed ad valorem taxes. In Texas, ad valorem taxes are based on a valuation of the wells on January 1 of a given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5"/>
        </w:trPr>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14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4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14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decrease in exploration and abandonment expenses is primarily the result of $3.3 million less in abandoned leasehold costs related to undeveloped acreage that was not in an area where the Company had current plans to drill and thus the leases were allowed to expire in 2023. The Company remains committed to maintaining as much of its undeveloped acreage leasehold position as possible, but from time to time, certain acreage is not able to be extended at reasonable prices and we are not able to get a drilling rig in the area in time to save the leases for a multitude of reasons. In addition, the Company spent $194,000 less in 2024 on plugging various old vertical wells across our acreage position in accordance with applicable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depreciation and amortization expense.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is as follows (in thousands):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5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500,752</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424,424</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76,328</w:t>
            </w: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 is as follows: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5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27.39</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increase in DD&amp;A expense is primarily due to the increased production associated with our successful horizontal drilling program in addition to an increase in the DD&amp;A rate primarily attributed to increased infrastructure and associated costs as we test new areas. Based on year-end 2024 proved reserves, we anticipate our DD&amp;A rate going into 2025 to be in the $23.00 per Boe range, similar to the fourth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and stock-based compensation expense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3,794</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25,957</w:t>
            </w:r>
          </w:p>
        </w:tc>
        <w:tc>
          <w:tcPr>
            <w:tcW w:w="6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r>
      <w:tr>
        <w:trPr>
          <w:trHeight w:val="41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 is as follows: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5"/>
        </w:trPr>
        <w:tc>
          <w:tcPr>
            <w:tcW w:w="5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5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year ended December 31, 2024 is primarily as a result of salary increases and annual bonuses in addition to an increase in internal and external audit costs and legal expenses related to the growth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noncash stock-based compensation expense is due to fewer awards granted in 2024 compared with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is as follows (in thousands):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0"/>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Term Loan Credit Agreement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149,844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102,024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Senior Credit Facility Agreement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Prior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10.625% Senior Notes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10.000% Senior Notes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10"/>
        </w:trPr>
        <w:tc>
          <w:tcPr>
            <w:tcW w:w="63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168,712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20,811</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can be primarily attributed to higher interest rates in 2024 compared to 2023, but more importantly, to increased borrowings under the Term Loan Credit Agreement beginning in September 2023, partially offset by lower amortization of discounts and debt issuance costs with the longer term on the new debt issuances in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loss, net.</w:t>
            </w: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loss, net is as follows (in thousands):</w:t>
            </w: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4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09"/>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25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(32,218)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51,796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paid on settlement of derivative instruments, net</w:t>
            </w:r>
          </w:p>
        </w:tc>
        <w:tc>
          <w:tcPr>
            <w:tcW w:w="16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(14,246)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9,948</w:t>
            </w:r>
          </w:p>
        </w:tc>
      </w:tr>
      <w:tr>
        <w:trPr>
          <w:trHeight w:val="24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5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(46,464)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(74,066)</w:t>
            </w:r>
          </w:p>
        </w:tc>
      </w:tr>
      <w:tr>
        <w:trPr>
          <w:trHeight w:val="412"/>
        </w:trPr>
        <w:tc>
          <w:tcPr>
            <w:tcW w:w="470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115"/>
        </w:trPr>
        <w:tc>
          <w:tcPr>
            <w:tcW w:w="47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474" w:gutter="0" w:footer="0" w:header="0"/>
        </w:sectPr>
      </w:pPr>
    </w:p>
    <w:bookmarkStart w:id="80" w:name="page81"/>
    <w:bookmarkEnd w:id="80"/>
    <w:p>
      <w:pPr>
        <w:spacing w:after="0" w:line="256" w:lineRule="auto"/>
        <w:rPr>
          <w:sz w:val="20"/>
          <w:szCs w:val="20"/>
          <w:color w:val="auto"/>
        </w:rPr>
      </w:pPr>
      <w:r>
        <w:rPr>
          <w:rFonts w:ascii="Times New Roman" w:cs="Times New Roman" w:eastAsia="Times New Roman" w:hAnsi="Times New Roman"/>
          <w:sz w:val="18"/>
          <w:szCs w:val="18"/>
          <w:color w:val="auto"/>
        </w:rPr>
        <w:t>The Company primarily utilizes commodity swap contracts, collars, enhanced collars and deferred premium puts to (i) reduce the effect of price volatility on the commodities the Company produces and sells,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natural gas contracts or interest rate contracts to reduce the effect of interest rate volatility on the Company’s indebtedness. The above mark-to-market gains and losses and cash settlements relate to crude oil and natural gas derivative swap, enhanced collars and deferred premium put contracts.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1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5"/>
        </w:trPr>
        <w:tc>
          <w:tcPr>
            <w:tcW w:w="4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4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(in thousands)</w:t>
            </w:r>
          </w:p>
        </w:tc>
        <w:tc>
          <w:tcPr>
            <w:tcW w:w="27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35,851</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65,905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(30,054)</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change in income tax expense during the year ended December 31, 2024, compared with 2023, was due to decreased net income during the year ended December 31, 2024 compared with 2023. The effective income tax rate differs from the statutory rate primarily due to a revision on the deferred tax asset related to certain stock-based compensation and permanent differences between GAAP income and taxable income. See Note 13 of Notes to Consolidated Financial Statements included in “Item 8. Financial Statements and Supplementary Data” in this Annual Report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Liquidity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Company’s primary sources of short-term liquidity are (i) cash and cash equivalents, including remaining cash proceeds from our $1.2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billion Term Loan Credit Agreement, (ii) net cash provided by operating activities, (iii) unused borrowing capacity under the Senior Credit Facility Agreement, (iv) on an opportunistic basis, other issuances of debt or equity securities and (v) other sources, such as sales of nonstrategic assets.</w:t>
      </w:r>
    </w:p>
    <w:p>
      <w:pPr>
        <w:spacing w:after="0" w:line="1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acquisitions of crude oil and natural gas properties, (iii) payments of contractual obligations, (iv) working capital obligations, and (v) interest payments on and amortization of its indebtedness. Funding for these cash needs may be provided by any combination of the Company’s sources of liquidity. Although the Company expects its sources of funding will be adequate to fund its 2025 planned capital expenditures and provide adequate liquidity to fund other needs, no assurance can be given that such funding sources will be adequate to meet the Company’s future needs.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Refinancing. </w:t>
      </w:r>
      <w:r>
        <w:rPr>
          <w:rFonts w:ascii="Times New Roman" w:cs="Times New Roman" w:eastAsia="Times New Roman" w:hAnsi="Times New Roman"/>
          <w:sz w:val="18"/>
          <w:szCs w:val="18"/>
          <w:color w:val="auto"/>
        </w:rPr>
        <w:t>In September 2023, we completed a refinancing of our long-term debt in its entirety by entering into an agreement with Texas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Term Loan Credit Agreement, the Company entered into a collateral agency agreement (the “Collateral Agency 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 2023, but included in part of the refinancing of the Company’s overall long-term debt, the Company entered into a Senior Credit Facility Agreement with Fifth Third Bank, National Association (“Fifth Third”) as the administrative agent and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Facility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2025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2025 is expected to be in the range of approximately $375 to $405 million for drilling,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and equipping crude oil wells plus $40 to $50 million for field infrastructure buildout and other costs and $33 - $35 million on one-time infrastructure expenditures. The 2025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and borrowings under the Senior Credit Facility Agreement, if needed. The Company’s capital expenditures for the year ended December 31, 2024 were $604.3 million, excluding acquisitions.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budget above assumes that the Company will operate an average of two (2) drilling rigs and an average of one (1) frac crew during 2025. However, there are many factors and consequences beyond the Company’s control, such as policies of the Trump Administration, economic downturn or potential recession, geo-political risks and additional actions by businesses, and OPEC and other cooperating countries, that may have an impact on the Company’s future results and drilling plans. For additional information on the risks, see “Part I, Item 1A. Risk Factors.” Given the dynamic nature of this situation, the Company is maintaining flexibility in its capital plan and will continue to evaluate drilling and completion activity on an economic basis, with future activity levels assessed monthly.</w:t>
      </w:r>
    </w:p>
    <w:p>
      <w:pPr>
        <w:spacing w:after="0" w:line="18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2024, the Company had $1.1 billion in outstanding borrowings under the Term Loan Credit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$93.1 million available to borrow under the Senior Credit Facility Agreement. The Company also had unrestricted cash on hand of $86.6 million as of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investing and financing activities are summarized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690,391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756,389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(620,843)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505,092</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533,557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(710,971)</w:t>
            </w:r>
          </w:p>
        </w:tc>
      </w:tr>
      <w:tr>
        <w:trPr>
          <w:trHeight w:val="432"/>
        </w:trPr>
        <w:tc>
          <w:tcPr>
            <w:tcW w:w="4240" w:type="dxa"/>
            <w:vAlign w:val="bottom"/>
          </w:tcPr>
          <w:p>
            <w:pPr>
              <w:spacing w:after="0"/>
              <w:rPr>
                <w:sz w:val="24"/>
                <w:szCs w:val="24"/>
                <w:color w:val="auto"/>
              </w:rPr>
            </w:pP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82" w:name="page83"/>
    <w:bookmarkEnd w:id="82"/>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decrease in net cash flow provided by operating activities for the year ended December 31, 2024,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 in cash flow from the statement of operations related mostly to decreased revenues associated with lower commodity prices partially offset by increased production volumes as a result of our successful horizontal drilling program, increased interest expense due to a higher debt balance and increased interest rates, partially offset by lower operating expenses.</w:t>
      </w:r>
    </w:p>
    <w:p>
      <w:pPr>
        <w:spacing w:after="0" w:line="18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year ended December 31, 2024, compared with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in additions to crude oil and natural gas properties including drilling and completion operations and a decrease in the change in working capital associated with oil and gas property additions.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The Company (i) repaid $120.0 million of the Term Loan Credit Agreement, (ii) repurchased $35.2 million of its common stock and</w:t>
      </w:r>
    </w:p>
    <w:p>
      <w:pPr>
        <w:spacing w:after="0" w:line="27" w:lineRule="exact"/>
        <w:rPr>
          <w:rFonts w:ascii="Times New Roman" w:cs="Times New Roman" w:eastAsia="Times New Roman" w:hAnsi="Times New Roman"/>
          <w:sz w:val="18"/>
          <w:szCs w:val="18"/>
          <w:color w:val="auto"/>
        </w:rPr>
      </w:pPr>
    </w:p>
    <w:p>
      <w:pPr>
        <w:ind w:left="980" w:right="240"/>
        <w:spacing w:after="0" w:line="260" w:lineRule="auto"/>
        <w:tabs>
          <w:tab w:leader="none" w:pos="12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dividends to its common stockholders of $20.1 million and dividend equivalents to certain holders of vested stock options of $2.1 million.</w:t>
      </w:r>
    </w:p>
    <w:p>
      <w:pPr>
        <w:spacing w:after="0" w:line="181"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The Company (i) borrowed $1.4 billion and repaid $1.0 billion for a net increase in long-term debt related to the now refinanced debt in the form of the Term Loan Credit Agreement of $425.0 million, (ii) received $155.8 million from the issuance of 14,835,000 shares of common stock in a public offering, (iii) received $4.2 million in proceeds from the exercises of warrants and stock options of the Company,</w:t>
      </w:r>
    </w:p>
    <w:p>
      <w:pPr>
        <w:spacing w:after="0" w:line="1" w:lineRule="exact"/>
        <w:rPr>
          <w:rFonts w:ascii="Times New Roman" w:cs="Times New Roman" w:eastAsia="Times New Roman" w:hAnsi="Times New Roman"/>
          <w:sz w:val="18"/>
          <w:szCs w:val="18"/>
          <w:color w:val="auto"/>
        </w:rPr>
      </w:pPr>
    </w:p>
    <w:p>
      <w:pPr>
        <w:ind w:left="980" w:right="200"/>
        <w:spacing w:after="0" w:line="253" w:lineRule="auto"/>
        <w:tabs>
          <w:tab w:leader="none" w:pos="12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dividends to its common stockholders of $11.9 million and dividend equivalents to certain holders of vested stock options of $1.3 million, (v) spent $28.4 million on debt issuance costs primarily related to the issuance of the Term Loan Credit Agreement and to a lesser extent the new Senior Credit Facility Agreement and amendments to increase its borrowing capacity under the Prior Credit Agreement, (vi) spent $5.4 million in stock offering costs related to the public offering and (vii) spent $4.5 million in make whole payments to retire the 10.625% Senior Notes early.</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 associated with any outstanding balance on the Term Loan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Senior Credit Facility Agreement. As of December 31, 2024, we had a $1.1 billion outstanding balance on the Term Loan Credit Agreement and zero outstanding on the Senior Credit Facility Agreement. Our Term Loan Credit Agreement fixes the interest rate for all of the principal balance for a period of three months and the Senior Credit Facility Agreement allows us to fix the interest rate for all or a portion of the principal balance for a period of up to six months. To the extent that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 between Russia and Ukraine. The realized prices we receive for our production also depend on numerous factors that are typically beyond our control. Based on our 2024 sales volumes and excluding the effects on derivatives, a $1.00 per barrel increase (decrease) in the weighted average crude oil price for the year ended December 31, 2024 would have increased (decreased) the Company’s crude oil and NGL revenues by approximately $14.5 million and a $0.10 per Mcf increase (decrease) in the weighted average natural gas price for the year ended December 31, 2024 would have increased (decreased) the Company’s natural gas revenues by approximately $1.3 million.</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December 31, 2024, a $1.00 increase (decrease) in the forward curves associated with our crude oil commodity derivative instruments would have changed our net derivative positions for these products by approximately $1.4 million.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83" w:name="page84"/>
    <w:bookmarkEnd w:id="83"/>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Consolidated Financial Statements included in “Item 8. Financial Statements and Supplementary Data” of this Annual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95,069</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50,610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500,752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EBITDAX</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842,855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866,667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577,081</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for inclusion in this Annual Report in accordance with GAAP. See Note 2 of Notes to Consolidated Financial Statements included in “Item 8. Financial Statements and Supplementary Data” in this Annual Report for additional information. The following is a discussion of the Company’s most critical accounting estimates, judgments and uncertainties that are inherent in the Company’s application of GAAP.</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Successful efforts method of accounting. </w:t>
      </w:r>
      <w:r>
        <w:rPr>
          <w:rFonts w:ascii="Times New Roman" w:cs="Times New Roman" w:eastAsia="Times New Roman" w:hAnsi="Times New Roman"/>
          <w:sz w:val="18"/>
          <w:szCs w:val="18"/>
          <w:color w:val="auto"/>
        </w:rPr>
        <w:t>The Company utilizes the successful efforts method of accounting for crude oil and natural gas producing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as opposed to the alternate acceptable full cost method. In general, the Company believes that net assets and net income are more conservatively measured under the successful efforts method of accounting for crude oil and natural gas producing activities than under the full cost method, particularly during periods of active exploration. The critical difference between the successful efforts method of accounting and the full cost method is that under the successful efforts method, exploratory dry holes and geological and geophysical exploration costs are charged against earnings during the periods in which they occur; whereas, under the full cost method of accounting, such costs and expenses are capitalized as assets, pooled with the costs of successful wells and charged against the earnings of future periods as a component of DD&amp;A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4" w:name="page85"/>
    <w:bookmarkEnd w:id="84"/>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Proved reserve estimates. </w:t>
      </w:r>
      <w:r>
        <w:rPr>
          <w:rFonts w:ascii="Times New Roman" w:cs="Times New Roman" w:eastAsia="Times New Roman" w:hAnsi="Times New Roman"/>
          <w:sz w:val="18"/>
          <w:szCs w:val="18"/>
          <w:color w:val="auto"/>
        </w:rPr>
        <w:t>Estimates of the Company’s proved reserves included in this Annual Report are prepared in accordance with GAAP and SEC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The accuracy of a reserve estimate is a function of:</w:t>
      </w:r>
    </w:p>
    <w:p>
      <w:pPr>
        <w:spacing w:after="0" w:line="15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quantity of available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that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various mandated economic assumptions;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persons preparing the estimate.</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proved reserve information included in this Annual Report as of December 31, 2024, 2023 and 2022 was prepared by independent petroleum engineers. Because these estimates depend on many assumptions, all of which may substantially differ from future actual results, proved reserve estimates will be different from the quantities of crude oil and natural gas that are ultimately recovered. In addition, results of drilling, testing and production after the date of an estimate may justify material revisions, positively or negatively, to the estimate of proved reserves. For the year ended December 31, 2024, net upward revisions of our proved reserves totaled approximately 18,017 MBoe and for the years ended December 31, 2023 and 2022, net downward revisions of our proved reserves totaled approximately 16,093 MBoe and 9,211 MBoe, respectively. We cannot predict the amounts or timing of future reserve revisions or removals.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 should not be assumed that the standardized measure included in this Annual Report as of December 31, 2024 is the current market value of the Company’s estimated proved reserves. In accordance with SEC requirements, the Company based the 2024 standardized measure on a twelve-month average of commodity prices on the first day of each month in 2024 and prevailing costs on the date of the estimate. Actual future prices and costs may be materially higher or lower than the prices and costs utilized in the estimate. See “Items 1 and 2. Business and Properties” and Unaudited Supplementary Data included in “Item 8. Financial Statements and Supplementary Data” for additional information.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estimates of proved reserves materially impact DD&amp;A expense. If the estimates of proved reserves decline, the rate at which the Company records DD&amp;A expense will increase, reducing future net income. Such a decline may result from lower commodity prices, which may make it uneconomical to drill for and produce higher cost fields. In addition, a decline in proved reserve estimates may impact the outcome of the Company’s assessment of its proved properties for impairment.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proved crude oil and natural gas properties. </w:t>
      </w:r>
      <w:r>
        <w:rPr>
          <w:rFonts w:ascii="Times New Roman" w:cs="Times New Roman" w:eastAsia="Times New Roman" w:hAnsi="Times New Roman"/>
          <w:sz w:val="18"/>
          <w:szCs w:val="18"/>
          <w:color w:val="auto"/>
        </w:rPr>
        <w:t>The Company performs assessments of its long-lived assets to be held and used,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 Proved crude oil and natural gas properties are reviewed for impairment at the level at which depletion of proved properties is calculated. See Note 2 of Notes to Consolidated Financial Statements included in “Item 8. Financial Statements and Supplementary Data” for additional information.</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unproved crude oil and natural gas properties. </w:t>
      </w:r>
      <w:r>
        <w:rPr>
          <w:rFonts w:ascii="Times New Roman" w:cs="Times New Roman" w:eastAsia="Times New Roman" w:hAnsi="Times New Roman"/>
          <w:sz w:val="18"/>
          <w:szCs w:val="18"/>
          <w:color w:val="auto"/>
        </w:rPr>
        <w:t>At December 31, 2024, the Company carried unproved property costs of $70.9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assesses unproved crude oil and natural gas properties for impairment on a project-by-project basis. Management's impairment assessments include evaluating the results of exploration activities, management's price outlooks and planned future sales or expiration of all or a portion of such projects.</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Suspended wells. </w:t>
      </w:r>
      <w:r>
        <w:rPr>
          <w:rFonts w:ascii="Times New Roman" w:cs="Times New Roman" w:eastAsia="Times New Roman" w:hAnsi="Times New Roman"/>
          <w:sz w:val="18"/>
          <w:szCs w:val="18"/>
          <w:color w:val="auto"/>
        </w:rPr>
        <w:t>The Company suspends the costs of exploratory wells that discover hydrocarbons pending a final determination of the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of the discovery. The ultimate disposition of these well costs is dependent on the results of future drilling activity and development decisions. If the Company decides not to pursue additional appraisal activities or development of these fields, the costs of these wells will be charged to exploration and abandonment expense.</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sheets following the completion of drilling unless both of the following conditions are met:</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well has found a sufficient quantity of reserves to justify its completion as a producing well;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making sufficient progress assessing the reserves and the economic and operating viability of the project.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5" w:name="page86"/>
    <w:bookmarkEnd w:id="85"/>
    <w:p>
      <w:pPr>
        <w:ind w:right="20"/>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economics associated with making a determination of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transportation or processing facilities and/or getting partner approval to drill additional appraisal wells. These activities are ongoing and being pursued constantly. Consequently, the Company's assessment of suspended exploratory well costs is continuous until a decision can be made that the well has found sufficient quantities of proved reserves to sanction the project or is determined to be noncommercial and is impaired. See Note 6 of Notes to Consolidated Financial Statements included in "Item 8. Financial Statements and Supplementary Data" for additional information.</w:t>
      </w:r>
    </w:p>
    <w:p>
      <w:pPr>
        <w:spacing w:after="0" w:line="1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has significant obligations to remove tangible equipment and facilities and to restore the land at the end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production operations. The Company's removal and restoration obligations are primarily associated with plugging and abandoning wells. Estimating the future restoration and removal costs is difficult and requires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See Note 8 of Notes to Consolidated Financial Statements included in "Item 8. Financial Statements and Supplementary Data" for additional information.</w:t>
      </w:r>
    </w:p>
    <w:p>
      <w:pPr>
        <w:spacing w:after="0" w:line="17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tax asset valuation allowances. </w:t>
      </w:r>
      <w:r>
        <w:rPr>
          <w:rFonts w:ascii="Times New Roman" w:cs="Times New Roman" w:eastAsia="Times New Roman" w:hAnsi="Times New Roman"/>
          <w:sz w:val="18"/>
          <w:szCs w:val="18"/>
          <w:color w:val="auto"/>
        </w:rPr>
        <w:t>The Company continually assesses both positive and negative evidence to determine whether it is more likely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not that its deferred tax assets will be realized prior to their expiration. HighPeak Energy monitors Company-specific, crude oil and natural gas industry and worldwide economic factors and based on that information, along with other data, reassesses the likelihood that the Company's net operating loss carryforwards and other deferred tax attributes in each jurisdiction will be utilized prior to their expiration. There can be no assurance that facts and circumstances will not materially change and require the Company to establish deferred tax asset valuation allowances in certain jurisdictions in a future period.</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Uncertain tax positions. </w:t>
      </w: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sustained upon examination by the taxing authorities, based upon the technical merits of the position. If all or a portion of the unrecognized tax benefits is sustained upon examination by the taxing authorities, the tax benefit will be recorded as a reduction to the Company's deferred tax liability and will affect the Company's effective tax rate in the period it is recorded. As of December 2024, the Company did not have any unrecognized tax benefits. See Note 13 of Notes to Consolidated Financial Statements included in "Item 8. Financial Statements and Supplementary Data" for additional information.</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and environmental contingencies. </w:t>
      </w:r>
      <w:r>
        <w:rPr>
          <w:rFonts w:ascii="Times New Roman" w:cs="Times New Roman" w:eastAsia="Times New Roman" w:hAnsi="Times New Roman"/>
          <w:sz w:val="18"/>
          <w:szCs w:val="18"/>
          <w:color w:val="auto"/>
        </w:rPr>
        <w:t>The Company makes judgments and estimates in recording liabilities for ongoing litigation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remediation. Actual costs can vary from such estimates for a variety of reasons. The costs to settle litigation can vary from estimates based on differing interpretations of laws and opinions and assessments of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the Company determines the loss to be both probable and reasonably estimable. See Note 10 of Notes to Consolidated Financial Statements included in "Item 8. Financial Statements and Supplementary Data" for additional information.</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stock-based compensation. </w:t>
      </w:r>
      <w:r>
        <w:rPr>
          <w:rFonts w:ascii="Times New Roman" w:cs="Times New Roman" w:eastAsia="Times New Roman" w:hAnsi="Times New Roman"/>
          <w:sz w:val="18"/>
          <w:szCs w:val="18"/>
          <w:color w:val="auto"/>
        </w:rPr>
        <w:t>The Company calculates the fair value of stock-based compensation using various valuation methods.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methods require the use of estimates to derive the inputs necessary to determine fair value. The Company utilizes (i) the Black-Scholes option pricing model to measure the fair value of stock options, and (ii) the closing stock price on the date of grant for the fair value of unrestricted and restricted stock awards. See Note 9 of Notes to Consolidated Financial Statements included in "Item 8. Financial Statements and Supplementary Data" for additional information.</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other assets and liabilities at fair value. </w:t>
      </w:r>
      <w:r>
        <w:rPr>
          <w:rFonts w:ascii="Times New Roman" w:cs="Times New Roman" w:eastAsia="Times New Roman" w:hAnsi="Times New Roman"/>
          <w:sz w:val="18"/>
          <w:szCs w:val="18"/>
          <w:color w:val="auto"/>
        </w:rPr>
        <w:t>The Company periodically measures and records certain assets and liabilities at fair value.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the Company measures and records at fair value on a recurring basis include commodity derivative contracts and interest rate contracts. Other assets are not measured at fair value on an ongoing basis but are subject to fair value adjustments in certain circumstances. The assets and liabilities the Company measures and records at fair value on a nonrecurring basis include inventories, proved and unproved crude oil and natural gas properties and other long-lived assets that are written down to fair value when they are determined to be impaired or held for sale. The Company also measures and discloses certain financial assets and liabilities at fair value, such as long-term debt. The valuation methods used by the Company to measure the fair values of these assets and liabilities may require considerable management judgment and estimates to derive the inputs necessary to determine fair value estimates, such as future prices, credit-adjusted risk-free rates and current volatility factors. See Note 4 of Notes to Consolidated Financial Statements included in "Item 8. Financial Statements and Supplementary Data"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effects of new accounting pronouncements are discussed in Note 2 of Notes to Consolidated Financial Statements included in “Item 8. Financial Statements and Supplementary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Commitments and Contingencies are discussed in Note 10 of Notes to Consolidated Financial Statements included in “Item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014"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2021 through December 31, 2024,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year ended December 31, 2024 would have increased (decreased) the Company’s crude oil and NGL revenues by approximately $14.5 million, excluding the effects of derivatives, and a $0.10 per Mcf increase (decrease) in the weighted average natural gas price for the year ended December 31, 2024 would have increased (decreased) the Company’s natural gas revenues by approximately $1.3 million, excluding the effects of derivatives.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collars, puts,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for the outstanding borrowings under the Credit Agreements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forward prices based on December 31, 2024 market quotes were as follows: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66.45</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41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forward purchase prices based on March 6, 2025 market quotes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62.48</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bl>
    <w:p>
      <w:pPr>
        <w:spacing w:after="0" w:line="3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production and (ii) the risk of a counterparty's failure to meet its obligations under derivative contracts with the Company.</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At December 31, 2024, we had $1.1 billion outstanding under the Term Loan Credit Agreement and had $93.1 million of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December 31, 2024 would have resulted in an annual increase in interest expense of approximately $10.8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55"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410)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2023 and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2024, 2023 and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Supplementary Data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7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81</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0" w:right="339" w:bottom="1440" w:gutter="0" w:footer="0" w:header="0"/>
        </w:sectPr>
      </w:pPr>
    </w:p>
    <w:bookmarkStart w:id="88" w:name="page89"/>
    <w:bookmarkEnd w:id="8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HighPeak Energy,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HighPeak Energy, Inc. and its subsidiaries (the Company) as of December 31, 2024 and 2023, and the related consolidated statements of operations, changes in stockholders’ equity, and cash flows for each of the three years in the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86,649</w:t>
            </w:r>
          </w:p>
        </w:tc>
        <w:tc>
          <w:tcPr>
            <w:tcW w:w="6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195,012</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328,833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(1,184,684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(684,179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8000" w:type="dxa"/>
            <w:vAlign w:val="bottom"/>
            <w:vMerge w:val="continue"/>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2,845,729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2,726,643</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3,063,288</w:t>
            </w:r>
          </w:p>
        </w:tc>
        <w:tc>
          <w:tcPr>
            <w:tcW w:w="6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3,080,791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ind w:left="1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6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126,067,436 and 128,420,923</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December 31, 2024 and 2023,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435,834</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363,284</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1,602,456</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3,063,288</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3,080,791</w:t>
            </w: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1,060,476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1,086,598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715,469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40,217</w:t>
            </w:r>
          </w:p>
        </w:tc>
        <w:tc>
          <w:tcPr>
            <w:tcW w:w="0" w:type="dxa"/>
            <w:vAlign w:val="bottom"/>
          </w:tcPr>
          <w:p>
            <w:pPr>
              <w:spacing w:after="0"/>
              <w:rPr>
                <w:sz w:val="1"/>
                <w:szCs w:val="1"/>
                <w:color w:val="auto"/>
              </w:rPr>
            </w:pPr>
          </w:p>
        </w:tc>
      </w:tr>
      <w:tr>
        <w:trPr>
          <w:trHeight w:val="22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1,069,414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1,111,293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755,686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132,244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500,752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33,352</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728,208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676,569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333,122</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337,411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426,462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422,564</w:t>
            </w:r>
          </w:p>
        </w:tc>
        <w:tc>
          <w:tcPr>
            <w:tcW w:w="0" w:type="dxa"/>
            <w:vAlign w:val="bottom"/>
          </w:tcPr>
          <w:p>
            <w:pPr>
              <w:spacing w:after="0"/>
              <w:rPr>
                <w:sz w:val="1"/>
                <w:szCs w:val="1"/>
                <w:color w:val="auto"/>
              </w:rPr>
            </w:pPr>
          </w:p>
        </w:tc>
      </w:tr>
      <w:tr>
        <w:trPr>
          <w:trHeight w:val="209"/>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0" w:type="dxa"/>
            <w:vAlign w:val="bottom"/>
          </w:tcPr>
          <w:p>
            <w:pPr>
              <w:spacing w:after="0"/>
              <w:rPr>
                <w:sz w:val="1"/>
                <w:szCs w:val="1"/>
                <w:color w:val="auto"/>
              </w:rPr>
            </w:pPr>
          </w:p>
        </w:tc>
      </w:tr>
      <w:tr>
        <w:trPr>
          <w:trHeight w:val="162"/>
        </w:trPr>
        <w:tc>
          <w:tcPr>
            <w:tcW w:w="43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360" w:type="dxa"/>
            <w:vAlign w:val="bottom"/>
            <w:tcBorders>
              <w:bottom w:val="single" w:sz="8" w:color="CCEEFF"/>
            </w:tcBorders>
            <w:vMerge w:val="continue"/>
            <w:shd w:val="clear" w:color="auto" w:fill="CCEEFF"/>
          </w:tcPr>
          <w:p>
            <w:pPr>
              <w:spacing w:after="0"/>
              <w:rPr>
                <w:sz w:val="5"/>
                <w:szCs w:val="5"/>
                <w:color w:val="auto"/>
              </w:rPr>
            </w:pPr>
          </w:p>
        </w:tc>
        <w:tc>
          <w:tcPr>
            <w:tcW w:w="19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12"/>
              <w:spacing w:after="0" w:line="68" w:lineRule="exact"/>
              <w:rPr>
                <w:sz w:val="20"/>
                <w:szCs w:val="20"/>
                <w:color w:val="auto"/>
              </w:rPr>
            </w:pPr>
            <w:r>
              <w:rPr>
                <w:rFonts w:ascii="Times New Roman" w:cs="Times New Roman" w:eastAsia="Times New Roman" w:hAnsi="Times New Roman"/>
                <w:sz w:val="7"/>
                <w:szCs w:val="7"/>
                <w:color w:val="auto"/>
              </w:rPr>
              <w:t>(27,300</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312,215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35,851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65,905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95,069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215,866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1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117,956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129,205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123,020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111,164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432"/>
        </w:trPr>
        <w:tc>
          <w:tcPr>
            <w:tcW w:w="9580" w:type="dxa"/>
            <w:vAlign w:val="bottom"/>
            <w:gridSpan w:val="7"/>
          </w:tcPr>
          <w:p>
            <w:pPr>
              <w:jc w:val="center"/>
              <w:ind w:left="15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1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2022, 2023 and 2024</w:t>
            </w: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96,774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617,489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553,063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($0.10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($0.10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for acquisitions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264,982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in private placement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employees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33,840</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236,854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1,008,896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160,740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($0.10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($0.10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in public offering</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155,768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($0.16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($0.16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95,069</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1,166,609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435,834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1,602,456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95,069</w:t>
            </w:r>
          </w:p>
        </w:tc>
        <w:tc>
          <w:tcPr>
            <w:tcW w:w="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215,866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paid on settlement of derivative instruments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0" w:type="dxa"/>
            <w:vAlign w:val="bottom"/>
          </w:tcPr>
          <w:p>
            <w:pPr>
              <w:spacing w:after="0"/>
              <w:rPr>
                <w:sz w:val="1"/>
                <w:szCs w:val="1"/>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690,391</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756,389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504,014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(604,828)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(1,046,739)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oil and gas property additions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59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jc w:val="right"/>
              <w:ind w:right="12"/>
              <w:spacing w:after="0" w:line="68" w:lineRule="exact"/>
              <w:rPr>
                <w:sz w:val="20"/>
                <w:szCs w:val="20"/>
                <w:color w:val="auto"/>
              </w:rPr>
            </w:pPr>
            <w:r>
              <w:rPr>
                <w:rFonts w:ascii="Times New Roman" w:cs="Times New Roman" w:eastAsia="Times New Roman" w:hAnsi="Times New Roman"/>
                <w:sz w:val="7"/>
                <w:szCs w:val="7"/>
                <w:color w:val="auto"/>
              </w:rPr>
              <w:t>(193</w:t>
            </w: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9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(620,843</w:t>
            </w:r>
          </w:p>
        </w:tc>
        <w:tc>
          <w:tcPr>
            <w:tcW w:w="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(1,182,408</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598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12"/>
              <w:spacing w:after="0" w:line="68" w:lineRule="exact"/>
              <w:rPr>
                <w:sz w:val="20"/>
                <w:szCs w:val="20"/>
                <w:color w:val="auto"/>
              </w:rPr>
            </w:pPr>
            <w:r>
              <w:rPr>
                <w:rFonts w:ascii="Times New Roman" w:cs="Times New Roman" w:eastAsia="Times New Roman" w:hAnsi="Times New Roman"/>
                <w:sz w:val="7"/>
                <w:szCs w:val="7"/>
                <w:color w:val="auto"/>
              </w:rPr>
              <w:t>(1,125,935</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Term Loan Credit Agreement, net of discount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Prior Credit Agreement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senior notes, net of discount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Prior Credit Agreement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10.000% Senior Notes and 10.625% Senior Notes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Premium on extinguishment of debt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155,768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offering costs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(177,414)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533,557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674,029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194,515</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30,504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86,649</w:t>
            </w:r>
          </w:p>
        </w:tc>
        <w:tc>
          <w:tcPr>
            <w:tcW w:w="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194,515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151,967</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133,104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for acquisitions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6,048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HighPeak Energy, Inc. ("HighPeak Energy" or the "Company,") is a Delaware corporation, formed in October 2019.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The accompanying consolidated financial statements of the Company have been prepared in accordance with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accepted in the United States of America (“GAAP”). In the opinion of management, the consolidated financial statements include all adjustments and accruals, consisting only of normal, recurring adjustments and accruals necessary for a fair presentation of the consolidated financial statements in conformity with GAAP. The Company evaluated subsequent events after the balance sheet date of December 31, 2024, through the date of this Annual Report.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its wholly owned subsidiaries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acquisition or formation. All material intercompany balances and transactions have been eliminated. Certain reclassifications have been made to prior period amounts to conform to the current period’s presentation, which had an immaterial effect on the previously reported total assets, total liabilities, stockholders’ equity, results of operations or cash flows.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consolidated financial statements. </w:t>
      </w:r>
      <w:r>
        <w:rPr>
          <w:rFonts w:ascii="Times New Roman" w:cs="Times New Roman" w:eastAsia="Times New Roman" w:hAnsi="Times New Roman"/>
          <w:sz w:val="18"/>
          <w:szCs w:val="18"/>
          <w:color w:val="auto"/>
        </w:rPr>
        <w:t>Preparation of the Company's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December 31, 2024 and 2023, the Company’s accounts receivables primarily consist of amounts due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NGL and natural gas of $76.0 million and $82.5 million, respectively, and are based on estimates of sales volumes and realized prices the Company anticipates it will receive, joint interest receivables of $4.7 million and $4.4 million, respectively, current U.S. federal income tax receivables of $3.1 million and $3.2 million, respectively, and receivables related to settlements of derivative contracts of $1.4 million and $4.5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December 31, 2024 and 2023, the Company had no allowance for credit losses related to accounts receivable and no allowance for credit losses,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years ended December 31, 2024, 2023 and 2022, sales to the Company’s largest purchaser accounted for approximately 76%, 82% and 88%, respectively, of the Company’s total crude oil, NGL and natural gas sales revenues and for the years ended December 31, 2024 and 2023, sales to the Company’s second largest purchaser accounted for approximately 18% and 14%, respectively, of the Company’s total crude oil, NGL and natural gas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December 31, 2024 and 2023 is $11.0 million and $7.3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fees related to strategic alternatives that will be deducted from eventual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on a future transaction, caliche that will be used on future locations and roads in our development areas and prepaid agency fees and software maintenance fees that will be amortized over the life of the contracts. Prepaid expenses as of December 31, 2024 and 2023 are $4.6 million and $1.0 million, respectively.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$1.1 million and $904,000 as of December 31, 2024 and 2023, respectively,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December 31, 2024 and 2023, the Company had aid-in-construction assets totaling $18.0 million and $5.2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included in other noncurrent assets. The Company funded aid-in-construction projects during the years ended December 31, 2024, 2023 and 2022 of $17.5 million, $1.0 million and $2.6 million, respectively, under the contract. The Company has received and will continue to receive payments based on gross system throughput, including any third-party natural gas that is potentially tied into the Flat Top gathering system in the future. Payments received during the years ended December 31, 2024, 2023 and 2022 were approximately $2.0 million, $924,000 and $471,000, respectively. The contract calls for future additional aid-in-construction fundings if expansions of the system are necessary as determined in the sole discretion of the Company.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December 31, 2024 and 2023 totaled approximately $284.6 million and $287.4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current maturities of long-term debt, trade accounts payable, accrued capital expenditures, revenues and royalties payable, derivative liabilities and accruals for operating and general and administrative expenses, interest expense, operating leases, dividends and dividend equivalents and other miscellaneous items.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 total of $25.1 million in debt issuance costs, $58,000 and $25.0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was incurred during the years ended December 31, 2024 and 2023, respectively, primarily related to the completion of the Term Loan Credit Agreement and Senior Credit Facility Agreement. In addition, the Company incurred $3.3 million during the year ended December 31, 2023 primarily related to amendments to the Prior Credit Agreement. Amortization based on the straight-line method over the terms of the Term Loan Credit Agreement, Senior Credit Facility Agreement, Prior Credit Agreement, 10.000% Senior Notes and 10.625% Senior Notes which approximates the effective interest method was $8.3 million, $11.4 million and $5.6 million during the years ended December 31, 2024, 2023 and 2022, respectively. In addition, the Company realized a total of $64.8 million in original issue discounts on the issuance of its Term Loan Credit Agreement, 10.000% Senior Notes and 10.625% Senior Notes that is being amortized over the life of the agreements which approximates the effective interest method and was $9.9 million, $15.1 million and $7.7 million during the years ended December 31, 2024, 2023 and 2022, respectively. All unamortized debt issuance costs and discounts as of the termination of the Prior Credit Agreement and redemption of the 10.000% Senior Notes and 10.625% Senior Notes during September 2023 were charged to expense and included in loss on extinguishment of debt in the accompanying consolidated statements of operations. See Note 7 for more information. As of December 31, 2024 and 2023, the remaining net debt issuance costs and discounts related to the Term Loan Credit Agreement and Senior Credit Facility Agreement are netted against the outstanding long-term debt on the accompanying consolidated balance sheets.</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December 31, 2024 and 2023, the Company had receivables related to contracts with purchasers of approximately $76.0 million and $82.5 million, respectively.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December 31, 2024 and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consolidated statements of operations of which there have been none to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current Texas margin tax for the year ended December 31, 2024 in the accompanying consolidated financial statements. However, during prior years, the Company realized no current Texas margin tax as we did not owe any Texas margin tax.</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or modification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Reportable Segments. </w:t>
      </w:r>
      <w:r>
        <w:rPr>
          <w:rFonts w:ascii="Times New Roman" w:cs="Times New Roman" w:eastAsia="Times New Roman" w:hAnsi="Times New Roman"/>
          <w:sz w:val="18"/>
          <w:szCs w:val="18"/>
          <w:color w:val="auto"/>
        </w:rPr>
        <w:t>The Company is an independent energy company engaged in the exploration, development and production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To assess the performance of our assets, the CODM uses net income. We believe net income provides information useful in assessing our operating and financial performance across periods.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net income, assets and capital expenditures for the Company’s one reporting segment for the time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1,069,414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1,111,293</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755,686</w:t>
            </w:r>
          </w:p>
        </w:tc>
      </w:tr>
      <w:tr>
        <w:trPr>
          <w:trHeight w:val="216"/>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66,933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59,677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38,440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Expensed workover costs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11,625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w:t>
            </w:r>
          </w:p>
        </w:tc>
      </w:tr>
      <w:tr>
        <w:trPr>
          <w:trHeight w:val="20"/>
        </w:trPr>
        <w:tc>
          <w:tcPr>
            <w:tcW w:w="55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significant expenses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191,921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108,039</w:t>
            </w:r>
          </w:p>
        </w:tc>
      </w:tr>
      <w:tr>
        <w:trPr>
          <w:trHeight w:val="20"/>
        </w:trPr>
        <w:tc>
          <w:tcPr>
            <w:tcW w:w="5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500,752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424,424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177,742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including stock-based comp</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33,093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45,822</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160,027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172,293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50,344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35,851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75,361</w:t>
            </w:r>
          </w:p>
        </w:tc>
      </w:tr>
      <w:tr>
        <w:trPr>
          <w:trHeight w:val="216"/>
        </w:trPr>
        <w:tc>
          <w:tcPr>
            <w:tcW w:w="5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52,701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61,524</w:t>
            </w:r>
          </w:p>
        </w:tc>
      </w:tr>
      <w:tr>
        <w:trPr>
          <w:trHeight w:val="20"/>
        </w:trPr>
        <w:tc>
          <w:tcPr>
            <w:tcW w:w="55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974,345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895,427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518,832</w:t>
            </w:r>
          </w:p>
        </w:tc>
      </w:tr>
      <w:tr>
        <w:trPr>
          <w:trHeight w:val="209"/>
        </w:trPr>
        <w:tc>
          <w:tcPr>
            <w:tcW w:w="5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215,866</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236,854</w:t>
            </w:r>
          </w:p>
        </w:tc>
      </w:tr>
      <w:tr>
        <w:trPr>
          <w:trHeight w:val="20"/>
        </w:trPr>
        <w:tc>
          <w:tcPr>
            <w:tcW w:w="5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3,063,288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3,080,791</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2,279,482</w:t>
            </w:r>
          </w:p>
        </w:tc>
      </w:tr>
      <w:tr>
        <w:trPr>
          <w:trHeight w:val="216"/>
        </w:trPr>
        <w:tc>
          <w:tcPr>
            <w:tcW w:w="5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Capital costs incurred, including acquisitions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620,211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1,030,163</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1,576,955</w:t>
            </w:r>
          </w:p>
        </w:tc>
      </w:tr>
    </w:tbl>
    <w:p>
      <w:pPr>
        <w:spacing w:after="0" w:line="179" w:lineRule="exact"/>
        <w:rPr>
          <w:sz w:val="20"/>
          <w:szCs w:val="20"/>
          <w:color w:val="auto"/>
        </w:rPr>
      </w:pPr>
    </w:p>
    <w:p>
      <w:pPr>
        <w:ind w:left="660" w:hanging="328"/>
        <w:spacing w:after="0" w:line="208" w:lineRule="auto"/>
        <w:tabs>
          <w:tab w:leader="none" w:pos="660"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segment items included in segment net income are exploration and abandonment expense, accretion of discount, other expense and gains and losses on derivative instruments.</w:t>
      </w:r>
    </w:p>
    <w:p>
      <w:pPr>
        <w:sectPr>
          <w:pgSz w:w="11900" w:h="16838" w:orient="portrait"/>
          <w:cols w:equalWidth="0" w:num="1">
            <w:col w:w="11240"/>
          </w:cols>
          <w:pgMar w:left="320" w:top="580" w:right="339" w:bottom="0" w:gutter="0" w:footer="0" w:header="0"/>
        </w:sectPr>
      </w:pPr>
    </w:p>
    <w:bookmarkStart w:id="98" w:name="page99"/>
    <w:bookmarkEnd w:id="98"/>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November 2023, the FASB issued ASU 2023-07, “Segment Reporting (Topic 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to Reportable Segment Disclosures.” This ASU updates reportable segment disclosure requirements, primarily through enhanced disclosures about significant segment expenses and information used to assess segment performance. The amendments in this ASU are effective for public entities for fiscal years beginning after December 15, 2023 and interim periods within fiscal years beginning after December 15, 2024, with early adoption permitted. The Company adopted this update effective December 31, 2024. The adoption of this update had no impact on the Company’s financial position, results of operations or liquidity.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This 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Company is currently evaluating the impact of the adoption of this guidance.</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Hannathon Acquisition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June 2022, the Company closed the Hannathon Acquisition for total net consideration of $337.2 million after normal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customary closing adjustments, including 3,522,117 shares of HighPeak Energy common stock valued at $97.2 million at closing to acquire various crude oil and natural gas properties largely contiguous to its Signal Peak operating area in Howard County, including associated producing properties, water system infrastructure and in-field fluid gathering pipelines. The Hannathon Acquisition was accounted for as an asset acquisition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Hannathon Acquisition were capitalized.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Alamo Acquisitions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March and June 2022, the Company closed the Alamo Acquisitions in two separate deals for total net consideration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$156.1 million and $11.0 million, respectively, after normal and customary closing adjustments, including 6,960,000 and 371,517 shares of HighPeak Energy common stock valued at $156.6 million and $11.2 million, respectively, at closing to acquire various crude oil and natural gas properties contiguous to its Flat Top operating area in Borden county, including associated producing properties, water system infrastructure and in-field fluid gathering pipelines. The Alamo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Alamo Acquisitions were capitalized.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Acquisitions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years ended December 31, 2024, 2023 and 2022, the Company also incurred an additional $14.8 million, $15.1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$23.0 million, respectively, in acquisition costs primarily to acquire various undeveloped crude oil and natural gas properties largely contiguous to its Flat Top and Signal Peak operating areas primarily in Howard, Borden, Mitchell and Scurry counties.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input levels of the fair value hierarchy are as follows:</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inputs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5,380</w:t>
            </w:r>
          </w:p>
        </w:tc>
      </w:tr>
      <w:tr>
        <w:trPr>
          <w:trHeight w:val="27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426"/>
        </w:trPr>
        <w:tc>
          <w:tcPr>
            <w:tcW w:w="59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29"/>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47,539</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29"/>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13,119</w:t>
            </w:r>
          </w:p>
        </w:tc>
      </w:tr>
      <w:tr>
        <w:trPr>
          <w:trHeight w:val="27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34,420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enhanced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costless collars and deferred premium put options.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December 31, 2024 and 2023, the Company has financial instruments consisting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utilizes commodity swap contracts, deferred premium put options, collars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consolidated statements of operations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162"/>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on settlement of derivative instruments, net</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7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jc w:val="right"/>
              <w:ind w:right="39"/>
              <w:spacing w:after="0" w:line="68" w:lineRule="exact"/>
              <w:rPr>
                <w:sz w:val="20"/>
                <w:szCs w:val="20"/>
                <w:color w:val="auto"/>
              </w:rPr>
            </w:pPr>
            <w:r>
              <w:rPr>
                <w:rFonts w:ascii="Times New Roman" w:cs="Times New Roman" w:eastAsia="Times New Roman" w:hAnsi="Times New Roman"/>
                <w:sz w:val="7"/>
                <w:szCs w:val="7"/>
                <w:color w:val="auto"/>
              </w:rPr>
              <w:t>(14,246</w:t>
            </w: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(58,096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from time to time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and Argus WTI Midland crude oil derivative instruments as of December 31, 2024 and the weighted average crude oil prices and premiums payable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Collars, Enhanced Collars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&amp; 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 Puts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Floor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Deferred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3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Bbl</w:t>
            </w:r>
          </w:p>
        </w:tc>
      </w:tr>
      <w:tr>
        <w:trPr>
          <w:trHeight w:val="210"/>
        </w:trPr>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Crude Oil:</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 - Mar</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 - Mar</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 - Mar</w:t>
            </w:r>
          </w:p>
        </w:tc>
        <w:tc>
          <w:tcPr>
            <w:tcW w:w="1260" w:type="dxa"/>
            <w:vAlign w:val="bottom"/>
            <w:tcBorders>
              <w:bottom w:val="single" w:sz="8" w:color="auto"/>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191"/>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198"/>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 - Jun</w:t>
            </w:r>
          </w:p>
        </w:tc>
        <w:tc>
          <w:tcPr>
            <w:tcW w:w="126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191"/>
        </w:trPr>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4"/>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198"/>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WTI</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 - Sep</w:t>
            </w:r>
          </w:p>
        </w:tc>
        <w:tc>
          <w:tcPr>
            <w:tcW w:w="1260" w:type="dxa"/>
            <w:vAlign w:val="bottom"/>
            <w:tcBorders>
              <w:bottom w:val="single" w:sz="8" w:color="auto"/>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Cushing</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425"/>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2" w:name="page103"/>
    <w:bookmarkEnd w:id="10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derivative assets associated with the Company’s open commodity derivative instruments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3,693</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2,735</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90"/>
        </w:trPr>
        <w:tc>
          <w:tcPr>
            <w:tcW w:w="6300" w:type="dxa"/>
            <w:vAlign w:val="bottom"/>
            <w:tcBorders>
              <w:bottom w:val="single" w:sz="8" w:color="CCEEFF"/>
            </w:tcBorders>
            <w:shd w:val="clear" w:color="auto" w:fill="CCEEFF"/>
          </w:tcPr>
          <w:p>
            <w:pPr>
              <w:spacing w:after="0"/>
              <w:rPr>
                <w:sz w:val="24"/>
                <w:szCs w:val="24"/>
                <w:color w:val="auto"/>
              </w:rPr>
            </w:pPr>
          </w:p>
        </w:tc>
        <w:tc>
          <w:tcPr>
            <w:tcW w:w="33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40,888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186,427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28,076</w:t>
            </w:r>
          </w:p>
        </w:tc>
        <w:tc>
          <w:tcPr>
            <w:tcW w:w="0" w:type="dxa"/>
            <w:vAlign w:val="bottom"/>
          </w:tcPr>
          <w:p>
            <w:pPr>
              <w:spacing w:after="0"/>
              <w:rPr>
                <w:sz w:val="1"/>
                <w:szCs w:val="1"/>
                <w:color w:val="auto"/>
              </w:rPr>
            </w:pPr>
          </w:p>
        </w:tc>
      </w:tr>
      <w:tr>
        <w:trPr>
          <w:trHeight w:val="216"/>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Additions to exploratory/extension well costs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162,190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527,502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655,294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Reclassification to proved properties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(496,943)</w:t>
            </w:r>
          </w:p>
        </w:tc>
        <w:tc>
          <w:tcPr>
            <w:tcW w:w="0" w:type="dxa"/>
            <w:vAlign w:val="bottom"/>
          </w:tcPr>
          <w:p>
            <w:pPr>
              <w:spacing w:after="0"/>
              <w:rPr>
                <w:sz w:val="1"/>
                <w:szCs w:val="1"/>
                <w:color w:val="auto"/>
              </w:rPr>
            </w:pPr>
          </w:p>
        </w:tc>
      </w:tr>
      <w:tr>
        <w:trPr>
          <w:trHeight w:val="198"/>
        </w:trPr>
        <w:tc>
          <w:tcPr>
            <w:tcW w:w="61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Exploratory/extension well costs charged to exploration and abandonment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616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6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ind w:right="37"/>
              <w:spacing w:after="0" w:line="68" w:lineRule="exact"/>
              <w:rPr>
                <w:sz w:val="20"/>
                <w:szCs w:val="20"/>
                <w:color w:val="auto"/>
              </w:rPr>
            </w:pPr>
            <w:r>
              <w:rPr>
                <w:rFonts w:ascii="Times New Roman" w:cs="Times New Roman" w:eastAsia="Times New Roman" w:hAnsi="Times New Roman"/>
                <w:sz w:val="7"/>
                <w:szCs w:val="7"/>
                <w:color w:val="auto"/>
              </w:rPr>
              <w:t>(229</w:t>
            </w: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capitalized exploratory/extension well costs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33,619</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186,427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discounts and debt issuance costs,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1,080,000</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2026</w:t>
            </w:r>
          </w:p>
        </w:tc>
        <w:tc>
          <w:tcPr>
            <w:tcW w:w="320" w:type="dxa"/>
            <w:vAlign w:val="bottom"/>
          </w:tcPr>
          <w:p>
            <w:pPr>
              <w:spacing w:after="0"/>
              <w:rPr>
                <w:sz w:val="18"/>
                <w:szCs w:val="18"/>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net (a)</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(27,062)</w:t>
            </w:r>
          </w:p>
        </w:tc>
        <w:tc>
          <w:tcPr>
            <w:tcW w:w="0" w:type="dxa"/>
            <w:vAlign w:val="bottom"/>
          </w:tcPr>
          <w:p>
            <w:pPr>
              <w:spacing w:after="0"/>
              <w:rPr>
                <w:sz w:val="1"/>
                <w:szCs w:val="1"/>
                <w:color w:val="auto"/>
              </w:rPr>
            </w:pPr>
          </w:p>
        </w:tc>
      </w:tr>
      <w:tr>
        <w:trPr>
          <w:trHeight w:val="16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 issuance costs, net (b)</w:t>
            </w:r>
          </w:p>
        </w:tc>
        <w:tc>
          <w:tcPr>
            <w:tcW w:w="3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(14,419</w:t>
            </w: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1,048,384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2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(120,000</w:t>
            </w: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928,384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1,030,299</w:t>
            </w: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740" w:hanging="368"/>
        <w:spacing w:after="0" w:line="261"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as of December 31, 2024 and 2023 consisted of $30.0 million and $30.0 million, respectively, in discounts less accumulated amortization of $12.8 million and $2.9 million, respectively.</w:t>
      </w:r>
    </w:p>
    <w:p>
      <w:pPr>
        <w:ind w:left="740" w:hanging="368"/>
        <w:spacing w:after="0" w:line="260"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December 31, 2024 and 2023 consisted of $25.1 million and $25.0 million, respectively, in costs less accumulated amortization of $10.7 million and $2.4 million,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which began March 31, 2024 ($120.0 million paid to date through December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which began with the fiscal quarter ending March 31, 2024 (none paid to date through December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Facility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In December 2020, the Company entered into a credit agreement with Fifth Third as the administrative agent and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 to establish a revolving credit facility (the “Prior Credit Agreement”) that was set to mature on June 17, 2024. In February 2022, the Company entered into the Third Amendment to, among other things, (i) reduce the borrowing base from $195.0 million to $138.8 million, (ii) modify the terms of the Prior Credit Agreement to reduce the aggregate elected commitments from $195.0 million to $138.8 million, (iii) update the maturity date to a springing maturity date, which will cause the Prior Credit Agreement to mature on October 1, 2023 if the 10.000% Senior Notes are not redeemed or refinanced by that date or the terms of the 10.000% Senior Notes have not been amended to extend the scheduled repayment thereof to no earlier than October 1, 2024,</w:t>
      </w:r>
    </w:p>
    <w:p>
      <w:pPr>
        <w:spacing w:after="0" w:line="4" w:lineRule="exact"/>
        <w:rPr>
          <w:sz w:val="20"/>
          <w:szCs w:val="20"/>
          <w:color w:val="auto"/>
        </w:rPr>
      </w:pPr>
    </w:p>
    <w:p>
      <w:pPr>
        <w:ind w:firstLine="8"/>
        <w:spacing w:after="0" w:line="260" w:lineRule="auto"/>
        <w:tabs>
          <w:tab w:leader="none" w:pos="3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 to redeem the 10.000% Senior Notes with proceeds of a refinancing, with proceeds of an equity offering or with cash, in each case, subject to certain customary conditions and (v) replace the USD LIBOR rates with Term SOFR rates.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the Fourth Amendment to, among other things, (i) increase (a) the aggregate elected commitments to $400.0 million, (b) the borrowing base to $400.0 million and (c) the maximum credit amount to $1.5 billion, (ii) increase the excess cash threshold to $75.0 million, (iii) modify the affirmative hedging requirement so that if total debt to EBITDAX is greater than 1.25 to 1.00 but less than or equal to 1.75 to 1.00, notional volumes covering the first 24 months following the measurement date shall be hedged in an amount equal to not less than 25% of the projected production and if total debt to EBITDAX is greater than 1.75 to 1.00, notional volumes covering the first 24 months following the measurement date shall be hedged in an amount equal to not less than 50% of the projection production and (iv) increase the number of banks included in the syndicate at differing levels of commitments, with Fifth Third remaining the administrative agent.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2022, the Company entered into the Fifth Amendment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in an aggregate amount of up to $250.0 million before June 30, 2023, the Company’s obligation to reduce the borrowing base by an amount equal to 25% of the principal amount of such additional future indebtedness shall be waived. In connection with the Fifth Amendment, the lenders waived two events of default existing with the Prior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among other things, (i) change the period to 120 days following the maturity date for which there can be no scheduled principal payments, mandatory redemption or maturity date for the 10.000% Senior Notes and the Specified Senior Notes, (ii) clarify that the Specified Senior Notes are subject to the restriction on the voluntary redemption by the Company of certain specified additional debt, including the 10.000% Senior Notes, (iii)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2022, the Company entered into the Seventh Amendment to, among other things, increase the amount of Specified Senior Notes from $225.0 million to $250.0 million.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5" w:name="page106"/>
    <w:bookmarkEnd w:id="1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aforementioned Term Loan Credit Agreement, the Prior Credit Agreement was terminated, all outstanding obligations for principal, interest and fees were paid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loss on extinguishment of debt during the year ended December 31, 2023.</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10.000% Senior Notes. </w:t>
      </w:r>
      <w:r>
        <w:rPr>
          <w:rFonts w:ascii="Times New Roman" w:cs="Times New Roman" w:eastAsia="Times New Roman" w:hAnsi="Times New Roman"/>
          <w:sz w:val="18"/>
          <w:szCs w:val="18"/>
          <w:color w:val="auto"/>
        </w:rPr>
        <w:t>In February 2022, the Company issued $225.0 million aggregate principal amount of its 10.000% Senior Notes due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loss on extinguishment of debt during the year ended December 31, 2023.</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10.625% Senior Notes. </w:t>
      </w:r>
      <w:r>
        <w:rPr>
          <w:rFonts w:ascii="Times New Roman" w:cs="Times New Roman" w:eastAsia="Times New Roman" w:hAnsi="Times New Roman"/>
          <w:sz w:val="18"/>
          <w:szCs w:val="18"/>
          <w:color w:val="auto"/>
        </w:rPr>
        <w:t>In November 2022 and December 2022, the Company issued $225.0 million and $25.0 million, respectively,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loss on extinguishment of debt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5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14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13,245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4,260</w:t>
            </w:r>
          </w:p>
        </w:tc>
      </w:tr>
      <w:tr>
        <w:trPr>
          <w:trHeight w:val="216"/>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5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3,219</w:t>
            </w:r>
          </w:p>
        </w:tc>
      </w:tr>
      <w:tr>
        <w:trPr>
          <w:trHeight w:val="216"/>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divested</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Revision of estimates (a)</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5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 of discount</w:t>
            </w:r>
          </w:p>
        </w:tc>
        <w:tc>
          <w:tcPr>
            <w:tcW w:w="5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r>
      <w:tr>
        <w:trPr>
          <w:trHeight w:val="27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14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80" w:right="720" w:hanging="372"/>
        <w:spacing w:after="0" w:line="282"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revisions to the Company’s asset retirement obligation estimates are primarily due to changes in the ultimate expected useful lives of the properties.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all asset retirement obligations are considered noncurrent and classified as such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years ended December 31, 2024, 2023 and 2022, the Company contributed $353,000, $218,000 and $358,000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December 31, 2024 and 2023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15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16,414,015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16,414,015</w:t>
            </w:r>
          </w:p>
        </w:tc>
        <w:tc>
          <w:tcPr>
            <w:tcW w:w="0" w:type="dxa"/>
            <w:vAlign w:val="bottom"/>
          </w:tcPr>
          <w:p>
            <w:pPr>
              <w:spacing w:after="0"/>
              <w:rPr>
                <w:sz w:val="1"/>
                <w:szCs w:val="1"/>
                <w:color w:val="auto"/>
              </w:rPr>
            </w:pPr>
          </w:p>
        </w:tc>
      </w:tr>
      <w:tr>
        <w:trPr>
          <w:trHeight w:val="16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000" w:type="dxa"/>
            <w:vAlign w:val="bottom"/>
            <w:vMerge w:val="continue"/>
          </w:tcPr>
          <w:p>
            <w:pPr>
              <w:spacing w:after="0"/>
              <w:rPr>
                <w:sz w:val="5"/>
                <w:szCs w:val="5"/>
                <w:color w:val="auto"/>
              </w:rPr>
            </w:pPr>
          </w:p>
        </w:tc>
        <w:tc>
          <w:tcPr>
            <w:tcW w:w="1580" w:type="dxa"/>
            <w:vAlign w:val="bottom"/>
            <w:tcBorders>
              <w:bottom w:val="single" w:sz="8" w:color="auto"/>
            </w:tcBorders>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(15,808,671</w:t>
            </w: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(15,759,791</w:t>
            </w:r>
          </w:p>
        </w:tc>
        <w:tc>
          <w:tcPr>
            <w:tcW w:w="0" w:type="dxa"/>
            <w:vAlign w:val="bottom"/>
          </w:tcPr>
          <w:p>
            <w:pPr>
              <w:spacing w:after="0"/>
              <w:rPr>
                <w:sz w:val="1"/>
                <w:szCs w:val="1"/>
                <w:color w:val="auto"/>
              </w:rPr>
            </w:pPr>
          </w:p>
        </w:tc>
      </w:tr>
      <w:tr>
        <w:trPr>
          <w:trHeight w:val="29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605,344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654,224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years ended December 31, 2024, 2023 and 2022 was $86,000, $11.0 million and $18.1 million, respectively, and as of December 31, 2024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spacing w:after="0" w:line="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9,983,727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1,564,500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11,517,228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9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13,387,074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11,438,074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40,383</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December 31,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11,495,062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44,907</w:t>
            </w:r>
          </w:p>
        </w:tc>
      </w:tr>
    </w:tbl>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were scheduled to vest on the three-year anniversary of such grant assuming the employees remain in his or her position as of the anniversary date. Therefore, stock-based compensation expense of $6.0 million, $7.2 million and $7.2 million was recognized during the years ended December 31, 2024, 2023 and 2022, respectively,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were scheduled to vest on November 4, 2024, assuming the employees remain in his or her position as of that date and cancelled certain contractual equity-based bonuses to such employees. Therefore, stock-based compensation expense of $5.9 million, $7.0 million and $7.3 million was recognized during the years ended December 31, 2024, 2023 and 2022, respectively,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53,879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4, 2024, which will vest at the next annual meeting, assuming the Board members maintain their positions on the Board. Therefore, stock-based compensation expense of $442,000 was recognized during the year ended December 31, 2024 and the remaining $316,000 will be recognized during the first half of 2025, which was based upon the closing price of the stock on the date of the restricted stock issuance. Also, a total of 58,767 shares of restricted stock was approved by the Board to be granted to the outside directors of the Company on June 1, 2023, which vested in June 2024. Therefore, stock-based compensation expense of $316,000 and $442,000 was recognized during the years ended December 31, 2024 and 2023, respectively,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2022. Therefore, stock-based compensation expense of $305,000, $427,000 was recognized during the years ended December 31, 2023 and 2022, respectively, which was based upon the closing price of the stock on the date of the restricted stock issuance. Finally, a total of 67,779 shares of restricted stock was approved by the Board to be granted to the outside directors of the Company on June 1, 2021, which vested in January 2022. Therefore, stock-based compensation expense of $284,000 was recognized during the year ended December 31, 2022,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December 31,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$1.4 million included in other noncurrent assets and operating lease liabilities totaling $1.4 million, $719,000 of which are included in current liabilities and $670,000 of which are included in noncurrent liabilities, and as of December 31, 2023 the Company had right-of-use assets totaling $510,000 included in other noncurrent assets and operating lease liabilities totaling $528,000, all of which are included in other current liabilities on the accompanying consolidated balance sheets. The Company does not currently have any finance right-of-use leases. Maturities of the operating lease obligations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162"/>
        </w:trPr>
        <w:tc>
          <w:tcPr>
            <w:tcW w:w="6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000" w:type="dxa"/>
            <w:vAlign w:val="bottom"/>
            <w:vMerge w:val="continue"/>
          </w:tcPr>
          <w:p>
            <w:pPr>
              <w:spacing w:after="0"/>
              <w:rPr>
                <w:sz w:val="5"/>
                <w:szCs w:val="5"/>
                <w:color w:val="auto"/>
              </w:rPr>
            </w:pPr>
          </w:p>
        </w:tc>
        <w:tc>
          <w:tcPr>
            <w:tcW w:w="36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jc w:val="right"/>
              <w:ind w:right="17"/>
              <w:spacing w:after="0" w:line="68" w:lineRule="exact"/>
              <w:rPr>
                <w:sz w:val="20"/>
                <w:szCs w:val="20"/>
                <w:color w:val="auto"/>
              </w:rPr>
            </w:pPr>
            <w:r>
              <w:rPr>
                <w:rFonts w:ascii="Times New Roman" w:cs="Times New Roman" w:eastAsia="Times New Roman" w:hAnsi="Times New Roman"/>
                <w:sz w:val="7"/>
                <w:szCs w:val="7"/>
                <w:color w:val="auto"/>
              </w:rPr>
              <w:t>(106</w:t>
            </w:r>
          </w:p>
        </w:tc>
        <w:tc>
          <w:tcPr>
            <w:tcW w:w="0" w:type="dxa"/>
            <w:vAlign w:val="bottom"/>
          </w:tcPr>
          <w:p>
            <w:pPr>
              <w:spacing w:after="0"/>
              <w:rPr>
                <w:sz w:val="1"/>
                <w:szCs w:val="1"/>
                <w:color w:val="auto"/>
              </w:rPr>
            </w:pPr>
          </w:p>
        </w:tc>
      </w:tr>
      <w:tr>
        <w:trPr>
          <w:trHeight w:val="253"/>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580" w:right="339" w:bottom="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9" w:name="page110"/>
    <w:bookmarkEnd w:id="10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September 2024, the Company entered into an amended and restated crude oil marketing contract with DK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constructing a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December 31, 2024, the Company has delivered approximately 31,196 Bopd under the contract. The remaining monetary commitment as of December 31, 2024, if the Company never delivers any additional volumes under the agreement, is approximately $130.3 million.</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Natural Gas Gathering and Treating Agreement. </w:t>
      </w:r>
      <w:r>
        <w:rPr>
          <w:rFonts w:ascii="Times New Roman" w:cs="Times New Roman" w:eastAsia="Times New Roman" w:hAnsi="Times New Roman"/>
          <w:sz w:val="18"/>
          <w:szCs w:val="18"/>
          <w:color w:val="auto"/>
        </w:rPr>
        <w:t>In June 2024, the Company entered into a natural gas gathering and treating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gather certain natural gas. Pursuant to said agreement, the Company has agreed to fund certain aid-in-construction costs totaling $5.4 million which was paid during the year ended December 31, 2024 and an additional $27.2 million to be funded throughout 2025 as certain milestones are attained. The agreement does not contain any minimum volume commitments.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Gathering and Treating Agreement. </w:t>
      </w:r>
      <w:r>
        <w:rPr>
          <w:rFonts w:ascii="Times New Roman" w:cs="Times New Roman" w:eastAsia="Times New Roman" w:hAnsi="Times New Roman"/>
          <w:sz w:val="18"/>
          <w:szCs w:val="18"/>
          <w:color w:val="auto"/>
        </w:rPr>
        <w:t>In June 2024, the Company entered into a natural gas gathering and treating agreement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gather certain natural gas in its Signal Peak area. Pursuant to said agreement, the Company has agreed to fund certain aid-in-construction costs totaling $5.4 million which was paid during the year ended December 31, 2024 and an additional $27.2 million to be funded throughout 2025 as certain milestones are attained. The agreement does not contain any minimum volume commitments.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to provide a block of electric power at an attractive variable rate,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that is cancellable at the end of the contract term.</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 commitments. </w:t>
      </w:r>
      <w:r>
        <w:rPr>
          <w:rFonts w:ascii="Times New Roman" w:cs="Times New Roman" w:eastAsia="Times New Roman" w:hAnsi="Times New Roman"/>
          <w:sz w:val="18"/>
          <w:szCs w:val="18"/>
          <w:color w:val="auto"/>
        </w:rPr>
        <w:t>The Company is party to an amended agreement whereby it has agreed to purchase at least 750,000 tons of sand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fifteen-month period beginning April 1, 2024. The Company has taken deliveries of approximately 547,000 tons of sand through December 31, 2024, leaving a commitment of approximately 203,000 tons remaining. There are stipulations in the agreement that reduce this commitment should there be a downturn in crude oil prices. Generally, if the Company never takes delivery of any additional sand under the agreement, the monetary commitment that remains as of December 31, 2024 is approximately $5.2 million.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connection with the Company’s underwritten equity offering in July 2023, certain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John Paul DeJoria Family Trust and Jack Hightower, the Company’s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persons or entities compared with other shares sold to the public in the offering.</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Treatment. </w:t>
      </w:r>
      <w:r>
        <w:rPr>
          <w:rFonts w:ascii="Times New Roman" w:cs="Times New Roman" w:eastAsia="Times New Roman" w:hAnsi="Times New Roman"/>
          <w:sz w:val="18"/>
          <w:szCs w:val="18"/>
          <w:color w:val="auto"/>
        </w:rPr>
        <w:t>In September 2021, the Company entered into a contract with Pilot Exploration, Inc., (“Pilot”), whose President and CEO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years ended December 31, 2024, 2023 and 2022, the Company paid zero, $1.5 million and $1.6 million, respectively, to Pilot for such services. In April 2023, the Company terminated the contract with Pilot in exchange for $6.5 million that was charged to other expense in the accompanying consolidated statements of operations during the year ended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339" w:gutter="0" w:footer="0" w:header="0"/>
        </w:sectPr>
      </w:pPr>
    </w:p>
    <w:bookmarkStart w:id="110" w:name="page111"/>
    <w:bookmarkEnd w:id="110"/>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Investment in Public Equity. </w:t>
      </w:r>
      <w:r>
        <w:rPr>
          <w:rFonts w:ascii="Times New Roman" w:cs="Times New Roman" w:eastAsia="Times New Roman" w:hAnsi="Times New Roman"/>
          <w:sz w:val="18"/>
          <w:szCs w:val="18"/>
          <w:color w:val="auto"/>
        </w:rPr>
        <w:t>On August 22 and 23, 2022, HighPeak Energy entered into multiple Subscription Agreements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“Subscription Agreements”) with certain accredited investors (collectively, the “Investors”) pursuant to which, among other things, the Investors agreed to subscribe for and purchase, and the Company agreed to issue and sell to the Investors, an aggregate 2,855,162 newly issued shares of the Company’s common stock at a price per share of $21.61 (as determined by the 5-day volume weighted average trading price per share for the five trading days immediately prior to (and excluding) August 22, 2022), for aggregate gross proceeds of approximately $61.7 million. The Company used the proceeds of the Private Placement for general corporate purposes. The transactions contemplated by the Subscription Agreements closed in multiple closings on or about September 2, 2022, subject to customary closing conditions.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private placement, certain related persons of the Company participated as investors, and such participation was approved by the Board pursuant to and in accordance with the terms of the Related Party Transactions Policy adopted by the Board on August 21, 2020. Specifically, Messrs. Jack Hightower (the Company’s Chief Executive Officer), Michael Hollis (the Company’s President), Steven Tholen (the Company’s Chief Financial Officer), Rodney Woodard (the Company’s Chief Operating Officer) and John Paul DeJoria as trustee for the John Paul DeJoria Family Trust (a greater than ten percent (10%) holder of the Company’s outstanding common stock) entered into Subscription Agreements to purchase 462,749, 46,276, 9,255, 23,138 and 2,313,744 shares of common stock, respectively, in each case on substantially the same terms as other investors in the private placement. In addition, each Subscription Agreement with an investor other than Messrs. Hightower and DeJoria (each of which has existing registration rights with respect to the Company’s securities) provides for customary registration rights with respect to the shares issued thereunder, including the right to have such shares registered for resale on a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76%, 82% and 88% of the Company’s revenues during the years ended December 31, 2024, 2023 and 2022, respectively. In addition, Energy Transfer Crude Marketing, LLC (“ETC”) accounted for approximately 18% and 14% of the Company’s revenues during the years ended December 31, 2024 and 2023, respectively. Based on the current demand for crude oil and natural gas and the availability of other purchasers, management believes the loss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(“IRA 2022”), which among other tax provisions, created a 15 percent corporate alternative minimum tax (“CAMT”) on the “adjusted financial statement income” of certain large corporations (generally, corporations reporting at least $1 billion of average adjusted pre-tax net income on their consolidated financial statements) as well as an excise tax of 1% on the fair market value of certain public company stock repurchases for tax years beginning after December 31, 2022. Based on application of currently available guidance, the Company’s income tax expense for the years ended December 31, 2024 and 2023 was not impacted by the CAMT. The Company’s excise tax imposed on its certain stock repurchases during the year ended December 31, 2024 was immaterial and was recognized as part of the cost basis of the stock repurchased.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attributable to income before income taxes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0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73,026</w:t>
            </w:r>
          </w:p>
        </w:tc>
      </w:tr>
      <w:tr>
        <w:trPr>
          <w:trHeight w:val="230"/>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33,745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2,335</w:t>
            </w:r>
          </w:p>
        </w:tc>
      </w:tr>
      <w:tr>
        <w:trPr>
          <w:trHeight w:val="223"/>
        </w:trPr>
        <w:tc>
          <w:tcPr>
            <w:tcW w:w="4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0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35,330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r>
      <w:tr>
        <w:trPr>
          <w:trHeight w:val="29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0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35,851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65,905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r>
      <w:tr>
        <w:trPr>
          <w:trHeight w:val="412"/>
        </w:trPr>
        <w:tc>
          <w:tcPr>
            <w:tcW w:w="426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1" w:name="page112"/>
    <w:bookmarkEnd w:id="1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between the provision for income taxes computed by multiplying pre-tax income by the U.S. federal statutory rate and the reported amounts of provision for income taxes is as follows (in thousands, except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23"/>
        </w:trPr>
        <w:tc>
          <w:tcPr>
            <w:tcW w:w="5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1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27,493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59,172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65,565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Limited tax benefit due to wage and stock-based compensation</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7,362</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deferred income taxes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2,335</w:t>
            </w: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r>
      <w:tr>
        <w:trPr>
          <w:trHeight w:val="2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35,851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65,905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75,361</w:t>
            </w:r>
          </w:p>
        </w:tc>
      </w:tr>
      <w:tr>
        <w:trPr>
          <w:trHeight w:val="215"/>
        </w:trPr>
        <w:tc>
          <w:tcPr>
            <w:tcW w:w="5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73,013</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Unrecognized derivative losses, net</w:t>
            </w:r>
          </w:p>
        </w:tc>
        <w:tc>
          <w:tcPr>
            <w:tcW w:w="32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8"/>
                <w:szCs w:val="18"/>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89,488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(250,859)</w:t>
            </w:r>
          </w:p>
        </w:tc>
        <w:tc>
          <w:tcPr>
            <w:tcW w:w="0" w:type="dxa"/>
            <w:vAlign w:val="bottom"/>
          </w:tcPr>
          <w:p>
            <w:pPr>
              <w:spacing w:after="0"/>
              <w:rPr>
                <w:sz w:val="1"/>
                <w:szCs w:val="1"/>
                <w:color w:val="auto"/>
              </w:rPr>
            </w:pPr>
          </w:p>
        </w:tc>
      </w:tr>
      <w:tr>
        <w:trPr>
          <w:trHeight w:val="162"/>
        </w:trPr>
        <w:tc>
          <w:tcPr>
            <w:tcW w:w="80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vMerge w:val="continue"/>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jc w:val="right"/>
              <w:ind w:right="18"/>
              <w:spacing w:after="0" w:line="68" w:lineRule="exact"/>
              <w:rPr>
                <w:sz w:val="20"/>
                <w:szCs w:val="20"/>
                <w:color w:val="auto"/>
              </w:rPr>
            </w:pPr>
            <w:r>
              <w:rPr>
                <w:rFonts w:ascii="Times New Roman" w:cs="Times New Roman" w:eastAsia="Times New Roman" w:hAnsi="Times New Roman"/>
                <w:sz w:val="7"/>
                <w:szCs w:val="7"/>
                <w:color w:val="auto"/>
              </w:rPr>
              <w:t>(475</w:t>
            </w:r>
          </w:p>
        </w:tc>
        <w:tc>
          <w:tcPr>
            <w:tcW w:w="10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0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3"/>
                <w:szCs w:val="13"/>
                <w:color w:val="auto"/>
              </w:rPr>
            </w:pPr>
          </w:p>
        </w:tc>
        <w:tc>
          <w:tcPr>
            <w:tcW w:w="1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(258,291</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800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jc w:val="right"/>
              <w:ind w:right="18"/>
              <w:spacing w:after="0" w:line="68" w:lineRule="exact"/>
              <w:rPr>
                <w:sz w:val="20"/>
                <w:szCs w:val="20"/>
                <w:color w:val="auto"/>
              </w:rPr>
            </w:pPr>
            <w:r>
              <w:rPr>
                <w:rFonts w:ascii="Times New Roman" w:cs="Times New Roman" w:eastAsia="Times New Roman" w:hAnsi="Times New Roman"/>
                <w:sz w:val="7"/>
                <w:szCs w:val="7"/>
                <w:color w:val="auto"/>
              </w:rPr>
              <w:t>(321,886</w:t>
            </w: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December 31, 2024 and 2023,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$3.0 million and $3.4 million reduction in the deferred tax asset and increased the amount of income tax expense realized during the years ended December 31, 2024 and 2022, respectively.</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$469,000 in current Texas margin tax in the accompanying consolidated financial statements for the year ended December 31, 2024 and zero for the years ended December 31, 2023 and 2022 as the Company did not owe any Texas margin tax for 2023 or 2022. The Company has recognized a net deferred Texas margin tax liability of $8.6 million and $7.1 million as of December 31, 2024 and 2023, respectively, in the accompanying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years ended December 31, 2024, 2023 and 2022 under the two-class method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95,069</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215,866</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236,854</w:t>
            </w:r>
          </w:p>
        </w:tc>
        <w:tc>
          <w:tcPr>
            <w:tcW w:w="0" w:type="dxa"/>
            <w:vAlign w:val="bottom"/>
          </w:tcPr>
          <w:p>
            <w:pPr>
              <w:spacing w:after="0"/>
              <w:rPr>
                <w:sz w:val="1"/>
                <w:szCs w:val="1"/>
                <w:color w:val="auto"/>
              </w:rPr>
            </w:pPr>
          </w:p>
        </w:tc>
      </w:tr>
      <w:tr>
        <w:trPr>
          <w:trHeight w:val="162"/>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2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jc w:val="right"/>
              <w:ind w:right="15"/>
              <w:spacing w:after="0" w:line="68" w:lineRule="exact"/>
              <w:rPr>
                <w:sz w:val="20"/>
                <w:szCs w:val="20"/>
                <w:color w:val="auto"/>
              </w:rPr>
            </w:pPr>
            <w:r>
              <w:rPr>
                <w:rFonts w:ascii="Times New Roman" w:cs="Times New Roman" w:eastAsia="Times New Roman" w:hAnsi="Times New Roman"/>
                <w:sz w:val="7"/>
                <w:szCs w:val="7"/>
                <w:color w:val="auto"/>
              </w:rPr>
              <w:t>(22,991</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213,863</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1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9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86,022</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194,310</w:t>
            </w:r>
          </w:p>
        </w:tc>
        <w:tc>
          <w:tcPr>
            <w:tcW w:w="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214,264</w:t>
            </w:r>
          </w:p>
        </w:tc>
        <w:tc>
          <w:tcPr>
            <w:tcW w:w="0" w:type="dxa"/>
            <w:vAlign w:val="bottom"/>
          </w:tcPr>
          <w:p>
            <w:pPr>
              <w:spacing w:after="0"/>
              <w:rPr>
                <w:sz w:val="1"/>
                <w:szCs w:val="1"/>
                <w:color w:val="auto"/>
              </w:rPr>
            </w:pPr>
          </w:p>
        </w:tc>
      </w:tr>
      <w:tr>
        <w:trPr>
          <w:trHeight w:val="197"/>
        </w:trPr>
        <w:tc>
          <w:tcPr>
            <w:tcW w:w="52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104,738</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1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129,205</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123,020</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111,164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hanging="324"/>
        <w:spacing w:after="0" w:line="254"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was subject to being suspended from time to time, modified, extended or discontinued by the board of directors at any time. The common stock repurchase program expired on December 31, 2024 (the “2024 Repurchase Program”). On March 6, 2025, the Company’s board of directors extended the program from its original expiration on December 31, 2024 and extended the program through December 31, 2025 (the “Repurchase Extension”). The Repurchase Extension did not alter any of the original terms of the 2024 Repurchase Program nor did it change the total amount provided for under the original 2024 Repurchase Program. Purchases under the 2024 Repurchase Program were made from time to time in open market transactions, and were subject to market conditions, applicable legal requirements, contractual obligations and other factors. During the year ended December 31, 2024, the Company repurchased 2,407,421 shares of common stock that were cancelled and terminated for approximately $35.1 million, excluding excise taxes and other expenses under this repurchase program. Up to approximately $39.9 million remains available for use to repurchase shares under the Company’s common stock repurchase program, excluding excise taxes and other expenses, now that the program has been extended.</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year ended December 31, 2024, the Company issued 55 shares of HighPeak Energy common stock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warrants being exercised. In July 2023, the Company issued 14,835,000 shares of its common stock in a public offering discussed below. The remaining 420,896 shares of HighPeak Energy common stock issued during the year ended December 31, 2023 were the result of warrants (350,295 shares) being exercised, the issuance of restricted stock (58,767 shares) to outside directors and stock options (11,834 shares) being exercised. On March 25, 2022, June 21, 2022 and June 27, 2022, respectively, the Company issued 6,960,000, 371,517 and 3,522,117 shares of HighPeak Energy common stock related to the aforementioned crude oil and natural gas property acquisitions. On June 1, 2022, the Company issued 21,184 and 600,000 shares of restricted stock to outside directors and certain employees, respectively. On September 2, 2022, the Company closed an aggregate $85.0 million private placement of 3,933,376 newly issued shares of HighPeak Energy common stock at a price per share of $21.61 as determined by the 5-day volume weighted average closing price per share for the five days immediately prior to (and excluding) August 22, 2022. The initial closings occurred on August 22, 2022, with the final closings on September 2, 2022. The remaining 982,648 shares of HighPeak Energy common stock issued during the year ended December 31, 2022 were the result of warrants (970,648 shares) and stock options (12,000 shares) being exercised.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447" w:gutter="0" w:footer="0" w:header="0"/>
        </w:sectPr>
      </w:pPr>
    </w:p>
    <w:bookmarkStart w:id="113" w:name="page114"/>
    <w:bookmarkEnd w:id="11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Offerings of Common Stock. </w:t>
      </w:r>
      <w:r>
        <w:rPr>
          <w:rFonts w:ascii="Times New Roman" w:cs="Times New Roman" w:eastAsia="Times New Roman" w:hAnsi="Times New Roman"/>
          <w:sz w:val="18"/>
          <w:szCs w:val="18"/>
          <w:color w:val="auto"/>
        </w:rPr>
        <w:t>On July 19, 2023, the Company completed the offering of 14,835,000 shares of its common stock, at a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 of $10.50 per share, pursuant to a Registration Statement on Form S-3 (File No. 333-261706) filed on December 17, 2021. The net proceeds to the Company from the offering, after deducting the underwriting discounts and commissions and other offering expenses, were approximately $150.4 million.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November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on December 23, 2024. In addition, under the terms of the LTIP, the Company paid a dividend equivalent per share to all vested stock option holders of $531,000 in December 2024. In addition, the Company accrued an additional combined $86,000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2024, the Board declared a quarterly dividend of $0.04 per share of common stock outstanding which resulted in a total of $5.0 million in dividends being paid on September 25, 2024. In addition, under the terms of the LTIP, the Company paid a dividend equivalent per share to all vested stock option holders of $534,000 in September 2024. In addition, the Company accrued an additional combined $86,000 in dividends on the restricted stock issued to directors, management directors and certain employees that will be payable upon vesting.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the Board declared a quarterly dividend of $0.04 per share of common stock outstanding which resulted in a total of $5.0 million in dividends being paid on June 25, 2024. In addition, under the terms of the LTIP, the Company paid a dividend equivalent per share to all vested stock option holders of $538,000 in June 2024 and accrued a dividend equivalent per share to all unvested stock option holders which was payable upon vesting, assuming no forfeitures. In addition, the Company accrued an additional combined $84,000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Board declared a quarterly dividend of $0.04 per share of common stock outstanding which resulted in a total of $5.1 million in dividends being paid on March 25, 2024. In addition, under the terms of the LTIP, the Company paid a dividend equivalent per share to all vested stock option holders of $530,000 in March 2024 and accrued a dividend equivalent per share to all unvested stock option holders which was payable upon vesting, assuming no forfeitures. In addition, the Company accrued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the Board declared a quarterly dividend of $0.025 per share of common stock outstanding which resulted in a total of $3.2 million in dividends being paid on November 22, 2023. In addition, under the terms of the LTIP, the Company paid a dividend equivalent per share to all vested stock option holders of $348,000 in November 2023 and accrued a dividend equivalent per share to all unvested stock option holders which was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the Board declared a quarterly dividend of $0.025 per share of common stock outstanding which resulted in a total of $3.2 million in dividends being paid on August 25, 2023. In addition, under the terms of the LTIP, the Company paid a dividend equivalent per share to all vested stock option holders of $334,000 in August 2023 and accrued a dividend equivalent per share to all unvested stock option holders which was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Board declared a quarterly dividend of $0.025 per share of common stock outstanding which resulted in a total of $2.8 million in dividends being paid on May 25, 2023. In addition, under the terms of the LTIP, the Company paid a dividend equivalent per share to all vested stock option holders of $286,000 in May 2023 and accrued a dividend equivalent per share to all unvested stock option holders which was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Board declared a quarterly dividend of $0.025 per share of common stock outstanding which resulted in a total of $2.8 million in dividends being paid on February 24, 2023. In addition, under the terms of the LTIP, the Company paid a dividend equivalent per share to all vested stock option holders of $282,000 in February 2023 and accrued a dividend equivalent per share to all unvested stock option holders which was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2022, the Board declared a quarterly dividend of $0.025 per share of common stock outstanding which resulted in a total of $2.8 million in dividends being paid on November 23, 2022. In addition, under the terms of the LTIP, the Company paid a dividend equivalent per share to all vested stock option holders of $288,000 in November 2022 and accrued a dividend equivalent per share to all unvested stock option holders which is payable upon vesting, assuming no forfeitures. In addition, the Company will accrue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2022, the Board declared a quarterly dividend of $0.025 per share of common stock outstanding which resulted in a total of $2.7 million in dividends being paid on August 25, 2022. In addition, under the terms of the LTIP, the Company paid a dividend equivalent per share to all vested stock option holders of $481,000 in August 2022 and accrued a dividend equivalent per share to all unvested stock option holders which is payable upon vesting, assuming no forfeitures. In addition, the Company will accrue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2022, the Board declared a quarterly dividend of $0.025 per share of common stock outstanding which resulted in a total of $2.6 million in dividends being paid on May 25, 2022. In addition, under the terms of the LTIP, the Company paid a dividend equivalent per share to all vested stock option holders of $214,000 in May 2022 and accrued a dividend equivalent per share to all unvested stock option holders which is payable upon vesting, assuming no forfeitures. In addition, the Company will accrue an additional combined $53,000 in dividends on the restricted stock issued to management directors and certain employees that will be payable upon vesting.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82" w:gutter="0" w:footer="0" w:header="0"/>
        </w:sectPr>
      </w:pPr>
    </w:p>
    <w:bookmarkStart w:id="114" w:name="page115"/>
    <w:bookmarkEnd w:id="1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2022, the Board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of $214,000 in February 2022 and accrued a dividend equivalent per share to all unvested stock option holders which was payable upon vesting, assuming no forfeitures. In addition, the Company accrued an additional combined $53,000 in dividends on the restricted stock issued to management directors and certain employees that will be payable upon vesting.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At December 31, 2024 and 2023, the Company had 126,067,436 and 128,420,923 shares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and 7,934,922 and 7,934,977 warrants outstanding, respectively, with an exercise price of $11.50 per share that expire on August 20,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was subject to being suspended from time to time, modified, extended or discontinued by the board of directors at any time. The 2024 Repurchase Program expired on December 31, 2024. On March 6, 2025, the Company’s board of directors extended the program from its original expiration on December 31, 2024 and extended the program through December 31, 2025. The Repurchase Extension did not alter any of the original terms of the 2024 Repurchase Agreement nor did it change the total amount provided for under the original 2024 Repurchase Program. The 2024 Repurchase Program was entered into in 2024 to grant HighPeak’s management the authority to repurchase shares opportunistically in the open market from time to time, through block trades, in privately negotiated transactions or by such other means which comply with applicable state and federal laws. This is the Company’s second authorization for a stock repurchase program since its founding.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The stock repurchase program authority will expire December 31, 2025.</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February 2025, the Board approved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will result in a total of approximately $5.0 million in dividends being paid on March 25, 2025. In addition, under the terms of the LTIP, the Company will pay a dividend equivalent per share to all vested stock option holders of approximately $538,000 in March 2025. In addition, the Company will accrue an additional combined $86,000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Natural gas derivative instruments. </w:t>
      </w:r>
      <w:r>
        <w:rPr>
          <w:rFonts w:ascii="Times New Roman" w:cs="Times New Roman" w:eastAsia="Times New Roman" w:hAnsi="Times New Roman"/>
          <w:sz w:val="18"/>
          <w:szCs w:val="18"/>
          <w:color w:val="auto"/>
        </w:rPr>
        <w:t>In February 2025, the Company entered into the following natural gas derivative instruments,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HH fixed price swaps at $4.43 per MMBtu for 30,000 MMBtu per day for March 2025 through February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MMBtu</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 Month</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Per Day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MMBtu</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10,333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19,667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HH</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Supplemental Crude Oil and Natural Gas Disclosures (Unaudited)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only has one reportable operating segment, which is crude oil and natural gas development, exploration and production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Capitalized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capitalized costs of crude oil and natural gas properties and the related accumulated depletion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properties</w:t>
            </w:r>
          </w:p>
        </w:tc>
        <w:tc>
          <w:tcPr>
            <w:tcW w:w="4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3,959,545</w:t>
            </w:r>
          </w:p>
        </w:tc>
        <w:tc>
          <w:tcPr>
            <w:tcW w:w="6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Unproved properties</w:t>
            </w:r>
          </w:p>
        </w:tc>
        <w:tc>
          <w:tcPr>
            <w:tcW w:w="4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70,868</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capitalized costs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accumulated depletion</w:t>
            </w:r>
          </w:p>
        </w:tc>
        <w:tc>
          <w:tcPr>
            <w:tcW w:w="4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(1,184,684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(684,179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1"/>
        </w:trPr>
        <w:tc>
          <w:tcPr>
            <w:tcW w:w="3780" w:type="dxa"/>
            <w:vAlign w:val="bottom"/>
            <w:vMerge w:val="continue"/>
          </w:tcPr>
          <w:p>
            <w:pPr>
              <w:spacing w:after="0"/>
              <w:rPr>
                <w:sz w:val="3"/>
                <w:szCs w:val="3"/>
                <w:color w:val="auto"/>
              </w:rPr>
            </w:pPr>
          </w:p>
        </w:tc>
        <w:tc>
          <w:tcPr>
            <w:tcW w:w="4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capitalized costs</w:t>
            </w:r>
          </w:p>
        </w:tc>
        <w:tc>
          <w:tcPr>
            <w:tcW w:w="4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2,845,729</w:t>
            </w:r>
          </w:p>
        </w:tc>
        <w:tc>
          <w:tcPr>
            <w:tcW w:w="6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2,726,643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78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811"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in Crude Oil and Natural Gas Property Acquisition, Exploration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costs incurred in crude oil and natural gas property acquisition, development and exploratory activities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Proved properties</w:t>
            </w:r>
          </w:p>
        </w:tc>
        <w:tc>
          <w:tcPr>
            <w:tcW w:w="2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352,791</w:t>
            </w:r>
          </w:p>
        </w:tc>
      </w:tr>
      <w:tr>
        <w:trPr>
          <w:trHeight w:val="229"/>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Unproved properties</w:t>
            </w:r>
          </w:p>
        </w:tc>
        <w:tc>
          <w:tcPr>
            <w:tcW w:w="1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174,554</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acquisition costs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527,345</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162,223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655,433</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442,076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481,528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391,298</w:t>
            </w: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expenditures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619,143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1,574,076</w:t>
            </w: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 net</w:t>
            </w:r>
          </w:p>
        </w:tc>
        <w:tc>
          <w:tcPr>
            <w:tcW w:w="1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r>
      <w:tr>
        <w:trPr>
          <w:trHeight w:val="27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2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620,211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1,030,163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1,576,955</w:t>
            </w: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Crude Oil, NGL and Natural Gas Producing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Company’s results of operations for crude oil, NGL and natural gas producing activities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NGL and natural gas sales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1,069,414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1,111,293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500,752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 on asset retirement obligations</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78,603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98,361</w:t>
            </w: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Results of operations from crude oil and natural gas production</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295,696</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377,050</w:t>
            </w: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370,025</w:t>
            </w:r>
          </w:p>
        </w:tc>
        <w:tc>
          <w:tcPr>
            <w:tcW w:w="0" w:type="dxa"/>
            <w:vAlign w:val="bottom"/>
          </w:tcPr>
          <w:p>
            <w:pPr>
              <w:spacing w:after="0"/>
              <w:rPr>
                <w:sz w:val="1"/>
                <w:szCs w:val="1"/>
                <w:color w:val="auto"/>
              </w:rPr>
            </w:pPr>
          </w:p>
        </w:tc>
      </w:tr>
      <w:tr>
        <w:trPr>
          <w:trHeight w:val="194"/>
        </w:trPr>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Reserves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Proved reserves were estimated in accordance with guidelines established by the SEC, which require that reserve estimates be prepared under existing economic and operating conditions based upon the 12-month unweighted average of the first day of the month spot prices prior to the end of the reporting period. These prices as of December 31, 2024, 2023 and 2022 were $75.48, $78.22 and $93.67 per barrel for crude oil and NGL and $2.130, $2.637 and $6.358 per MMBtu for natural gas, respectively. The estimated realized prices used in computing the Company’s reserves as of December 31, 2024 were as follows: (i) $75.56 per barrel of crude oil, (ii) $20.53 per barrel of NGL, and (iii) $0.072 per Mcf of natural gas. The estimated realized prices used in computing the Company’s reserves as of December 31, 2023 were as follows: (i) $78.13 per barrel of crude oil, (ii) $17.33 per barrel of NGL, and</w:t>
      </w:r>
    </w:p>
    <w:p>
      <w:pPr>
        <w:spacing w:after="0" w:line="5" w:lineRule="exact"/>
        <w:rPr>
          <w:sz w:val="20"/>
          <w:szCs w:val="20"/>
          <w:color w:val="auto"/>
        </w:rPr>
      </w:pPr>
    </w:p>
    <w:p>
      <w:pPr>
        <w:jc w:val="both"/>
        <w:ind w:firstLine="8"/>
        <w:spacing w:after="0" w:line="255" w:lineRule="auto"/>
        <w:tabs>
          <w:tab w:leader="none" w:pos="32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$0.198 per Mcf of natural gas. The estimated realized prices used in computing the Company’s reserves as of December 31, 2022 were as follows: (i) $94.59 per barrel of crude oil, (ii) $36.69 per barrel of NGL, and (iii) $4.871 per Mcf of natural gas. All prices are net of adjustments for regional basis differentials, treating costs, transportation, gas shrinkage, gas heating value (BTU content) and/or crude quality and gravity adjustments.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proved reserve estimates as of December 31, 2024, 2023 and 2022 were prepared by Cawley, Gillespie &amp; Associates, Inc. (“CG&amp;A”), independent reserve engineers, and reflect the Company’s current development plans. All estimates of proved reserves are determined according to the rules prescribed by the SEC in existence at the time estimates were made. These rules require that the standard of “reasonable certainty” be applied to proved reserve estimates, which is defined as having a high degree of confidence that the quantities will be recovered. A high degree of confidence exists if the quantity is much more likely to be achieved than not, and, as more technical and economic data becomes available, a positive or upward revision or no revision is much more likely than a negative or downward revision. Estimates are subject to revision based upon a number of factors, including many factors beyond the Company’s control, such as reservoir performance, prices, economic conditions, and government restrictions. In addition, results of drilling, testing, and production subsequent to the date of an estimate may justify revision of that estimate.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6" w:name="page117"/>
    <w:bookmarkEnd w:id="1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Reserve estimates are often different from the quantities of crude oil and natural gas that are ultimately recovered. Estimating quantities of proved crude oil and natural gas reserves is a complex process that involves significant interpretations and assumptions and cannot be measured in an exact manner. It requires interpretations and judgment of available technical data, including the evaluation of available geological, geophysical and engineering data. The accuracy of any reserve estimate is highly dependent on the quality of available data, the accuracy of the assumptions on which they are based upon, economic factors, such as crude oil and natural gas prices, production costs, severance and excise taxes, capital expenditures, workover and remedial costs, and the assumed effects of governmental regulation. In addition, due to the lack of substantial, if any, production data, there are greater uncertainties in estimating PUD reserves, proved developed non-producing reserves and proved developed reserves that are early in their production life. As a result, the Company’s reserve estimates are inherently imprecise.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meaningfulness of reserve estimates is highly dependent on the accuracy of the assumptions on which they were based. In general, the volume of production from crude oil and natural gas properties the Company owns declines as reserves are depleted. Except to the extent the Company conducts successful exploration and development activities or acquires additional properties containing proved reserves, or both, the Company’s proved reserves will decline as reserves are produced.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changes in proved reserves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NGL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(MMcf)</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00" w:type="dxa"/>
            <w:vAlign w:val="bottom"/>
            <w:tcBorders>
              <w:bottom w:val="single" w:sz="8" w:color="auto"/>
            </w:tcBorders>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Reserves on December 31,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47,677</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57,987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reserves-in-place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(6,155)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3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Proved Reserves on December 31,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98,816</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122,958</w:t>
            </w:r>
          </w:p>
        </w:tc>
        <w:tc>
          <w:tcPr>
            <w:tcW w:w="100" w:type="dxa"/>
            <w:vAlign w:val="bottom"/>
            <w:tcBorders>
              <w:top w:val="single" w:sz="8" w:color="auto"/>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reserves-in-place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(18,432)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(16,093)</w:t>
            </w:r>
          </w:p>
        </w:tc>
      </w:tr>
      <w:tr>
        <w:trPr>
          <w:trHeight w:val="235"/>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Proved Reserves on December 31,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119,554</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154,162</w:t>
            </w:r>
          </w:p>
        </w:tc>
        <w:tc>
          <w:tcPr>
            <w:tcW w:w="100" w:type="dxa"/>
            <w:vAlign w:val="bottom"/>
            <w:tcBorders>
              <w:top w:val="single" w:sz="8" w:color="auto"/>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100" w:type="dxa"/>
            <w:vAlign w:val="bottom"/>
          </w:tcPr>
          <w:p>
            <w:pPr>
              <w:spacing w:after="0"/>
              <w:rPr>
                <w:sz w:val="18"/>
                <w:szCs w:val="18"/>
                <w:color w:val="auto"/>
              </w:rPr>
            </w:pPr>
          </w:p>
        </w:tc>
      </w:tr>
      <w:tr>
        <w:trPr>
          <w:trHeight w:val="23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Proved Reserves on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135,271</w:t>
            </w: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34,118</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177,654</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198,998</w:t>
            </w:r>
          </w:p>
        </w:tc>
        <w:tc>
          <w:tcPr>
            <w:tcW w:w="100" w:type="dxa"/>
            <w:vAlign w:val="bottom"/>
            <w:tcBorders>
              <w:top w:val="single" w:sz="8" w:color="auto"/>
              <w:bottom w:val="single" w:sz="8" w:color="auto"/>
            </w:tcBorders>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2024, the Company had approximately 198,998 MBoe of proved reserves. For the year ended December 31, 2024, extensions and discoveries increased proved reserves by 45,104 MBoe as a result of; (i) drilling 18 gross (14.6 net) exploratory/extension wells that were on production as of December 31, 2024, (ii) 5 gross (5.0 net) exploratory/extension wells that were in the final stages of completion as of December 31, 2024, and (iii) the addition of 79 gross (68.9 net) PUDs. Upward revisions of previous estimates of 18,017 MBoe for the year ended December 31, 2024 were the result of positive revisions of approximately 19,406 MBoe primarily due to technical revisions attributable to increased well performance and adjustments to our estimates, partially offset by approximately 804 MBoe primarily due to increased forecasted operating expenses and approximately 585 MBoe primarily related to decreases in crude oil, NGL and natural gas realized prices. The aforementioned net increase in proved reserves was partially offset by 18,285 MBoe in production during the year ended December 31, 2024. The Company’s current development plan reflects allocation of capital with a focus on efficiencies, recoveries and rates of return.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2023, the Company had approximately 154,162 MBoe of proved reserves. For the year ended December 31, 2023, extensions and discoveries increased proved reserves by 65,148 MBoe as a result of; (i) drilling 63 gross (56.4 net) exploratory/extension wells that were on production as of December 31, 2023, (ii) 7 gross (6.6 net) exploratory/extension wells that were in the final stages of completion as of December 31, 2023, and (iii) the addition of 117 gross (102.4 net) PUDs. The Company also acquired 171 MBoe of reserves as part of its acquisition activities and divested of 1,387 MBoe of reserves in a farm out to another operator in return for a carried interest during the year ended December 31, 2023. Downward revisions of previous estimates of 16,093 MBoe for the year ended December 31, 2023 were the result of negative revisions of approximately 13,729 MBoe primarily due to technical revisions attributable to decreased well performance and adjustments to our estimates, approximately 1,775 MBoe primarily related to decreases in crude oil, NGL and natural gas realized prices and approximately 589 MBoe primarily due to increased forecasted operating expenses. The aforementioned net increase in proved reserves was partially offset by 16,635 MBoe in production during the year ended December 31, 2023. The Company’s current development plan reflects allocation of capital with a focus on efficiencies, recoveries and rates of return.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2022, the Company had approximately 122,958 MBoe of proved reserves. For the year ended December 31, 2022, extensions and discoveries increased proved reserves by 57,987 MBoe as a result of: (i) drilling 37 gross (32.1 net) exploratory/extension wells that were on production as of December 31, 2022, (ii) 16 gross (14.8 net) exploratory/extension wells that were in the final stages of completion as of December 31, 2022, and (iii) the addition of 80 gross (75.2 net) PUDs. The Company also acquired 18,906 MBoe of reserves as part of its acquisition activities during the year ended December 31, 2022. Downward revisions of previous estimates of 9,211 MBoe for the year ended December 31, 2022 were primarily the result of negative revisions of 10,418 MBoe due to technical revisions attributable to decreased well performance and adjustments to our PUD estimates, partially offset by positive revisions of approximately 1,116 MBoe related to increases in crude oil, NGL and natural gas realized prices and positive revisions of approximately 91 MBoe primarily due to decreased forecasted operating expenses. The aforementioned net increase in proved reserves was partially offset by 8,937 MBoe in production during the year ended December 31, 2022. The Company’s current development plan reflects allocation of capital with a focus on efficiencies, recoveries and rates of return.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839"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estimated quantities of proved developed and proved undeveloped crude oil, NGL and natural gas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Reserves (1)</w:t>
            </w: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6"/>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65,632</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58,631</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47,845</w:t>
            </w: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22,753</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12,183</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7,968</w:t>
            </w:r>
          </w:p>
        </w:tc>
      </w:tr>
      <w:tr>
        <w:trPr>
          <w:trHeight w:val="229"/>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118,402</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52,671</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32,669</w:t>
            </w:r>
          </w:p>
        </w:tc>
      </w:tr>
      <w:tr>
        <w:trPr>
          <w:trHeight w:val="290"/>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108,119</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79,593</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61,258</w:t>
            </w:r>
          </w:p>
        </w:tc>
      </w:tr>
      <w:tr>
        <w:trPr>
          <w:trHeight w:val="197"/>
        </w:trPr>
        <w:tc>
          <w:tcPr>
            <w:tcW w:w="56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Proved Undeveloped Reserves</w:t>
            </w:r>
          </w:p>
        </w:tc>
        <w:tc>
          <w:tcPr>
            <w:tcW w:w="1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69,639</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60,923</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50,971</w:t>
            </w:r>
          </w:p>
        </w:tc>
      </w:tr>
      <w:tr>
        <w:trPr>
          <w:trHeight w:val="216"/>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11,365</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7,913</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6,401</w:t>
            </w:r>
          </w:p>
        </w:tc>
      </w:tr>
      <w:tr>
        <w:trPr>
          <w:trHeight w:val="230"/>
        </w:trPr>
        <w:tc>
          <w:tcPr>
            <w:tcW w:w="5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59,252</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25,969</w:t>
            </w:r>
          </w:p>
        </w:tc>
      </w:tr>
      <w:tr>
        <w:trPr>
          <w:trHeight w:val="250"/>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90,879</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r>
      <w:tr>
        <w:trPr>
          <w:trHeight w:val="20"/>
        </w:trPr>
        <w:tc>
          <w:tcPr>
            <w:tcW w:w="56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Proved Reserves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135,271</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119,554</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98,816</w:t>
            </w:r>
          </w:p>
        </w:tc>
      </w:tr>
      <w:tr>
        <w:trPr>
          <w:trHeight w:val="216"/>
        </w:trPr>
        <w:tc>
          <w:tcPr>
            <w:tcW w:w="56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34,118</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20,096</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14,369</w:t>
            </w:r>
          </w:p>
        </w:tc>
      </w:tr>
      <w:tr>
        <w:trPr>
          <w:trHeight w:val="229"/>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177,654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87,071</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58,638</w:t>
            </w:r>
          </w:p>
        </w:tc>
      </w:tr>
      <w:tr>
        <w:trPr>
          <w:trHeight w:val="290"/>
        </w:trPr>
        <w:tc>
          <w:tcPr>
            <w:tcW w:w="56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198,998</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122,958</w:t>
            </w:r>
          </w:p>
        </w:tc>
      </w:tr>
    </w:tbl>
    <w:p>
      <w:pPr>
        <w:spacing w:after="0" w:line="198" w:lineRule="exact"/>
        <w:rPr>
          <w:sz w:val="20"/>
          <w:szCs w:val="20"/>
          <w:color w:val="auto"/>
        </w:rPr>
      </w:pPr>
    </w:p>
    <w:p>
      <w:pPr>
        <w:ind w:left="660" w:right="40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2023 and 2022, proved developed reserves includes proved developed non-producing reserves of 6,239, 4,598 and 7,417 MBbl of crude oil, 1,044, 534 and 927 MBbl of NGL and 5,668, 1,889 and 3,641 MMcf of natural gas, respectively.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December 31, 2024, the Company’s estimated PUD reserves were approximately 90,879 MBoe, a 16,310 MBoe increase over the reserve estimate at December 31, 2023 of 74,569 MBoe. The following table includes the changes in PUD reserves for 2024 (in MBoe):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proved undeveloped reserves on December 31, 2023</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Undeveloped reserves transferred to proved developed reserves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r>
      <w:tr>
        <w:trPr>
          <w:trHeight w:val="216"/>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33,540</w:t>
            </w: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reserves-in-place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9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5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Ending proved undeveloped reserves on December 31, 2024</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90,879</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standardized measure of discounted future net cash flows relating from its proved crude oil, natural gas and NGL reserves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10,934,170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9,706,290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(2,289,852)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development costs (1)</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(983,732)</w:t>
            </w:r>
          </w:p>
        </w:tc>
        <w:tc>
          <w:tcPr>
            <w:tcW w:w="0" w:type="dxa"/>
            <w:vAlign w:val="bottom"/>
          </w:tcPr>
          <w:p>
            <w:pPr>
              <w:spacing w:after="0"/>
              <w:rPr>
                <w:sz w:val="1"/>
                <w:szCs w:val="1"/>
                <w:color w:val="auto"/>
              </w:rPr>
            </w:pPr>
          </w:p>
        </w:tc>
      </w:tr>
      <w:tr>
        <w:trPr>
          <w:trHeight w:val="162"/>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Future income tax expense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(837,031</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(1,102,156</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53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(680,894</w:t>
            </w: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5,309,846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4,587,986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Discount to present value at 10% annual rate</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(2,314,849</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(2,367,062</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53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(1,980,282</w:t>
            </w: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(1)</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2,994,997</w:t>
            </w:r>
          </w:p>
        </w:tc>
        <w:tc>
          <w:tcPr>
            <w:tcW w:w="1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2,607,704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3,416,508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principal changes in the standardized measure of discounted future net cash flows attributable to the Company’s proved reserves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beginning of year</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2,607,704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3,416,508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1,118,809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Sales of crude oil and natural gas, net of production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(647,647)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 net of future development costs (1)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772,541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1,202,674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1,785,822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909,053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estimated future development costs (1)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minerals-in-place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499,478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361,064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288,117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134,338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(315,478)</w:t>
            </w: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410,455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310,648</w:t>
            </w:r>
          </w:p>
        </w:tc>
      </w:tr>
      <w:tr>
        <w:trPr>
          <w:trHeight w:val="25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end of year (1)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2,994,997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2,607,704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3,416,508</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100" w:hanging="328"/>
        <w:spacing w:after="0" w:line="312" w:lineRule="auto"/>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standardized measure of discounted future net cash flows reflects, within the category for future development costs, all estimated future costs that will be incurred to settle our asset retirement obligations, including costs for dismantlement, restoration, and abandonment of the existing</w:t>
      </w:r>
    </w:p>
    <w:p>
      <w:pPr>
        <w:sectPr>
          <w:pgSz w:w="11900" w:h="16838" w:orient="portrait"/>
          <w:cols w:equalWidth="0" w:num="1">
            <w:col w:w="11240"/>
          </w:cols>
          <w:pgMar w:left="320" w:top="580" w:right="339" w:bottom="0" w:gutter="0" w:footer="0" w:header="0"/>
        </w:sectPr>
      </w:pPr>
    </w:p>
    <w:bookmarkStart w:id="118" w:name="page119"/>
    <w:bookmarkEnd w:id="118"/>
    <w:p>
      <w:pPr>
        <w:spacing w:after="0" w:line="282" w:lineRule="auto"/>
        <w:rPr>
          <w:sz w:val="20"/>
          <w:szCs w:val="20"/>
          <w:color w:val="auto"/>
        </w:rPr>
      </w:pPr>
      <w:r>
        <w:rPr>
          <w:rFonts w:ascii="Times New Roman" w:cs="Times New Roman" w:eastAsia="Times New Roman" w:hAnsi="Times New Roman"/>
          <w:sz w:val="18"/>
          <w:szCs w:val="18"/>
          <w:color w:val="auto"/>
        </w:rPr>
        <w:t>wells (including both active and inactive wells on leases and future proved undeveloped locations), in each case in compliance with FASB ASC 932-235-50-36.</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980" w:top="121" w:right="5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year covered by this Annual Report. Based on such evaluation, HighPeak Energy’s principal executive officer and principal financial officer have concluded that as of such date, its disclosure controls and procedures were effective. The Company’s disclosure controls and procedures are designed to provide reasonable assurance that the information required to be disclosed by it in reports that it files under the Exchange Act is accumulated and communicated to management, including the Company’s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internal control over financial reporting (as defined in Rule 13a-15(f) under the Exchange Act) that occurred during the three months ended December 31, 2024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Internal Control over Financial Reporting</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with the participation of our principal executive and principal financial officers, assessed the effectiveness of the Company’s internal control over financial reporting as of December 31, 2024, using the criteria in Internal Control-Integrated Framework (2013) issued by the Committee of Sponsoring Organizations of the Treadway Commission (COSO). Based on this evaluation, management believes that the Company’s internal control over financial reporting was effective as of 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adopted or terminated a non-Rule 10b5-1 trading arrangement (as defined in Item 408(c) of Regulation S-K) during the quarter ended December 31,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Item 10 will be incorporated by reference pursuant to Regulation 14A under the Exchange Act. We expect to file a definitive proxy statement with the SEC within 120 days after the close of the year ended December 31,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37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501"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Weaver and Tidwell, L.L.P., Fort Worth, TX, PCAOB ID No. 410.</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(a)Listing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Annual Report required to be filed pursuant to Item 15(b) are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(c)Financial Statement Schedules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either are not required, not applicable, or the information required to be presented is included in the Company’s consolidated financial statements and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32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0" w:type="dxa"/>
            <w:vAlign w:val="bottom"/>
          </w:tcPr>
          <w:p>
            <w:pPr>
              <w:spacing w:after="0"/>
              <w:rPr>
                <w:sz w:val="1"/>
                <w:szCs w:val="1"/>
                <w:color w:val="auto"/>
              </w:rPr>
            </w:pPr>
          </w:p>
        </w:tc>
      </w:tr>
      <w:tr>
        <w:trPr>
          <w:trHeight w:val="238"/>
        </w:trPr>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-8255</wp:posOffset>
            </wp:positionV>
            <wp:extent cx="64122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gridSpan w:val="1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Purchase and Sale Agreement, dated as of February 15, 2022, by and among HighPeak Energy, Inc., HighPeak Energy Assets, LLC, Alamo</w:t>
              </w:r>
            </w:hyperlink>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Borden County II, LLC, Alamo Borden County III, LLC and Alamo Borden County IV, LLC (incorporated by reference to Exhibit 2.1 to the</w:t>
              </w:r>
            </w:hyperlink>
          </w:p>
        </w:tc>
        <w:tc>
          <w:tcPr>
            <w:tcW w:w="20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Company’s Current Report on Form 8-K (File No. 001-39464) filed with the SEC on June 23, 2022).</w:t>
              </w:r>
            </w:hyperlink>
          </w:p>
        </w:tc>
        <w:tc>
          <w:tcPr>
            <w:tcW w:w="3080" w:type="dxa"/>
            <w:vAlign w:val="bottom"/>
            <w:gridSpan w:val="10"/>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360" w:type="dxa"/>
            <w:vAlign w:val="bottom"/>
            <w:gridSpan w:val="15"/>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Put/Call Agreement, dated as of February 15, 2022, by and among HighPeak Energy, Inc. HighPeak Energy Assets, LLC, Alamo Frac</w:t>
              </w:r>
            </w:hyperlink>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360" w:type="dxa"/>
            <w:vAlign w:val="bottom"/>
            <w:gridSpan w:val="1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Holdings, LLC, Alamo Exploration and Production, LLC, Crocket Operating LLC, Alamo Borden County II, LLC, Alamo Borden County III,</w:t>
              </w:r>
            </w:hyperlink>
          </w:p>
        </w:tc>
      </w:tr>
      <w:tr>
        <w:trPr>
          <w:trHeight w:val="196"/>
        </w:trPr>
        <w:tc>
          <w:tcPr>
            <w:tcW w:w="880" w:type="dxa"/>
            <w:vAlign w:val="bottom"/>
          </w:tcPr>
          <w:p>
            <w:pPr>
              <w:spacing w:after="0"/>
              <w:rPr>
                <w:sz w:val="17"/>
                <w:szCs w:val="17"/>
                <w:color w:val="auto"/>
              </w:rPr>
            </w:pPr>
          </w:p>
        </w:tc>
        <w:tc>
          <w:tcPr>
            <w:tcW w:w="102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LLC, Alamo Borden County IV, LLC and the other parties signatory thereto (incorporated by reference to Exhibit 2.3 to the Company’s</w:t>
              </w:r>
            </w:hyperlink>
          </w:p>
        </w:tc>
        <w:tc>
          <w:tcPr>
            <w:tcW w:w="1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Current Report on Form 8-K (File No. 001-39464) filed with the SEC on June 23, 2022).</w:t>
              </w:r>
            </w:hyperlink>
          </w:p>
        </w:tc>
        <w:tc>
          <w:tcPr>
            <w:tcW w:w="3360" w:type="dxa"/>
            <w:vAlign w:val="bottom"/>
            <w:tcBorders>
              <w:top w:val="single" w:sz="8" w:color="0000EE"/>
            </w:tcBorders>
            <w:gridSpan w:val="5"/>
          </w:tcPr>
          <w:p>
            <w:pPr>
              <w:spacing w:after="0"/>
              <w:rPr>
                <w:sz w:val="17"/>
                <w:szCs w:val="17"/>
                <w:color w:val="auto"/>
              </w:rPr>
            </w:pPr>
          </w:p>
        </w:tc>
        <w:tc>
          <w:tcPr>
            <w:tcW w:w="580" w:type="dxa"/>
            <w:vAlign w:val="bottom"/>
            <w:gridSpan w:val="7"/>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Purchase and Sale Agreement, dated as of April 26, 2022, by and among HighPeak Energy, Inc., HighPeak Energy Assets, LLC, Hannathon</w:t>
              </w:r>
            </w:hyperlink>
          </w:p>
        </w:tc>
        <w:tc>
          <w:tcPr>
            <w:tcW w:w="26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Petroleum, LLC and other sellers party thereto (incorporated by reference to Exhibit 2.1 to the Company’s Current Report on Form 8-K (File</w:t>
              </w:r>
            </w:hyperlink>
          </w:p>
        </w:tc>
        <w:tc>
          <w:tcPr>
            <w:tcW w:w="20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No. 001-39464) filed with the SEC on June 30, 2022).</w:t>
              </w:r>
            </w:hyperlink>
          </w:p>
        </w:tc>
        <w:tc>
          <w:tcPr>
            <w:tcW w:w="6440" w:type="dxa"/>
            <w:vAlign w:val="bottom"/>
            <w:gridSpan w:val="1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Purchase and Sale Agreement, dated as of June 3, 2022, by and among HighPeak Energy Assets, LLC and Alamo Borden County 1, LLC</w:t>
              </w:r>
            </w:hyperlink>
          </w:p>
        </w:tc>
        <w:tc>
          <w:tcPr>
            <w:tcW w:w="44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360" w:type="dxa"/>
            <w:vAlign w:val="bottom"/>
            <w:gridSpan w:val="15"/>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by reference to Exhibit 2.2 to the Company’s Current Report on Form 8-K (File No. 001-39464) filed with the SEC on June 23,</w:t>
              </w:r>
            </w:hyperlink>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2022).</w:t>
              </w:r>
            </w:hyperlink>
          </w:p>
        </w:tc>
        <w:tc>
          <w:tcPr>
            <w:tcW w:w="344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60" w:type="dxa"/>
            <w:vAlign w:val="bottom"/>
            <w:gridSpan w:val="15"/>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Second Amended and Restated Certificate of Incorporation of HighPeak Energy, Inc. (incorporated by reference to Exhibit 3.1 to the</w:t>
              </w:r>
            </w:hyperlink>
          </w:p>
        </w:tc>
      </w:tr>
      <w:tr>
        <w:trPr>
          <w:trHeight w:val="196"/>
        </w:trPr>
        <w:tc>
          <w:tcPr>
            <w:tcW w:w="880" w:type="dxa"/>
            <w:vAlign w:val="bottom"/>
          </w:tcPr>
          <w:p>
            <w:pPr>
              <w:spacing w:after="0"/>
              <w:rPr>
                <w:sz w:val="17"/>
                <w:szCs w:val="17"/>
                <w:color w:val="auto"/>
              </w:rPr>
            </w:pPr>
          </w:p>
        </w:tc>
        <w:tc>
          <w:tcPr>
            <w:tcW w:w="95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Company’s Current Report on Form 8-K (File No. 001-39464) filed with the SEC on June 2, 2023).</w:t>
              </w:r>
            </w:hyperlink>
          </w:p>
        </w:tc>
        <w:tc>
          <w:tcPr>
            <w:tcW w:w="800" w:type="dxa"/>
            <w:vAlign w:val="bottom"/>
            <w:gridSpan w:val="9"/>
          </w:tcPr>
          <w:p>
            <w:pPr>
              <w:spacing w:after="0"/>
              <w:rPr>
                <w:sz w:val="17"/>
                <w:szCs w:val="17"/>
                <w:color w:val="auto"/>
              </w:rPr>
            </w:pPr>
          </w:p>
        </w:tc>
      </w:tr>
      <w:tr>
        <w:trPr>
          <w:trHeight w:val="453"/>
        </w:trPr>
        <w:tc>
          <w:tcPr>
            <w:tcW w:w="880" w:type="dxa"/>
            <w:vAlign w:val="bottom"/>
          </w:tcPr>
          <w:p>
            <w:pPr>
              <w:spacing w:after="0"/>
              <w:rPr>
                <w:sz w:val="24"/>
                <w:szCs w:val="24"/>
                <w:color w:val="auto"/>
              </w:rPr>
            </w:pPr>
          </w:p>
        </w:tc>
        <w:tc>
          <w:tcPr>
            <w:tcW w:w="6420" w:type="dxa"/>
            <w:vAlign w:val="bottom"/>
            <w:tcBorders>
              <w:top w:val="single" w:sz="8" w:color="0000EE"/>
            </w:tcBorders>
            <w:gridSpan w:val="3"/>
          </w:tcPr>
          <w:p>
            <w:pPr>
              <w:ind w:left="4620"/>
              <w:spacing w:after="0"/>
              <w:rPr>
                <w:sz w:val="20"/>
                <w:szCs w:val="20"/>
                <w:color w:val="auto"/>
              </w:rPr>
            </w:pPr>
            <w:r>
              <w:rPr>
                <w:rFonts w:ascii="Times New Roman" w:cs="Times New Roman" w:eastAsia="Times New Roman" w:hAnsi="Times New Roman"/>
                <w:sz w:val="18"/>
                <w:szCs w:val="18"/>
                <w:color w:val="auto"/>
              </w:rPr>
              <w:t>111</w:t>
            </w:r>
          </w:p>
        </w:tc>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w:t>
              </w:r>
            </w:hyperlink>
          </w:p>
        </w:tc>
        <w:tc>
          <w:tcPr>
            <w:tcW w:w="14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360" w:type="dxa"/>
            <w:vAlign w:val="bottom"/>
            <w:gridSpan w:val="21"/>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8-K (File No. 001-39464) filed with the SEC on November 9, 2020).</w:t>
              </w:r>
            </w:hyperlink>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Registration Rights Agreement, dated as of August 21, 2020, by and among HighPeak Energy, Inc., HighPeak Pure Acquisition, LLC,</w:t>
              </w:r>
            </w:hyperlink>
          </w:p>
        </w:tc>
        <w:tc>
          <w:tcPr>
            <w:tcW w:w="68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HighPeak Energy, LP, HighPeak Energy II, LP, HighPeak Energy III, LP and certain other security holders named therein (incorporated by</w:t>
              </w:r>
            </w:hyperlink>
          </w:p>
        </w:tc>
        <w:tc>
          <w:tcPr>
            <w:tcW w:w="36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360" w:type="dxa"/>
            <w:vAlign w:val="bottom"/>
            <w:gridSpan w:val="2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reference to Exhibit 4.4 to the Company’s Current Report on Form 8-K (File No. 001-39464) filed with the SEC on August 27, 2020).</w:t>
              </w:r>
            </w:hyperlink>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Stockholders’ Agreement, dated as of August 21, 2020, by and among HighPeak Energy, Inc., HighPeak Pure Acquisition, LLC, HighPeak</w:t>
              </w:r>
            </w:hyperlink>
          </w:p>
        </w:tc>
        <w:tc>
          <w:tcPr>
            <w:tcW w:w="3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Energy, LP, HighPeak Energy II, LP, HighPeak Energy III, LP, Jack Hightower and certain directors of Pure Acquisition Corp. (incorporated by</w:t>
              </w:r>
            </w:hyperlink>
          </w:p>
        </w:tc>
      </w:tr>
      <w:tr>
        <w:trPr>
          <w:trHeight w:val="196"/>
        </w:trPr>
        <w:tc>
          <w:tcPr>
            <w:tcW w:w="880" w:type="dxa"/>
            <w:vAlign w:val="bottom"/>
          </w:tcPr>
          <w:p>
            <w:pPr>
              <w:spacing w:after="0"/>
              <w:rPr>
                <w:sz w:val="17"/>
                <w:szCs w:val="17"/>
                <w:color w:val="auto"/>
              </w:rPr>
            </w:pPr>
          </w:p>
        </w:tc>
        <w:tc>
          <w:tcPr>
            <w:tcW w:w="10360" w:type="dxa"/>
            <w:vAlign w:val="bottom"/>
            <w:gridSpan w:val="21"/>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reference to Exhibit 4.3 to the Company’s Current Report on Form 8-K (File No. 001-39464) filed with the SEC on August 27, 2020).</w:t>
              </w:r>
            </w:hyperlink>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360" w:type="dxa"/>
            <w:vAlign w:val="bottom"/>
            <w:gridSpan w:val="21"/>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and Assignment to Warrant Agreement, dated as of August 21, 2020, by and among Pure Acquisition Corp., Continental Stock</w:t>
              </w:r>
            </w:hyperlink>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360" w:type="dxa"/>
            <w:vAlign w:val="bottom"/>
            <w:gridSpan w:val="21"/>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Transfer &amp; Trust Company and HighPeak Energy, Inc. (incorporated by reference to Exhibit 4.2 to the Company’s Current Report on Form 8-K</w:t>
              </w:r>
            </w:hyperlink>
          </w:p>
        </w:tc>
      </w:tr>
      <w:tr>
        <w:trPr>
          <w:trHeight w:val="196"/>
        </w:trPr>
        <w:tc>
          <w:tcPr>
            <w:tcW w:w="88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(File No. 333-235313) filed with the SEC on August 27, 2020).</w:t>
              </w:r>
            </w:hyperlink>
          </w:p>
        </w:tc>
        <w:tc>
          <w:tcPr>
            <w:tcW w:w="576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Description of Securities Registered Under Section 12 of the Securities Exchange Act of 1934, as amended (incorporated by reference to</w:t>
              </w:r>
            </w:hyperlink>
          </w:p>
        </w:tc>
        <w:tc>
          <w:tcPr>
            <w:tcW w:w="50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360" w:type="dxa"/>
            <w:vAlign w:val="bottom"/>
            <w:gridSpan w:val="21"/>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Exhibit 4.4 of the Company's Annual Report on Form 10-K for the year ended December 31, 2020 (File No. 001-39464) filed with the SEC on</w:t>
              </w:r>
            </w:hyperlink>
          </w:p>
        </w:tc>
      </w:tr>
      <w:tr>
        <w:trPr>
          <w:trHeight w:val="196"/>
        </w:trPr>
        <w:tc>
          <w:tcPr>
            <w:tcW w:w="8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March 15, 2021).</w:t>
              </w:r>
            </w:hyperlink>
          </w:p>
        </w:tc>
        <w:tc>
          <w:tcPr>
            <w:tcW w:w="9020" w:type="dxa"/>
            <w:vAlign w:val="bottom"/>
            <w:tcBorders>
              <w:top w:val="single" w:sz="8" w:color="0000EE"/>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360" w:type="dxa"/>
            <w:vAlign w:val="bottom"/>
            <w:gridSpan w:val="21"/>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Registration Rights Agreement, dated as of June 27, 2022, by and among HighPeak Energy, Inc., Hannathon Petroleum, LLC, the parties listed</w:t>
              </w:r>
            </w:hyperlink>
          </w:p>
        </w:tc>
      </w:tr>
      <w:tr>
        <w:trPr>
          <w:trHeight w:val="196"/>
        </w:trPr>
        <w:tc>
          <w:tcPr>
            <w:tcW w:w="88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as signatories thereto in their capacities as holders of Registrable Securities, and any Transferees thereof which hold Registrable Securities</w:t>
              </w:r>
            </w:hyperlink>
          </w:p>
        </w:tc>
        <w:tc>
          <w:tcPr>
            <w:tcW w:w="32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360" w:type="dxa"/>
            <w:vAlign w:val="bottom"/>
            <w:gridSpan w:val="21"/>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(incorporated by reference to Exhibit 4.1 to the Company’s Current Report on Form 8-K (File No. 001-39464) filed with the SEC on June 30,</w:t>
              </w:r>
            </w:hyperlink>
          </w:p>
        </w:tc>
      </w:tr>
      <w:tr>
        <w:trPr>
          <w:trHeight w:val="196"/>
        </w:trPr>
        <w:tc>
          <w:tcPr>
            <w:tcW w:w="8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2022).</w:t>
              </w:r>
            </w:hyperlink>
          </w:p>
        </w:tc>
        <w:tc>
          <w:tcPr>
            <w:tcW w:w="78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HighPeak Energy, Inc. Second Amended and Restated Long Term Incentive Plan (incorporated by reference to Exhibit 10.2 to the Company’s</w:t>
              </w:r>
            </w:hyperlink>
          </w:p>
        </w:tc>
        <w:tc>
          <w:tcPr>
            <w:tcW w:w="12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Annual Report on Form 10-K (File No. 001-39464) filed with the SEC on March 6, 2023).</w:t>
              </w:r>
            </w:hyperlink>
          </w:p>
        </w:tc>
        <w:tc>
          <w:tcPr>
            <w:tcW w:w="3820" w:type="dxa"/>
            <w:vAlign w:val="bottom"/>
            <w:gridSpan w:val="14"/>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60" w:type="dxa"/>
            <w:vAlign w:val="bottom"/>
            <w:gridSpan w:val="21"/>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Stock Option Agreement (incorporated by reference to Exhibit 10.4 to the Company’s Current Report on Form 8-K (File No. 001-</w:t>
              </w:r>
            </w:hyperlink>
          </w:p>
        </w:tc>
      </w:tr>
      <w:tr>
        <w:trPr>
          <w:trHeight w:val="196"/>
        </w:trPr>
        <w:tc>
          <w:tcPr>
            <w:tcW w:w="8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39464) filed with the SEC on August 27, 2020).</w:t>
              </w:r>
            </w:hyperlink>
          </w:p>
        </w:tc>
        <w:tc>
          <w:tcPr>
            <w:tcW w:w="6500" w:type="dxa"/>
            <w:vAlign w:val="bottom"/>
            <w:tcBorders>
              <w:top w:val="single" w:sz="8" w:color="0000EE"/>
            </w:tcBorders>
            <w:gridSpan w:val="9"/>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of Indemnification Agreement (incorporated by reference to Exhibit 10.1 to the Company’s Current Report on Form 8-K (File No. 001-</w:t>
              </w:r>
            </w:hyperlink>
          </w:p>
        </w:tc>
        <w:tc>
          <w:tcPr>
            <w:tcW w:w="16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39464) filed with the SEC on November 9, 2020).</w:t>
              </w:r>
            </w:hyperlink>
          </w:p>
        </w:tc>
        <w:tc>
          <w:tcPr>
            <w:tcW w:w="6740" w:type="dxa"/>
            <w:vAlign w:val="bottom"/>
            <w:gridSpan w:val="17"/>
          </w:tcPr>
          <w:p>
            <w:pPr>
              <w:spacing w:after="0"/>
              <w:rPr>
                <w:sz w:val="17"/>
                <w:szCs w:val="17"/>
                <w:color w:val="auto"/>
              </w:rPr>
            </w:pPr>
          </w:p>
        </w:tc>
      </w:tr>
      <w:tr>
        <w:trPr>
          <w:trHeight w:val="453"/>
        </w:trPr>
        <w:tc>
          <w:tcPr>
            <w:tcW w:w="880" w:type="dxa"/>
            <w:vAlign w:val="bottom"/>
          </w:tcPr>
          <w:p>
            <w:pPr>
              <w:spacing w:after="0"/>
              <w:rPr>
                <w:sz w:val="24"/>
                <w:szCs w:val="24"/>
                <w:color w:val="auto"/>
              </w:rPr>
            </w:pPr>
          </w:p>
        </w:tc>
        <w:tc>
          <w:tcPr>
            <w:tcW w:w="4960" w:type="dxa"/>
            <w:vAlign w:val="bottom"/>
            <w:gridSpan w:val="6"/>
          </w:tcPr>
          <w:p>
            <w:pPr>
              <w:ind w:left="4620"/>
              <w:spacing w:after="0"/>
              <w:rPr>
                <w:sz w:val="20"/>
                <w:szCs w:val="20"/>
                <w:color w:val="auto"/>
              </w:rPr>
            </w:pPr>
            <w:r>
              <w:rPr>
                <w:rFonts w:ascii="Times New Roman" w:cs="Times New Roman" w:eastAsia="Times New Roman" w:hAnsi="Times New Roman"/>
                <w:sz w:val="18"/>
                <w:szCs w:val="18"/>
                <w:color w:val="auto"/>
              </w:rPr>
              <w:t>112</w:t>
            </w:r>
          </w:p>
        </w:tc>
        <w:tc>
          <w:tcPr>
            <w:tcW w:w="1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Term Loan Credit Agreement, dated September 12, 2023, by and between HighPeak Energy, Inc., as borrower, Texas Capital Bank, as</w:t>
              </w:r>
            </w:hyperlink>
          </w:p>
        </w:tc>
        <w:tc>
          <w:tcPr>
            <w:tcW w:w="660" w:type="dxa"/>
            <w:vAlign w:val="bottom"/>
            <w:gridSpan w:val="1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1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administrative agent, Chambers Energy Management, LP, as collateral agent, and the lenders from time-to-time party thereto (incorporated by</w:t>
              </w:r>
            </w:hyperlink>
          </w:p>
        </w:tc>
        <w:tc>
          <w:tcPr>
            <w:tcW w:w="10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reference to Exhibit 10.1 to the Company’s Current Report on Form 8-K (File No. 001-39464) filed with the SEC on September 15, 2023).</w:t>
              </w:r>
            </w:hyperlink>
          </w:p>
        </w:tc>
        <w:tc>
          <w:tcPr>
            <w:tcW w:w="30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Collateral Agency Agreement, dated September 12, 2023, by and between HighPeak Energy, Inc., Texas Capital Bank, as collateral agent,</w:t>
              </w:r>
            </w:hyperlink>
          </w:p>
        </w:tc>
        <w:tc>
          <w:tcPr>
            <w:tcW w:w="38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Chambers Energy Management, LP, as term representative, and Mercuria Energy Trading SA, as first out representative (incorporated by</w:t>
              </w:r>
            </w:hyperlink>
          </w:p>
        </w:tc>
        <w:tc>
          <w:tcPr>
            <w:tcW w:w="46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reference to Exhibit 10.2 to the Company’s Current Report on Form 8-K (File No. 001-39464) filed with the SEC on September 15, 2023).</w:t>
              </w:r>
            </w:hyperlink>
          </w:p>
        </w:tc>
        <w:tc>
          <w:tcPr>
            <w:tcW w:w="320" w:type="dxa"/>
            <w:vAlign w:val="bottom"/>
            <w:gridSpan w:val="9"/>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7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Revolving Credit Agreement, dated November 1, 2023, by and between HighPeak Energy, Inc., as borrower Fifth Third Bank, National</w:t>
              </w:r>
            </w:hyperlink>
          </w:p>
        </w:tc>
        <w:tc>
          <w:tcPr>
            <w:tcW w:w="560" w:type="dxa"/>
            <w:vAlign w:val="bottom"/>
            <w:gridSpan w:val="1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Association, as administrative agent and collateral agent, and lenders party thereto (incorporated by reference to Exhibit 10.1 to the Company’s</w:t>
              </w:r>
            </w:hyperlink>
          </w:p>
        </w:tc>
      </w:tr>
      <w:tr>
        <w:trPr>
          <w:trHeight w:val="196"/>
        </w:trPr>
        <w:tc>
          <w:tcPr>
            <w:tcW w:w="980" w:type="dxa"/>
            <w:vAlign w:val="bottom"/>
          </w:tcPr>
          <w:p>
            <w:pPr>
              <w:spacing w:after="0"/>
              <w:rPr>
                <w:sz w:val="17"/>
                <w:szCs w:val="17"/>
                <w:color w:val="auto"/>
              </w:rPr>
            </w:pPr>
          </w:p>
        </w:tc>
        <w:tc>
          <w:tcPr>
            <w:tcW w:w="6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Current Report on Form 8-K (File No. 001-39464) filed with the SEC on November 6, 2023).</w:t>
              </w:r>
            </w:hyperlink>
          </w:p>
        </w:tc>
        <w:tc>
          <w:tcPr>
            <w:tcW w:w="3580" w:type="dxa"/>
            <w:vAlign w:val="bottom"/>
            <w:gridSpan w:val="1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60" w:type="dxa"/>
            <w:vAlign w:val="bottom"/>
            <w:gridSpan w:val="26"/>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First Amendment to the Senior Credit Facility Agreement, dated as of March 29, 2024, by and between HighPeak Energy, Inc., Fifth Third</w:t>
              </w:r>
            </w:hyperlink>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Bank, National Association, as administrative agent, each Guarantor party thereto and the lenders party thereto (incorporated by reference to</w:t>
              </w:r>
            </w:hyperlink>
          </w:p>
        </w:tc>
      </w:tr>
      <w:tr>
        <w:trPr>
          <w:trHeight w:val="196"/>
        </w:trPr>
        <w:tc>
          <w:tcPr>
            <w:tcW w:w="980" w:type="dxa"/>
            <w:vAlign w:val="bottom"/>
          </w:tcPr>
          <w:p>
            <w:pPr>
              <w:spacing w:after="0"/>
              <w:rPr>
                <w:sz w:val="17"/>
                <w:szCs w:val="17"/>
                <w:color w:val="auto"/>
              </w:rPr>
            </w:pPr>
          </w:p>
        </w:tc>
        <w:tc>
          <w:tcPr>
            <w:tcW w:w="86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Exhibit 10.1 to the Company’s Current Report on Form 8-K (File No. 001-39464) filed with the SEC on April 2, 2024).</w:t>
              </w:r>
            </w:hyperlink>
          </w:p>
        </w:tc>
        <w:tc>
          <w:tcPr>
            <w:tcW w:w="1440" w:type="dxa"/>
            <w:vAlign w:val="bottom"/>
            <w:tcBorders>
              <w:top w:val="single" w:sz="8" w:color="0000EE"/>
            </w:tcBorders>
            <w:gridSpan w:val="9"/>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144">
              <w:r>
                <w:rPr>
                  <w:rFonts w:ascii="Times New Roman" w:cs="Times New Roman" w:eastAsia="Times New Roman" w:hAnsi="Times New Roman"/>
                  <w:sz w:val="18"/>
                  <w:szCs w:val="18"/>
                  <w:color w:val="0000EE"/>
                  <w:w w:val="98"/>
                </w:rPr>
                <w:t>Form of Dividend Equivalent Award Agreement (incorporated by reference to Exhibit 10.8 to the Company’s Quarterly Report on Form 10-Q</w:t>
              </w:r>
            </w:hyperlink>
          </w:p>
        </w:tc>
        <w:tc>
          <w:tcPr>
            <w:tcW w:w="10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(File No. 001-39464) filed with the SEC on August 9, 2021).</w:t>
              </w:r>
            </w:hyperlink>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Form of Restricted Stock Award Agreement (incorporated by reference to Exhibit 99.2 to the Company’s Registration Statement on Form S-8</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(File No. 333-249888) filed with the SEC on November 5, 2020).</w:t>
              </w:r>
            </w:hyperlink>
          </w:p>
        </w:tc>
        <w:tc>
          <w:tcPr>
            <w:tcW w:w="5600" w:type="dxa"/>
            <w:vAlign w:val="bottom"/>
            <w:gridSpan w:val="19"/>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Form of Amendment to Restricted Stock Agreement.</w:t>
            </w:r>
          </w:p>
        </w:tc>
        <w:tc>
          <w:tcPr>
            <w:tcW w:w="6500" w:type="dxa"/>
            <w:vAlign w:val="bottom"/>
            <w:gridSpan w:val="21"/>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26"/>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Cash Award Agreement (incorporated by reference to Exhibit 10.12 to the Company’s Annual Report on Form 10-K (File No. 001-</w:t>
              </w:r>
            </w:hyperlink>
          </w:p>
        </w:tc>
      </w:tr>
      <w:tr>
        <w:trPr>
          <w:trHeight w:val="196"/>
        </w:trPr>
        <w:tc>
          <w:tcPr>
            <w:tcW w:w="9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39464) filed with the SEC on March 7, 2022).</w:t>
              </w:r>
            </w:hyperlink>
          </w:p>
        </w:tc>
        <w:tc>
          <w:tcPr>
            <w:tcW w:w="6720" w:type="dxa"/>
            <w:vAlign w:val="bottom"/>
            <w:tcBorders>
              <w:top w:val="single" w:sz="8" w:color="0000EE"/>
            </w:tcBorders>
            <w:gridSpan w:val="16"/>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60" w:type="dxa"/>
            <w:vAlign w:val="bottom"/>
            <w:gridSpan w:val="26"/>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Subscription Agreement, by and among HighPeak Energy, Inc. and the purchaser party thereto (incorporated by reference to Exhibit</w:t>
              </w:r>
            </w:hyperlink>
          </w:p>
        </w:tc>
      </w:tr>
      <w:tr>
        <w:trPr>
          <w:trHeight w:val="196"/>
        </w:trPr>
        <w:tc>
          <w:tcPr>
            <w:tcW w:w="980" w:type="dxa"/>
            <w:vAlign w:val="bottom"/>
          </w:tcPr>
          <w:p>
            <w:pPr>
              <w:spacing w:after="0"/>
              <w:rPr>
                <w:sz w:val="17"/>
                <w:szCs w:val="17"/>
                <w:color w:val="auto"/>
              </w:rPr>
            </w:pPr>
          </w:p>
        </w:tc>
        <w:tc>
          <w:tcPr>
            <w:tcW w:w="100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 No. 001-39464) filed with the SEC on August 24, 2022).</w:t>
              </w:r>
            </w:hyperlink>
          </w:p>
        </w:tc>
        <w:tc>
          <w:tcPr>
            <w:tcW w:w="180" w:type="dxa"/>
            <w:vAlign w:val="bottom"/>
            <w:gridSpan w:val="5"/>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82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HighPeak Energy, Inc. Insider Trading Policy.</w:t>
            </w:r>
          </w:p>
        </w:tc>
        <w:tc>
          <w:tcPr>
            <w:tcW w:w="2060" w:type="dxa"/>
            <w:vAlign w:val="bottom"/>
            <w:gridSpan w:val="16"/>
          </w:tcPr>
          <w:p>
            <w:pPr>
              <w:spacing w:after="0"/>
              <w:rPr>
                <w:sz w:val="24"/>
                <w:szCs w:val="24"/>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10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List of Subsidiaries (incorporated by reference to Exhibit 21.1 to the Company’s Annual Report on Form 10-K (File No. 001-39464) filed with</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48">
              <w:r>
                <w:rPr>
                  <w:rFonts w:ascii="Times New Roman" w:cs="Times New Roman" w:eastAsia="Times New Roman" w:hAnsi="Times New Roman"/>
                  <w:sz w:val="18"/>
                  <w:szCs w:val="18"/>
                  <w:color w:val="0000EE"/>
                  <w:w w:val="95"/>
                </w:rPr>
                <w:t>the SEC on March 6, 2024).</w:t>
              </w:r>
            </w:hyperlink>
          </w:p>
        </w:tc>
        <w:tc>
          <w:tcPr>
            <w:tcW w:w="8300" w:type="dxa"/>
            <w:vAlign w:val="bottom"/>
            <w:gridSpan w:val="25"/>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Consent of Weaver and Tidwell, L.L.P., independent registered public accounting firm for HighPeak Energy, Inc.</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0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Cawley, Gillespie &amp; Associates, Inc.</w:t>
            </w:r>
          </w:p>
        </w:tc>
        <w:tc>
          <w:tcPr>
            <w:tcW w:w="2200" w:type="dxa"/>
            <w:vAlign w:val="bottom"/>
            <w:gridSpan w:val="17"/>
          </w:tcPr>
          <w:p>
            <w:pPr>
              <w:spacing w:after="0"/>
              <w:rPr>
                <w:sz w:val="24"/>
                <w:szCs w:val="24"/>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6760" w:type="dxa"/>
            <w:vAlign w:val="bottom"/>
            <w:gridSpan w:val="1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 Oxley Act of 2002 (18 U.S.C. Section 7241).</w:t>
            </w:r>
          </w:p>
        </w:tc>
        <w:tc>
          <w:tcPr>
            <w:tcW w:w="4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302 of the Sarbanes Oxley Act of 2002 (18 U.S.C. Section 7241).</w:t>
            </w:r>
          </w:p>
        </w:tc>
      </w:tr>
      <w:tr>
        <w:trPr>
          <w:trHeight w:val="20"/>
        </w:trPr>
        <w:tc>
          <w:tcPr>
            <w:tcW w:w="980" w:type="dxa"/>
            <w:vAlign w:val="bottom"/>
          </w:tcPr>
          <w:p>
            <w:pPr>
              <w:spacing w:after="0" w:line="20" w:lineRule="exact"/>
              <w:rPr>
                <w:sz w:val="1"/>
                <w:szCs w:val="1"/>
                <w:color w:val="auto"/>
              </w:rPr>
            </w:pPr>
          </w:p>
        </w:tc>
        <w:tc>
          <w:tcPr>
            <w:tcW w:w="10160" w:type="dxa"/>
            <w:vAlign w:val="bottom"/>
            <w:gridSpan w:val="2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906 of the Sarbanes Oxley Act of 2002 (18 U.S.C. Section 1350).</w:t>
            </w:r>
          </w:p>
        </w:tc>
        <w:tc>
          <w:tcPr>
            <w:tcW w:w="40" w:type="dxa"/>
            <w:vAlign w:val="bottom"/>
            <w:gridSpan w:val="2"/>
          </w:tcPr>
          <w:p>
            <w:pPr>
              <w:spacing w:after="0"/>
              <w:rPr>
                <w:sz w:val="24"/>
                <w:szCs w:val="24"/>
                <w:color w:val="auto"/>
              </w:rPr>
            </w:pPr>
          </w:p>
        </w:tc>
      </w:tr>
      <w:tr>
        <w:trPr>
          <w:trHeight w:val="453"/>
        </w:trPr>
        <w:tc>
          <w:tcPr>
            <w:tcW w:w="980" w:type="dxa"/>
            <w:vAlign w:val="bottom"/>
          </w:tcPr>
          <w:p>
            <w:pPr>
              <w:spacing w:after="0"/>
              <w:rPr>
                <w:sz w:val="24"/>
                <w:szCs w:val="24"/>
                <w:color w:val="auto"/>
              </w:rPr>
            </w:pPr>
          </w:p>
        </w:tc>
        <w:tc>
          <w:tcPr>
            <w:tcW w:w="6680" w:type="dxa"/>
            <w:vAlign w:val="bottom"/>
            <w:gridSpan w:val="8"/>
          </w:tcPr>
          <w:p>
            <w:pPr>
              <w:jc w:val="right"/>
              <w:ind w:right="1900"/>
              <w:spacing w:after="0"/>
              <w:rPr>
                <w:sz w:val="20"/>
                <w:szCs w:val="20"/>
                <w:color w:val="auto"/>
              </w:rPr>
            </w:pPr>
            <w:r>
              <w:rPr>
                <w:rFonts w:ascii="Times New Roman" w:cs="Times New Roman" w:eastAsia="Times New Roman" w:hAnsi="Times New Roman"/>
                <w:sz w:val="18"/>
                <w:szCs w:val="18"/>
                <w:color w:val="auto"/>
              </w:rPr>
              <w:t>113</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Financial Officer Pursuant to Section 906 of the Sarbanes Oxley Act of 2002 (18 U.S.C. Section</w:t>
            </w:r>
          </w:p>
        </w:tc>
      </w:tr>
      <w:tr>
        <w:trPr>
          <w:trHeight w:val="196"/>
        </w:trPr>
        <w:tc>
          <w:tcPr>
            <w:tcW w:w="13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1350).</w:t>
            </w:r>
          </w:p>
        </w:tc>
        <w:tc>
          <w:tcPr>
            <w:tcW w:w="40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High Peak Energy, Inc. Incentive-Based Compensation Recoupment Policy effective December 1, 2023 (incorporated by reference to</w:t>
              </w:r>
            </w:hyperlink>
          </w:p>
        </w:tc>
        <w:tc>
          <w:tcPr>
            <w:tcW w:w="4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640" w:type="dxa"/>
            <w:vAlign w:val="bottom"/>
            <w:gridSpan w:val="8"/>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Exhibit 97.1 to the Company’s Annual Report on Form 10-K (File No. 001-39464) filed with the SEC on March 6, 2024).</w:t>
              </w:r>
            </w:hyperlink>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Reserve Report of HighPeak Energy as of December 31, 2024.</w:t>
            </w:r>
          </w:p>
        </w:tc>
        <w:tc>
          <w:tcPr>
            <w:tcW w:w="880" w:type="dxa"/>
            <w:vAlign w:val="bottom"/>
            <w:gridSpan w:val="3"/>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40" w:type="dxa"/>
            <w:vAlign w:val="bottom"/>
            <w:gridSpan w:val="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Reserve Report of HighPeak Energy as of December 31, 2023 (incorporated by reference to Exhibit 99.1 to the Company’s Annual</w:t>
              </w:r>
            </w:hyperlink>
          </w:p>
        </w:tc>
      </w:tr>
      <w:tr>
        <w:trPr>
          <w:trHeight w:val="196"/>
        </w:trPr>
        <w:tc>
          <w:tcPr>
            <w:tcW w:w="134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Report on Form 10-K (File No. 001-39464) filed with the SEC on March 6, 2024).</w:t>
              </w:r>
            </w:hyperlink>
          </w:p>
        </w:tc>
        <w:tc>
          <w:tcPr>
            <w:tcW w:w="3460" w:type="dxa"/>
            <w:vAlign w:val="bottom"/>
            <w:tcBorders>
              <w:top w:val="single" w:sz="8" w:color="0000EE"/>
            </w:tcBorders>
            <w:gridSpan w:val="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640" w:type="dxa"/>
            <w:vAlign w:val="bottom"/>
            <w:gridSpan w:val="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Reserve Report of HighPeak Energy as of December 31, 2022 (incorporated by reference to Exhibit 99.1 to the Company’s Annual</w:t>
              </w:r>
            </w:hyperlink>
          </w:p>
        </w:tc>
      </w:tr>
      <w:tr>
        <w:trPr>
          <w:trHeight w:val="196"/>
        </w:trPr>
        <w:tc>
          <w:tcPr>
            <w:tcW w:w="1340" w:type="dxa"/>
            <w:vAlign w:val="bottom"/>
          </w:tcPr>
          <w:p>
            <w:pPr>
              <w:spacing w:after="0"/>
              <w:rPr>
                <w:sz w:val="17"/>
                <w:szCs w:val="17"/>
                <w:color w:val="auto"/>
              </w:rPr>
            </w:pPr>
          </w:p>
        </w:tc>
        <w:tc>
          <w:tcPr>
            <w:tcW w:w="94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Report on Form 10-K (File No. 001-39464) filed with the SEC on March 6, 2023).</w:t>
              </w:r>
            </w:hyperlink>
          </w:p>
        </w:tc>
        <w:tc>
          <w:tcPr>
            <w:tcW w:w="220" w:type="dxa"/>
            <w:vAlign w:val="bottom"/>
            <w:gridSpan w:val="2"/>
          </w:tcPr>
          <w:p>
            <w:pPr>
              <w:spacing w:after="0"/>
              <w:rPr>
                <w:sz w:val="17"/>
                <w:szCs w:val="17"/>
                <w:color w:val="auto"/>
              </w:rPr>
            </w:pPr>
          </w:p>
        </w:tc>
      </w:tr>
      <w:tr>
        <w:trPr>
          <w:trHeight w:val="45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700" w:type="dxa"/>
            <w:vAlign w:val="bottom"/>
            <w:gridSpan w:val="5"/>
          </w:tcPr>
          <w:p>
            <w:pPr>
              <w:spacing w:after="0"/>
              <w:rPr>
                <w:sz w:val="24"/>
                <w:szCs w:val="24"/>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20" w:right="160" w:hanging="312"/>
        <w:spacing w:after="0" w:line="250"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The Company agrees to furnish a supplemental copy of any omitted schedules or attachments to the SEC upon request.</w:t>
      </w:r>
    </w:p>
    <w:p>
      <w:pPr>
        <w:spacing w:after="0" w:line="1" w:lineRule="exact"/>
        <w:rPr>
          <w:sz w:val="20"/>
          <w:szCs w:val="20"/>
          <w:color w:val="auto"/>
        </w:rPr>
      </w:pPr>
    </w:p>
    <w:p>
      <w:pPr>
        <w:ind w:left="320" w:hanging="312"/>
        <w:spacing w:after="0" w:line="255"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Regulation S-K, Item 601(b)(2), the Exhibits and Schedules to the Purchase Agreement referenced in Exhibit 2.1, Exhibit 2.2, Exhibit 2.3, Exhibit 2.4 and Exhibit 4.9, respectively, above, have not been filed. The registrant agrees to furnish supplementally a copy of any omitted Exhibit or Schedule to the SEC upon request; provided, however, that the registrant may request confidential treatment of omitted items.</w:t>
      </w:r>
    </w:p>
    <w:p>
      <w:pPr>
        <w:spacing w:after="0" w:line="185" w:lineRule="exact"/>
        <w:rPr>
          <w:rFonts w:ascii="Times New Roman" w:cs="Times New Roman" w:eastAsia="Times New Roman" w:hAnsi="Times New Roman"/>
          <w:sz w:val="18"/>
          <w:szCs w:val="18"/>
          <w:color w:val="auto"/>
        </w:rPr>
      </w:pPr>
    </w:p>
    <w:p>
      <w:pPr>
        <w:ind w:lef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certain portions of these exhibits have been omitted and include a prominent statement on the first page that certain identified information has been excluded from the exhibit because it is both (i) not material and (ii) is the type that the registrant treats as private or confidential as required by Item 601(b)(2)(ii) of Regulation S-K. Information that was omitted has been noted in the exhibit with a placeholder identified by the mark “[***]” to indicate where omissions have been made.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67" w:right="4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8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HIGHPEAK ENERGY, INC.</w:t>
            </w:r>
          </w:p>
        </w:tc>
        <w:tc>
          <w:tcPr>
            <w:tcW w:w="10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10, 2025</w:t>
            </w:r>
          </w:p>
        </w:tc>
        <w:tc>
          <w:tcPr>
            <w:tcW w:w="78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Steven Tholen</w:t>
            </w:r>
          </w:p>
        </w:tc>
        <w:tc>
          <w:tcPr>
            <w:tcW w:w="100" w:type="dxa"/>
            <w:vAlign w:val="bottom"/>
          </w:tcPr>
          <w:p>
            <w:pPr>
              <w:spacing w:after="0"/>
              <w:rPr>
                <w:sz w:val="24"/>
                <w:szCs w:val="24"/>
                <w:color w:val="auto"/>
              </w:rPr>
            </w:pPr>
          </w:p>
        </w:tc>
      </w:tr>
      <w:tr>
        <w:trPr>
          <w:trHeight w:val="191"/>
        </w:trPr>
        <w:tc>
          <w:tcPr>
            <w:tcW w:w="33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Tholen</w:t>
            </w:r>
          </w:p>
        </w:tc>
        <w:tc>
          <w:tcPr>
            <w:tcW w:w="10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10, 2025</w:t>
            </w:r>
          </w:p>
        </w:tc>
        <w:tc>
          <w:tcPr>
            <w:tcW w:w="78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Keith Forbes</w:t>
            </w:r>
          </w:p>
        </w:tc>
        <w:tc>
          <w:tcPr>
            <w:tcW w:w="100" w:type="dxa"/>
            <w:vAlign w:val="bottom"/>
          </w:tcPr>
          <w:p>
            <w:pPr>
              <w:spacing w:after="0"/>
              <w:rPr>
                <w:sz w:val="24"/>
                <w:szCs w:val="24"/>
                <w:color w:val="auto"/>
              </w:rPr>
            </w:pPr>
          </w:p>
        </w:tc>
      </w:tr>
      <w:tr>
        <w:trPr>
          <w:trHeight w:val="191"/>
        </w:trPr>
        <w:tc>
          <w:tcPr>
            <w:tcW w:w="33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Keith Forbes</w:t>
            </w:r>
          </w:p>
        </w:tc>
        <w:tc>
          <w:tcPr>
            <w:tcW w:w="10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w:t>
            </w:r>
          </w:p>
        </w:tc>
        <w:tc>
          <w:tcPr>
            <w:tcW w:w="100" w:type="dxa"/>
            <w:vAlign w:val="bottom"/>
          </w:tcPr>
          <w:p>
            <w:pPr>
              <w:spacing w:after="0"/>
              <w:rPr>
                <w:sz w:val="20"/>
                <w:szCs w:val="20"/>
                <w:color w:val="auto"/>
              </w:rPr>
            </w:pPr>
          </w:p>
        </w:tc>
      </w:tr>
      <w:tr>
        <w:trPr>
          <w:trHeight w:val="432"/>
        </w:trPr>
        <w:tc>
          <w:tcPr>
            <w:tcW w:w="3320" w:type="dxa"/>
            <w:vAlign w:val="bottom"/>
          </w:tcPr>
          <w:p>
            <w:pPr>
              <w:spacing w:after="0"/>
              <w:rPr>
                <w:sz w:val="24"/>
                <w:szCs w:val="24"/>
                <w:color w:val="auto"/>
              </w:rPr>
            </w:pPr>
          </w:p>
        </w:tc>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5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25" w:name="page126"/>
    <w:bookmarkEnd w:id="12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80" w:right="339" w:bottom="1440" w:gutter="0" w:footer="0" w:header="0"/>
        </w:sectPr>
      </w:pP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Hightower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Tholen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Forbes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JAY M.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M. Chernosky</w:t>
      </w:r>
    </w:p>
    <w:p>
      <w:pPr>
        <w:spacing w:after="0" w:line="220" w:lineRule="exact"/>
        <w:rPr>
          <w:sz w:val="20"/>
          <w:szCs w:val="20"/>
          <w:color w:val="auto"/>
        </w:rPr>
      </w:pPr>
    </w:p>
    <w:p>
      <w:pPr>
        <w:ind w:right="1120"/>
        <w:spacing w:after="0" w:line="297" w:lineRule="auto"/>
        <w:rPr>
          <w:sz w:val="20"/>
          <w:szCs w:val="20"/>
          <w:color w:val="auto"/>
        </w:rPr>
      </w:pPr>
      <w:r>
        <w:rPr>
          <w:rFonts w:ascii="Times New Roman" w:cs="Times New Roman" w:eastAsia="Times New Roman" w:hAnsi="Times New Roman"/>
          <w:sz w:val="18"/>
          <w:szCs w:val="18"/>
          <w:color w:val="auto"/>
        </w:rPr>
        <w:t>/s/ KEITH A. COVINGTON Keith A.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20656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29" w:lineRule="exact"/>
        <w:rPr>
          <w:sz w:val="20"/>
          <w:szCs w:val="20"/>
          <w:color w:val="auto"/>
        </w:rPr>
      </w:pPr>
    </w:p>
    <w:p>
      <w:pPr>
        <w:ind w:right="1040"/>
        <w:spacing w:after="0" w:line="329" w:lineRule="auto"/>
        <w:rPr>
          <w:sz w:val="20"/>
          <w:szCs w:val="20"/>
          <w:color w:val="auto"/>
        </w:rPr>
      </w:pPr>
      <w:r>
        <w:rPr>
          <w:rFonts w:ascii="Times New Roman" w:cs="Times New Roman" w:eastAsia="Times New Roman" w:hAnsi="Times New Roman"/>
          <w:sz w:val="17"/>
          <w:szCs w:val="17"/>
          <w:color w:val="auto"/>
        </w:rPr>
        <w:t>/s/ JASON A. EDGEWORTH Jason A. Edgeworth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656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SHARON FULGHAM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Fulgham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L. Hollis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LARRY C. OLDHAM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656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C. Oldham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6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w:t>
            </w: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6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(Principal Accounting Officer)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Director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6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2025</w:t>
            </w:r>
          </w:p>
        </w:tc>
      </w:tr>
      <w:tr>
        <w:trPr>
          <w:trHeight w:val="648"/>
        </w:trPr>
        <w:tc>
          <w:tcPr>
            <w:tcW w:w="47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2">
            <w:col w:w="3220" w:space="720"/>
            <w:col w:w="7300"/>
          </w:cols>
          <w:pgMar w:left="320" w:top="580"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294005</wp:posOffset>
            </wp:positionV>
            <wp:extent cx="3943350" cy="908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39433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Amendment to Restricted Stock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amends the Restricted Stock Grant Notice and Restricted Stock Agreement dated as of []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HighPeak Energy,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pursuant to which the Company granted you []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restricted stock (the “</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under the HighPeak Energy, Inc. Amended and Restated Long 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Capitalized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but not defined herein shall have the meanings ascribed to them in the Agreement or the Plan,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The Vesting Schedule on the grant notice is hereby deleted and replaced in its entirety with the following:</w:t>
      </w:r>
    </w:p>
    <w:p>
      <w:pPr>
        <w:spacing w:after="0" w:line="233" w:lineRule="exact"/>
        <w:rPr>
          <w:rFonts w:ascii="Times New Roman" w:cs="Times New Roman" w:eastAsia="Times New Roman" w:hAnsi="Times New Roman"/>
          <w:sz w:val="18"/>
          <w:szCs w:val="18"/>
          <w:color w:val="auto"/>
        </w:rPr>
      </w:pPr>
    </w:p>
    <w:p>
      <w:pPr>
        <w:ind w:left="66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Agreement, the Plan and the other terms and conditions set forth herein, the Restricted Shares shall vest on December 31, 2025, so long as you continuously provide services to the Company or an Affiliate as applicable, from the Date of Grant through such vesting date. Notwithstanding anything in the preceding sentence to the contrary, the Restricted Shares granted hereunder shall immediately become fully vested as set forth in Section 3 of the Agreement.”</w:t>
      </w:r>
    </w:p>
    <w:p>
      <w:pPr>
        <w:spacing w:after="0" w:line="175"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In consideration of your agreement to the amendment of the vesting schedule as set forth above, the Company agrees to pay you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bonus in an amount equal to $[] for the fiscal year ending December 31, 2024, subject to your continued service to the Company or an Affiliate as applicable, through the date of payment and the achievement of such performance goals as may be established by the Company in its sole discretion. Such bonus shall be paid to you no later than March 15, 2025.</w:t>
      </w:r>
    </w:p>
    <w:p>
      <w:pPr>
        <w:spacing w:after="0" w:line="176"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Ratification</w:t>
      </w:r>
      <w:r>
        <w:rPr>
          <w:rFonts w:ascii="Times New Roman" w:cs="Times New Roman" w:eastAsia="Times New Roman" w:hAnsi="Times New Roman"/>
          <w:sz w:val="18"/>
          <w:szCs w:val="18"/>
          <w:color w:val="auto"/>
        </w:rPr>
        <w:t>. Except as expressly amended by this Amendment, the Agreement and the Plan remain in full force and effect and are hereby ratified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confirmed by the parties.</w:t>
      </w:r>
    </w:p>
    <w:p>
      <w:pPr>
        <w:spacing w:after="0" w:line="154"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without regard to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conflict of laws principles.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your acceptance of this Amendment by signing and returning a copy of this letter to the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_____________________</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______________________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Accepted and agreed: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417195</wp:posOffset>
            </wp:positionV>
            <wp:extent cx="5237480" cy="231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5237480" cy="23114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March 6,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Amended and Restated Insider Trading Policy (this “Policy”) provides guidelines to directors, officers, employees and consultants of HighPeak Energy, Inc. (the “Company”) with respect to transactions in the Company’s securities (such as common stock, options to buy or sell common stock, warrants, contingent value rights and convertible securities) and derivative securities relating to the Company’s common stock, whether or not issued by the Company (such as exchange-traded options) for the purpose of promoting compliance with applicable. This Policy also sets forth Company policies with respect to insiders’ transactions in the securities of other publicly traded companies.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applies to directors and officers, and any employees and consultants who receive or are aware of Material, Non-Public Information (as defined below) regarding (1) the Company and (2) any other company with publicly-traded securities, including the Company’s customers, joint-venture or strategic partners, vendors and suppliers (“business partners”), obtained in the course of employment by or in association with the Company. This Policy also applies to any person who receives Material, Non-Public Information. The people to whom this Policy applies are referred to in this Policy as “insiders.” All insiders must comply strictly with this Policy.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amend or rescind this Policy or any portion of it at any time and to adopt different policies and procedures at any time. In the event of any conflict or inconsistency between this Policy and any other materials distributed by the Company, this Policy shall govern. If a law conflicts with this Policy, you must comply with the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You should read this Policy carefully, ask questions of the Company’s Chief Financial Officer and/or Vice President of Finance, and promptly sign and return the certification attached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acknowledging receipt of this Policy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HighPeak Energy,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421 W. 3rd Street, Suite 1000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Forth Worth, Texas 76102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Executive Assistant, Finance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Financial Officer and/or Vice President of Finance is responsible for ensuring that all of the Company’s directors, officers and other employees promptly sign and return the attached certification acknowledging receipt of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Explanations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Material, Non-Public Information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What Information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 substantial likelihood that it would be considered important to an investor in making an investment decision regarding the purchase or sale of the Company’s securities. Information that is likely to affect the price of a company’s securities (whether positive or negative) is almost always material. It is also important to remember that either positive or negative information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information. Common examples of material information include: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Unpublished financial results (annual, quarterly or otherwise);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Unpublished projections of future earnings or losses;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News of a pending or proposed merger;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News of a significant acquisition or a sale of significant assets;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Impending announcements of bankruptcy or financial liquidity problems;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or loss of a substantial customer or supplier;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Company’s distribution or dividend policy;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splits;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Company’s or its subsidiaries’ credit ratings;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New equity or debt offerings;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Significant developments in litigation or regulatory proceedings;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management; and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Significant corporate events, including material cyber, data or personnel matters.</w:t>
      </w:r>
    </w:p>
    <w:p>
      <w:pPr>
        <w:spacing w:after="0" w:line="225" w:lineRule="exact"/>
        <w:rPr>
          <w:sz w:val="20"/>
          <w:szCs w:val="20"/>
          <w:color w:val="auto"/>
        </w:rPr>
      </w:pPr>
    </w:p>
    <w:p>
      <w:pPr>
        <w:jc w:val="both"/>
        <w:ind w:left="180" w:right="20"/>
        <w:spacing w:after="0" w:line="266" w:lineRule="auto"/>
        <w:rPr>
          <w:sz w:val="20"/>
          <w:szCs w:val="20"/>
          <w:color w:val="auto"/>
        </w:rPr>
      </w:pPr>
      <w:r>
        <w:rPr>
          <w:rFonts w:ascii="Times New Roman" w:cs="Times New Roman" w:eastAsia="Times New Roman" w:hAnsi="Times New Roman"/>
          <w:sz w:val="18"/>
          <w:szCs w:val="18"/>
          <w:color w:val="auto"/>
        </w:rPr>
        <w:t>The above list is for illustration purposes only. If securities transactions become the subject of scrutiny, they will be viewed after-the-fact and with the benefit of hindsight. Therefore, before engaging in any securities transaction, you should consider carefully how the Securities and Exchange Commission (“SEC”) and others might view your transaction in hindsight and with all of the facts disclosed.</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What Information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Information is “non-public” if it has not been previously disclosed to the general public and is otherwise not generally available to the investing public. For information to be considered “public,” it must be widely disseminated in a manner making it generally available to the investing public and the investing public must have had time to absorb the information fully. Generally, one should allow two (2) full Trading Days following publication as a reasonable waiting period before information is deemed to be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Related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“Related Person” means, with respect to the Company’s insiders:</w:t>
      </w:r>
    </w:p>
    <w:p>
      <w:pPr>
        <w:spacing w:after="0" w:line="225"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color w:val="auto"/>
        </w:rPr>
        <w:t>Any family member living in the insider’s household (including a spouse, minor child, minor stepchild, parent, stepparent, grandparent, sibling, in-law) and anyone else living in the insider’s household;</w:t>
      </w:r>
    </w:p>
    <w:p>
      <w:pPr>
        <w:spacing w:after="0" w:line="162" w:lineRule="exact"/>
        <w:rPr>
          <w:sz w:val="20"/>
          <w:szCs w:val="20"/>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members who do not live in the insider’s household but whose transactions in Company securities are directed by the insider or subject to the insider’s influence or control;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 which the insider is a general partner;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of which the insider is a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Estates of which the insider is an executor;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equivalent legal entities that such insider controls.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Day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“Trading Day” means a day on which national stock exchanges or the Over-The-Counter Bulletin Board Quotation System are open for trading, and a “Trading Day” begins at the time trading begins.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prohibits insiders from (i) transacting in or (ii) “tipping,” either directly or indirectly, others who may transact in the Company’s securities, in each case, while aware of Material, Non-Public Information about the Company. These transactions are commonly referred to as “insider trading.” This Policy additionally prohibits transacting in or tipping others who may transact in the securities of any other publicly traded company with which Company does business in circumstances where insiders receive Material, Non-Public Information about such other company that has been provided to the Company and as to which the Company has a duty of confidentiality that is known to the insider regarding such information.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insiders should treat Material, Non-Public Information about the Company’s business partners with the same care required with respect to Material, Non-Public Information related directly to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Transacting on Material, Non-Public Information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Except as otherwise specified in this Policy, no insider or Related Person shall engage in any transaction in the Company’s securities, including making any offer to purchase or offer to sell, or giving any gift of the Company’s securities, during any period commencing with the date that he or she is aware of Material, Non-Public Information concerning the Company, and ending at the beginning of the third Trading Day following the date of public disclosure of the Material, Non-Public Information, or at the time that the information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Tipping Others of Material, Non-Public Information</w:t>
      </w:r>
    </w:p>
    <w:p>
      <w:pPr>
        <w:spacing w:after="0" w:line="229"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No insider shall disclose or tip, either directly or indirectly, Material, Non-Public Information about the Company to any other person (including Related Persons) where the Material, Non-Public Information about the Company may be used by that person to his or her profit by transacting in the securities of the company to which the Material, Non-Public Information relates, nor shall the insider or the Related Person make recommendations, either directly or indirectly, or express opinions on the basis of Material, Non-Public Information about the Company as to transacting in the Company’s securities. Insiders are not authorized to recommend transactions in the Company’s securities to any other person (other than Related Persons) regardless of whether the insider is aware of Material, Non-Public Information about the Company.</w:t>
      </w:r>
    </w:p>
    <w:p>
      <w:pPr>
        <w:spacing w:after="0" w:line="183" w:lineRule="exact"/>
        <w:rPr>
          <w:sz w:val="20"/>
          <w:szCs w:val="20"/>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Confidentiality of Material, Non-Public Information</w:t>
      </w:r>
    </w:p>
    <w:p>
      <w:pPr>
        <w:spacing w:after="0" w:line="256"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Material, Non-Public Information relating to the Company is the Company’s property and the unauthorized disclosure of Material, Non-Public Information is prohibited. If an insider receives any inquiry from outside the Company (such as a securities analyst) for information (particularly financial results and/or projections) that may be Material, Non-Public Information, the inquiry should be referred to the Company’s Vice President of Business Development, who is responsible for coordinating and overseeing the release of that information to the investing public, securities analysts and others in compliance with applicable laws and regulations.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Special and Prohibited Transactions</w:t>
      </w:r>
    </w:p>
    <w:p>
      <w:pPr>
        <w:spacing w:after="0" w:line="229"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Because the Company believes it is improper and inappropriate for its insiders to engage in short-term or speculative transactions involving certain securities, it is the Company’s policy that its insiders may not engage in any of the transactions specified below.</w:t>
      </w:r>
    </w:p>
    <w:p>
      <w:pPr>
        <w:spacing w:after="0" w:line="160" w:lineRule="exact"/>
        <w:rPr>
          <w:sz w:val="20"/>
          <w:szCs w:val="20"/>
          <w:color w:val="auto"/>
        </w:rPr>
      </w:pPr>
    </w:p>
    <w:p>
      <w:pPr>
        <w:jc w:val="both"/>
        <w:ind w:left="1304" w:hanging="656"/>
        <w:spacing w:after="0" w:line="261" w:lineRule="auto"/>
        <w:tabs>
          <w:tab w:leader="none" w:pos="1304"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Transactions in Company Debt Securities</w:t>
      </w:r>
      <w:r>
        <w:rPr>
          <w:rFonts w:ascii="Times New Roman" w:cs="Times New Roman" w:eastAsia="Times New Roman" w:hAnsi="Times New Roman"/>
          <w:sz w:val="18"/>
          <w:szCs w:val="18"/>
          <w:color w:val="auto"/>
        </w:rPr>
        <w:t>. The Company believes that it is inappropriate for its insiders to be creditors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due to actual or perceived conflicts of interest that may arise in connection therewith. Therefore, insider transactions in Company debt securities, whether or not those securities are convertible into Company common stock, are prohibited by this Policy.</w:t>
      </w:r>
    </w:p>
    <w:p>
      <w:pPr>
        <w:spacing w:after="0" w:line="179" w:lineRule="exact"/>
        <w:rPr>
          <w:rFonts w:ascii="Times New Roman" w:cs="Times New Roman" w:eastAsia="Times New Roman" w:hAnsi="Times New Roman"/>
          <w:sz w:val="18"/>
          <w:szCs w:val="18"/>
          <w:i w:val="1"/>
          <w:iCs w:val="1"/>
          <w:color w:val="auto"/>
        </w:rPr>
      </w:pPr>
    </w:p>
    <w:p>
      <w:pPr>
        <w:jc w:val="both"/>
        <w:ind w:left="1304" w:hanging="656"/>
        <w:spacing w:after="0" w:line="256" w:lineRule="auto"/>
        <w:tabs>
          <w:tab w:leader="none" w:pos="1304"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Hedging Transactions and Other Transactions Involving Company Derivative Securities</w:t>
      </w:r>
      <w:r>
        <w:rPr>
          <w:rFonts w:ascii="Times New Roman" w:cs="Times New Roman" w:eastAsia="Times New Roman" w:hAnsi="Times New Roman"/>
          <w:sz w:val="18"/>
          <w:szCs w:val="18"/>
          <w:color w:val="auto"/>
        </w:rPr>
        <w:t>. Hedging or monetization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permit an individual to hedge against a decline in stock price, while at the same time eliminating much of the individual’s economic interest in any rise in value of the hedged securities. Because hedging transactions can present the appearance of a bet against the Company, hedging or monetization transactions, whether direct or indirect, involving the Company’s securities are completely prohibited, regardless of whether you are in possession of Material, Non-Public Information. A “short sale,” or sale of securities that the seller does not own at the time of sale or, if owned, that will not be delivered within twenty (20) days of the sale, is an example of a prohibited hedging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131" w:name="page132"/>
    <w:bookmarkEnd w:id="131"/>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Transactions involving derivative securities, whether or not entered into for hedging or monetization purposes, may also create the appearance of impropriety in the event of any unusual activity in the underlying equity security. Transactions involving Company-based derivative securities are completely prohibited, whether or not you are in possession of Material, Non-Public Information. “Derivative securities” are options, warrants, stock appreciation rights, convertible notes or similar rights whose value is derived from the value of an equity security, such as Company common stock. Transactions in derivative securities include, but are not limited to, transacting in Company-based option contracts, transactions in straddles or collars, and writing puts or calls. This Policy does not, however, prohibit transactions of publicly traded warrants or contingent value rights issued by the Company. Transactions in debt that may be convertible into Company common stock would also constitute a transaction in derivative securities prohibited by this Policy. This Policy does not, however, restrict holding, exercising, or settling awards such as options, restricted stock, restricted stock units, or other derivative securities granted under a Company equity incentive plan as described in more detail below under “Exempted Transactions.”</w:t>
      </w:r>
    </w:p>
    <w:p>
      <w:pPr>
        <w:spacing w:after="0" w:line="190" w:lineRule="exact"/>
        <w:rPr>
          <w:sz w:val="20"/>
          <w:szCs w:val="20"/>
          <w:color w:val="auto"/>
        </w:rPr>
      </w:pPr>
    </w:p>
    <w:p>
      <w:pPr>
        <w:jc w:val="both"/>
        <w:ind w:left="840" w:hanging="656"/>
        <w:spacing w:after="0" w:line="267" w:lineRule="auto"/>
        <w:tabs>
          <w:tab w:leader="none" w:pos="84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Purchases of Company Stock on Margin</w:t>
      </w:r>
      <w:r>
        <w:rPr>
          <w:rFonts w:ascii="Times New Roman" w:cs="Times New Roman" w:eastAsia="Times New Roman" w:hAnsi="Times New Roman"/>
          <w:sz w:val="18"/>
          <w:szCs w:val="18"/>
          <w:color w:val="auto"/>
        </w:rPr>
        <w:t>. Any of the Company’s common stock purchased in the open market should be paid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at the time of purchase. Purchasing the Company’s common stock on margin (e.g., borrowing money from a brokerage firm or other third party to fund the stock purchase) is strictly prohibited by this Policy.</w:t>
      </w:r>
    </w:p>
    <w:p>
      <w:pPr>
        <w:spacing w:after="0" w:line="175" w:lineRule="exact"/>
        <w:rPr>
          <w:rFonts w:ascii="Times New Roman" w:cs="Times New Roman" w:eastAsia="Times New Roman" w:hAnsi="Times New Roman"/>
          <w:sz w:val="18"/>
          <w:szCs w:val="18"/>
          <w:i w:val="1"/>
          <w:iCs w:val="1"/>
          <w:color w:val="auto"/>
        </w:rPr>
      </w:pPr>
    </w:p>
    <w:p>
      <w:pPr>
        <w:jc w:val="both"/>
        <w:ind w:left="840" w:hanging="656"/>
        <w:spacing w:after="0" w:line="255" w:lineRule="auto"/>
        <w:tabs>
          <w:tab w:leader="none" w:pos="84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Short Term Trading. Short-term trading of Company securities may be distracting and may unduly focus the person on the Company’s short-term stock market performance instead of the Company’s long-term business objectives. For these reasons, insiders who purchase Company securities in the open market may not sell any Company securities of the same class during the six months following the purchase (or vice versa). However, this restriction may be waived in individual cases at the discretion of the Company’s Chief Financial Officer and/or Vice President of Finance (unless such insider is the Chief Financial Officer or Vice President of Finance, in which case the Chief Financial Officer or Vice President of Finance may be granted an exception to such prohibitions by the Company’s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2" w:name="page133"/>
    <w:bookmarkEnd w:id="132"/>
    <w:p>
      <w:pPr>
        <w:jc w:val="both"/>
        <w:ind w:left="1304" w:hanging="656"/>
        <w:spacing w:after="0" w:line="261" w:lineRule="auto"/>
        <w:tabs>
          <w:tab w:leader="none" w:pos="1304" w:val="left"/>
        </w:tabs>
        <w:numPr>
          <w:ilvl w:val="1"/>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 Plans,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V below) should be used only for a very brief period of time. The problem with purchases or sales resulting from standing instructions to a broker is that there is no control over the timing of the transaction. The broker could execute a transaction when the insider is in possession of Material, Non-Public Information.</w:t>
      </w:r>
    </w:p>
    <w:p>
      <w:pPr>
        <w:spacing w:after="0" w:line="177" w:lineRule="exact"/>
        <w:rPr>
          <w:rFonts w:ascii="Times New Roman" w:cs="Times New Roman" w:eastAsia="Times New Roman" w:hAnsi="Times New Roman"/>
          <w:sz w:val="18"/>
          <w:szCs w:val="18"/>
          <w:i w:val="1"/>
          <w:iCs w:val="1"/>
          <w:color w:val="auto"/>
        </w:rPr>
      </w:pPr>
    </w:p>
    <w:p>
      <w:pPr>
        <w:ind w:left="644" w:hanging="644"/>
        <w:spacing w:after="0"/>
        <w:tabs>
          <w:tab w:leader="none" w:pos="644"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Exempted Transactions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3" w:lineRule="exact"/>
        <w:rPr>
          <w:sz w:val="20"/>
          <w:szCs w:val="20"/>
          <w:color w:val="auto"/>
        </w:rPr>
      </w:pPr>
    </w:p>
    <w:p>
      <w:pPr>
        <w:jc w:val="both"/>
        <w:ind w:left="1304" w:hanging="656"/>
        <w:spacing w:after="0" w:line="258" w:lineRule="auto"/>
        <w:tabs>
          <w:tab w:leader="none" w:pos="1304"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 Exercises</w:t>
      </w:r>
      <w:r>
        <w:rPr>
          <w:rFonts w:ascii="Times New Roman" w:cs="Times New Roman" w:eastAsia="Times New Roman" w:hAnsi="Times New Roman"/>
          <w:sz w:val="18"/>
          <w:szCs w:val="18"/>
          <w:color w:val="auto"/>
        </w:rPr>
        <w:t>. This Policy does not apply to the exercise of an employee stock option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3" w:lineRule="exact"/>
        <w:rPr>
          <w:rFonts w:ascii="Times New Roman" w:cs="Times New Roman" w:eastAsia="Times New Roman" w:hAnsi="Times New Roman"/>
          <w:sz w:val="18"/>
          <w:szCs w:val="18"/>
          <w:i w:val="1"/>
          <w:iCs w:val="1"/>
          <w:color w:val="auto"/>
        </w:rPr>
      </w:pPr>
    </w:p>
    <w:p>
      <w:pPr>
        <w:jc w:val="both"/>
        <w:ind w:left="1304" w:hanging="656"/>
        <w:spacing w:after="0" w:line="267" w:lineRule="auto"/>
        <w:tabs>
          <w:tab w:leader="none" w:pos="1304"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This Policy does not apply to the vesting of restricted stock, or the exercise of a tax withholding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insider elects to have the Company withhold shares of stock to satisfy tax withholding requirements upon the vesting of any restricted stock. The Policy does apply, however, to any market sale of restricted stock.</w:t>
      </w:r>
    </w:p>
    <w:p>
      <w:pPr>
        <w:spacing w:after="0" w:line="173" w:lineRule="exact"/>
        <w:rPr>
          <w:rFonts w:ascii="Times New Roman" w:cs="Times New Roman" w:eastAsia="Times New Roman" w:hAnsi="Times New Roman"/>
          <w:sz w:val="18"/>
          <w:szCs w:val="18"/>
          <w:i w:val="1"/>
          <w:iCs w:val="1"/>
          <w:color w:val="auto"/>
        </w:rPr>
      </w:pPr>
    </w:p>
    <w:p>
      <w:pPr>
        <w:jc w:val="both"/>
        <w:ind w:left="1304" w:hanging="656"/>
        <w:spacing w:after="0" w:line="267" w:lineRule="auto"/>
        <w:tabs>
          <w:tab w:leader="none" w:pos="1304"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This Policy does not apply to purchases of Company securities in the Company’s 401(k) plan resulting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insider’s periodic contribution of money to the plan pursuant to the insider’s payroll deduction election. This Policy does apply, however, to certain elections the insider may make under the 401(k) plan, including:</w:t>
      </w:r>
    </w:p>
    <w:p>
      <w:pPr>
        <w:spacing w:after="0" w:line="175" w:lineRule="exact"/>
        <w:rPr>
          <w:rFonts w:ascii="Times New Roman" w:cs="Times New Roman" w:eastAsia="Times New Roman" w:hAnsi="Times New Roman"/>
          <w:sz w:val="18"/>
          <w:szCs w:val="18"/>
          <w:i w:val="1"/>
          <w:iCs w:val="1"/>
          <w:color w:val="auto"/>
        </w:rPr>
      </w:pPr>
    </w:p>
    <w:p>
      <w:pPr>
        <w:ind w:left="1624" w:hanging="328"/>
        <w:spacing w:after="0" w:line="282" w:lineRule="auto"/>
        <w:tabs>
          <w:tab w:leader="none" w:pos="16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increase or decrease the percentage of the insider’s periodic contributions that will be allocated to the Company stock fund;</w:t>
      </w:r>
    </w:p>
    <w:p>
      <w:pPr>
        <w:spacing w:after="0" w:line="161" w:lineRule="exact"/>
        <w:rPr>
          <w:rFonts w:ascii="Times New Roman" w:cs="Times New Roman" w:eastAsia="Times New Roman" w:hAnsi="Times New Roman"/>
          <w:sz w:val="18"/>
          <w:szCs w:val="18"/>
          <w:color w:val="auto"/>
        </w:rPr>
      </w:pPr>
    </w:p>
    <w:p>
      <w:pPr>
        <w:ind w:left="1624" w:hanging="328"/>
        <w:spacing w:after="0"/>
        <w:tabs>
          <w:tab w:leader="none" w:pos="16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make an intra-plan transfer of an existing account balance into or out of the Company stock fund;</w:t>
      </w:r>
    </w:p>
    <w:p>
      <w:pPr>
        <w:spacing w:after="0" w:line="225" w:lineRule="exact"/>
        <w:rPr>
          <w:rFonts w:ascii="Times New Roman" w:cs="Times New Roman" w:eastAsia="Times New Roman" w:hAnsi="Times New Roman"/>
          <w:sz w:val="18"/>
          <w:szCs w:val="18"/>
          <w:color w:val="auto"/>
        </w:rPr>
      </w:pPr>
    </w:p>
    <w:p>
      <w:pPr>
        <w:ind w:left="1624" w:hanging="328"/>
        <w:spacing w:after="0" w:line="282" w:lineRule="auto"/>
        <w:tabs>
          <w:tab w:leader="none" w:pos="16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borrow money against the insider’s 401(k) plan account if the loan will result in a liquidation of some or all of the insider’s Company stock fund balance; and</w:t>
      </w:r>
    </w:p>
    <w:p>
      <w:pPr>
        <w:spacing w:after="0" w:line="161" w:lineRule="exact"/>
        <w:rPr>
          <w:rFonts w:ascii="Times New Roman" w:cs="Times New Roman" w:eastAsia="Times New Roman" w:hAnsi="Times New Roman"/>
          <w:sz w:val="18"/>
          <w:szCs w:val="18"/>
          <w:color w:val="auto"/>
        </w:rPr>
      </w:pPr>
    </w:p>
    <w:p>
      <w:pPr>
        <w:ind w:left="1624" w:hanging="328"/>
        <w:spacing w:after="0"/>
        <w:tabs>
          <w:tab w:leader="none" w:pos="16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pre-pay a plan loan if the pre-payment will result in allocation of loan proceeds to the Company stock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377190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8" w:right="339" w:bottom="1440" w:gutter="0" w:footer="0" w:header="0"/>
        </w:sectPr>
      </w:pPr>
    </w:p>
    <w:bookmarkStart w:id="133" w:name="page134"/>
    <w:bookmarkEnd w:id="133"/>
    <w:p>
      <w:pPr>
        <w:jc w:val="both"/>
        <w:ind w:left="1304" w:hanging="656"/>
        <w:spacing w:after="0" w:line="257" w:lineRule="auto"/>
        <w:tabs>
          <w:tab w:leader="none" w:pos="1304" w:val="left"/>
        </w:tabs>
        <w:numPr>
          <w:ilvl w:val="1"/>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This Policy does not apply to purchases of Company securities in the employee stock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resulting from the insider’s periodic contribution of money to the plan pursuant to the election the insider made at the time of the insider’s enrollment in the plan. This Policy also does not apply to purchases of Company securities resulting from lump sum contributions to the plan, provided that the insider elected to participate by lump sum payment at the beginning of the applicable enrollment period. This Policy does apply, however, to the insider’s election to participate in the plan for any enrollment period, and to the insider’s sales of Company securities purchased pursuant to the plan.</w:t>
      </w:r>
    </w:p>
    <w:p>
      <w:pPr>
        <w:spacing w:after="0" w:line="182" w:lineRule="exact"/>
        <w:rPr>
          <w:rFonts w:ascii="Times New Roman" w:cs="Times New Roman" w:eastAsia="Times New Roman" w:hAnsi="Times New Roman"/>
          <w:sz w:val="18"/>
          <w:szCs w:val="18"/>
          <w:i w:val="1"/>
          <w:iCs w:val="1"/>
          <w:color w:val="auto"/>
        </w:rPr>
      </w:pPr>
    </w:p>
    <w:p>
      <w:pPr>
        <w:jc w:val="both"/>
        <w:ind w:left="1304" w:hanging="656"/>
        <w:spacing w:after="0" w:line="258" w:lineRule="auto"/>
        <w:tabs>
          <w:tab w:leader="none" w:pos="1304" w:val="left"/>
        </w:tabs>
        <w:numPr>
          <w:ilvl w:val="1"/>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This Policy does not apply to purchases of Company securities under the Company’s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reinvestment plan resulting from the insider’s reinvestment of dividends paid on Company securities. This Policy does apply, however, to voluntary purchases of Company securities resulting from additional contributions the insider chooses to make to the dividend reinvestment plan, and to the insider’s election to participate in the plan or increase the insider’s level of participation in the plan. This Policy also applies to the insider’s sale of any Company securities purchased pursuant to the plan.</w:t>
      </w:r>
    </w:p>
    <w:p>
      <w:pPr>
        <w:spacing w:after="0" w:line="183" w:lineRule="exact"/>
        <w:rPr>
          <w:rFonts w:ascii="Times New Roman" w:cs="Times New Roman" w:eastAsia="Times New Roman" w:hAnsi="Times New Roman"/>
          <w:sz w:val="18"/>
          <w:szCs w:val="18"/>
          <w:i w:val="1"/>
          <w:iCs w:val="1"/>
          <w:color w:val="auto"/>
        </w:rPr>
      </w:pPr>
    </w:p>
    <w:p>
      <w:pPr>
        <w:ind w:left="1304" w:hanging="656"/>
        <w:spacing w:after="0" w:line="284" w:lineRule="auto"/>
        <w:tabs>
          <w:tab w:leader="none" w:pos="1304" w:val="left"/>
        </w:tabs>
        <w:numPr>
          <w:ilvl w:val="1"/>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Diversified Mutual Funds</w:t>
      </w:r>
      <w:r>
        <w:rPr>
          <w:rFonts w:ascii="Times New Roman" w:cs="Times New Roman" w:eastAsia="Times New Roman" w:hAnsi="Times New Roman"/>
          <w:sz w:val="18"/>
          <w:szCs w:val="18"/>
          <w:color w:val="auto"/>
        </w:rPr>
        <w:t>. This exception applies to transactions in diversified mutual funds that are invested in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w:t>
      </w:r>
    </w:p>
    <w:p>
      <w:pPr>
        <w:spacing w:after="0" w:line="158" w:lineRule="exact"/>
        <w:rPr>
          <w:rFonts w:ascii="Times New Roman" w:cs="Times New Roman" w:eastAsia="Times New Roman" w:hAnsi="Times New Roman"/>
          <w:sz w:val="18"/>
          <w:szCs w:val="18"/>
          <w:i w:val="1"/>
          <w:iCs w:val="1"/>
          <w:color w:val="auto"/>
        </w:rPr>
      </w:pPr>
    </w:p>
    <w:p>
      <w:pPr>
        <w:ind w:left="1304" w:hanging="656"/>
        <w:spacing w:after="0" w:line="284" w:lineRule="auto"/>
        <w:tabs>
          <w:tab w:leader="none" w:pos="1304" w:val="left"/>
        </w:tabs>
        <w:numPr>
          <w:ilvl w:val="1"/>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not subject to this Policy.</w:t>
      </w:r>
    </w:p>
    <w:p>
      <w:pPr>
        <w:spacing w:after="0" w:line="156" w:lineRule="exact"/>
        <w:rPr>
          <w:rFonts w:ascii="Times New Roman" w:cs="Times New Roman" w:eastAsia="Times New Roman" w:hAnsi="Times New Roman"/>
          <w:sz w:val="18"/>
          <w:szCs w:val="18"/>
          <w:i w:val="1"/>
          <w:iCs w:val="1"/>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Post-Termination Transactions</w:t>
      </w:r>
    </w:p>
    <w:p>
      <w:pPr>
        <w:spacing w:after="0" w:line="256"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The guidelines set forth in this Section II continue to apply to transactions in the Company’s securities even after the insider has terminated employment or other service relationship with the Company as follows: if the insider is aware of Material, Non-Public Information when his or her employment or service relationship terminates, the insider may not transact in the Company’s securities until that information has become public or is no longer material.</w:t>
      </w:r>
    </w:p>
    <w:p>
      <w:pPr>
        <w:spacing w:after="0" w:line="176" w:lineRule="exact"/>
        <w:rPr>
          <w:sz w:val="20"/>
          <w:szCs w:val="20"/>
          <w:color w:val="auto"/>
        </w:rPr>
      </w:pPr>
    </w:p>
    <w:p>
      <w:pPr>
        <w:ind w:left="644" w:hanging="644"/>
        <w:spacing w:after="0"/>
        <w:tabs>
          <w:tab w:leader="none" w:pos="644"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Hardship Waivers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specified herein, the guidelines set forth in this Section II may not be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377190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Additional Trading Guidelines and Requirements for Certain Insiders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Blackout Period and Trading Window</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period beginning at the close of market on the 5th calendar day of the first month following the end of each fiscal quarter or year and ending after two (2) full Trading Days following the date of public disclosure of the financial results for that fiscal quarter (“Blackout Period”) is a particularly sensitive period of time for transactions in the Company’s securities from the perspective of compliance with applicable securities laws. This sensitivity is due to the fact that certain insiders identified by the Company will, during the Blackout Period, often be aware of Material, Non-Public Information about the expected financial results for the quarter. Certain insiders identified by the Company and who have been notified that they have been so identified (the “Window Group”) are prohibited from transacting during the Blackout Period. The Company will endeavor to notify the Window Group when the Blackout Period begins. Insiders who have not been identified as being in the Window Group should adhere to the general prohibitions set forth in this Policy.</w:t>
      </w:r>
    </w:p>
    <w:p>
      <w:pPr>
        <w:spacing w:after="0" w:line="1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To ensure compliance with this Policy and applicable federal and state securities laws, the Company requires that the Window Group refrain from executing transactions involving the purchase or sale of the Company’s securities other than during the period commencing at the open of market after the expiration of two (2) full Trading Days following the date of public disclosure of the financial results for a particular fiscal quarter or year and continuing until the close of market on the 5th calendar day of the first month following the end of each fiscal quarter or year (“Trading Window”). The safest period for transacting in the Company’s securities, assuming the absence of Material, Non-Public Information, is generally the first ten (10) days of the Trading Window.</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also prohibit the Window Group from transacting in the Company’s securities because of developments known to the Company and not yet disclosed to the public. In this event, the Window Group may not engage in any transaction involving the purchase or sale of the Company’s securities until the information has been known publicly for at least two (2) full Trading Days and should not disclose to others the fact of the trading suspension.</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It should be noted that even during the Trading Window, any person aware of Material, Non-Public Information concerning the Company should not engage in any transactions in the Company’s securities until the information has been known publicly for at least two (2) full Trading Days, whether or not the Company has recommended a suspension of trading to that person. Trading in the Company’s securities during the Trading Window should not be considered a “safe harbor,” and all insiders should use good judgment at all times.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Pre-Clearance of Trades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members the of Window Group (collectively, the “Pre-Clearance Group”) must not transact in the Company’s securities, even during a Trading Window, without first complying with the Company’s “pre-clearance” process. Each member of the Pre-Clearance Group should contact the Company’s Chief Financial Officer and/or Vice President of Finance prior to commencing any transaction in the Company’s securities. The Chief Financial Officer and/or Vice President of Finance will consult, as necessary, with senior management before clearing any proposed transaction. Any proposed transaction cleared by the Company’s Chief Financial Officer and/or Vice President of Finance shall be reported immediately to the Company’s Chief Executive Officer and/or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5" w:name="page136"/>
    <w:bookmarkEnd w:id="135"/>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Please note that clearance of a proposed transaction by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Chief Financial Officer and/or Vice President of Finance does not constitute legal advice regarding or otherwise acknowledge that a member of the Pre-Clearance Group does not possess Material, Non-Public Information. Employees must ultimately make their own judgments regarding, and are personally responsible for determining, whether they are in possession of Material, Non-Public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Hardship Waivers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guidelines specified in this Section III may be waived, at the discretion of the Company’s Chief Financial Officer and/or Vice President of Finance, if compliance would create severe hardship or prevent an insider within the Window Group from complying with a court order, as in the case of a divorce settlement. Any exception approved by the Company’s Chief Financial Officer and/or Vice President of Finance shall be reported immediately to the Audit Committee of the Company’s Board of Directors (the “Board”).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Additional Information for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directors and Section 16 officers (as defined below) are required to file Section 16 reports with the SEC when they engage in transactions in the Company’s securities. Although the Company may generally assist its directors and Section 16 officers in preparing and filing the required reports, directors and Section 16 officers retain responsibility for the reports.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Section 16 officers shall also comply with the policies and procedures set forth in the Company’s Short-Swing Trading and Reporting Policy.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directors and Section 16 officers may be subject to trading blackouts pursuant to Regulation Blackout Trading Restriction, or Regulation BTR, under the federal securities laws. In general and with certain limited exemptions, Regulation BTR prohibits any director or Section 16 officer from engaging in certain transactions involving Company securities during periods when participants are prevented from purchasing, selling or otherwise acquiring or transferring an interest in certain securities held in individual account plans. The rules encompass a variety of pension plans, including Section 401(k) plans, profit-sharing and savings plans, stock bonus plans and money purchase pension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Section 16 officers if they are subject to a blackout trading restriction under Regulation BTR. Failure to comply with an applicable trading blackout in accordance with Regulation BTR is a violation of law and this Policy.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 officer” means the Company’s president, principal financial officer, principal accounting officer (or if none, the controller), any vice-president of the Company in charge of a principal business unit, division or function (such as sales, administration or finance), and any other officer who performs a policy-making function, as determined from time to time by the Board, or any other person who performs similar policy-making functions of the Company, as determined from time to time by the Board. Officers of the Company’s subsidiaries shall also be deemed officers of the Company if they perform policy-making functions for the Company, as determined from time to time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Planned Trading Programs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Purchases or sales of the Company’s securities by any director, officer, or other employee of the Company made pursuant to, and in compliance with, a written plan that meets the requirements of Rule 10b5-1 under the Securities Exchange Act of 1934, as amended (a “Rule 10b5-1 Plan”) may be made without restriction to any particular period provided that the Rule 10b5-1 Plan was established in good faith, in compliance with the requirements of Rule 10b5-1, at the time when such individual was not in possession of Material, Non-Public Information about the Company and the Company had not imposed any trading blackout period. The Company must be notified of the establishment of any such Rule 10b5-1 Plan, any amendments to such Rule 10b5-1 Plan and the termination of such Rule 10b5-1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Rule 10b5-1 Plan must be pre-cleared in writing in advance of adoption by the Company’s Chief Financial Officer and/or Vice President of Finance and prompt disclosure regarding the plan’s adoption may be made through a press release or Current Report on Form 8-K. No further pre-approval of transactions conducted pursuant to the Rule 10b5-1 Plan will be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 and/or Disciplinary Action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Civil and criminal penalties and disciplinary action by the Company, which may include termination or other appropriate action, may result from transacting on Material, Non-Public Information regarding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Administration of the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Steven Tholen and Daniel Silver shall serve as the Chief Financial Officer and Vice President of Finance, respectively, for the purposes of this Policy, and in their absence, Ryan Hightower, Vice President of Business Development or another employee designated by the Chief Financial Officer and/or Vice President of Finance shall be responsible for administration of this Policy. All determinations and interpretations by the Chief Financial Officer and/or Vice President of Finance shall be final and not subject to further review.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engage in transactions in its own securities. It is the Company’s policy to comply with all applicable securities laws (including appropriate approvals by the Board or appropriate committee, if required) when engaging in transactions in the Company’s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document states a policy of HighPeak Energy, Inc. and is not intended to be regarded as the rendering of legal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have read and understand the Insider Trading Policy (the “Policy”) of HighPeak Energy, Inc. (the “Company”). I agree that I will comply with the policies and procedures set forth in the Policy. I understand and agree that, if I am a director, officer or employee of the Company or one of its subsidiaries or other affiliates, my failure to comply in all respects with the Company’s policies, including the Policy, may be a basis for termination for cause of my employment or service with the Company and any subsidiary or other affiliate to which my employment or service now relates or may in the future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aware that this signed Certification will be filed with my personal records in the Company’s Human Resources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3418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2341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or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23418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57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(File Nos. 333-261706, 333-265895 and 333-267311) and in the Registration Statement on Form S-8 (File No. 333-249888) of HighPeak Energy, Inc., of our report dated March 6, 2025, relating to the consolidated financial statements as of December 31, 2024 and 2023, and for each of the three years in the period ended December 31, 2024,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ectPr>
          <w:pgSz w:w="11900" w:h="16838" w:orient="portrait"/>
          <w:cols w:equalWidth="0" w:num="1">
            <w:col w:w="11240"/>
          </w:cols>
          <w:pgMar w:left="320" w:top="117"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tc>
        <w:tc>
          <w:tcPr>
            <w:tcW w:w="0" w:type="dxa"/>
            <w:vAlign w:val="bottom"/>
          </w:tcPr>
          <w:p>
            <w:pPr>
              <w:spacing w:after="0"/>
              <w:rPr>
                <w:sz w:val="1"/>
                <w:szCs w:val="1"/>
                <w:color w:val="auto"/>
              </w:rPr>
            </w:pPr>
          </w:p>
        </w:tc>
      </w:tr>
      <w:tr>
        <w:trPr>
          <w:trHeight w:val="414"/>
        </w:trPr>
        <w:tc>
          <w:tcPr>
            <w:tcW w:w="366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awley</w:t>
            </w:r>
            <w:r>
              <w:rPr>
                <w:rFonts w:ascii="Times New Roman" w:cs="Times New Roman" w:eastAsia="Times New Roman" w:hAnsi="Times New Roman"/>
                <w:sz w:val="18"/>
                <w:szCs w:val="18"/>
                <w:color w:val="auto"/>
              </w:rPr>
              <w:t>, G</w:t>
            </w:r>
            <w:r>
              <w:rPr>
                <w:rFonts w:ascii="Times New Roman" w:cs="Times New Roman" w:eastAsia="Times New Roman" w:hAnsi="Times New Roman"/>
                <w:sz w:val="12"/>
                <w:szCs w:val="12"/>
                <w:color w:val="auto"/>
              </w:rPr>
              <w:t>illespie</w:t>
            </w:r>
            <w:r>
              <w:rPr>
                <w:rFonts w:ascii="Times New Roman" w:cs="Times New Roman" w:eastAsia="Times New Roman" w:hAnsi="Times New Roman"/>
                <w:sz w:val="18"/>
                <w:szCs w:val="18"/>
                <w:color w:val="auto"/>
              </w:rPr>
              <w:t xml:space="preserve"> &amp; A</w:t>
            </w:r>
            <w:r>
              <w:rPr>
                <w:rFonts w:ascii="Times New Roman" w:cs="Times New Roman" w:eastAsia="Times New Roman" w:hAnsi="Times New Roman"/>
                <w:sz w:val="12"/>
                <w:szCs w:val="12"/>
                <w:color w:val="auto"/>
              </w:rPr>
              <w:t>ssociates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PETROLEUM CONSULTANTS</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13640 BRIARWICK DRIVE, SUITE 100</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 WEST SEVENTH STREET,</w:t>
            </w:r>
          </w:p>
        </w:tc>
        <w:tc>
          <w:tcPr>
            <w:tcW w:w="3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LOUISIANA STREET, SUITE 1900</w:t>
            </w:r>
          </w:p>
        </w:tc>
        <w:tc>
          <w:tcPr>
            <w:tcW w:w="0" w:type="dxa"/>
            <w:vAlign w:val="bottom"/>
          </w:tcPr>
          <w:p>
            <w:pPr>
              <w:spacing w:after="0"/>
              <w:rPr>
                <w:sz w:val="1"/>
                <w:szCs w:val="1"/>
                <w:color w:val="auto"/>
              </w:rPr>
            </w:pPr>
          </w:p>
        </w:tc>
      </w:tr>
      <w:tr>
        <w:trPr>
          <w:trHeight w:val="126"/>
        </w:trPr>
        <w:tc>
          <w:tcPr>
            <w:tcW w:w="3660" w:type="dxa"/>
            <w:vAlign w:val="bottom"/>
            <w:vMerge w:val="continue"/>
          </w:tcPr>
          <w:p>
            <w:pPr>
              <w:spacing w:after="0"/>
              <w:rPr>
                <w:sz w:val="10"/>
                <w:szCs w:val="10"/>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SUITE 302</w:t>
            </w:r>
          </w:p>
        </w:tc>
        <w:tc>
          <w:tcPr>
            <w:tcW w:w="3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78729-1106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FORT WORTH, TEXAS 76102-4987</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HOUSTON, TEXAS 77002-5008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512-249-7000</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817- 336-2461</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713-651-9944</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www.cgaus.com</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As independent petroleum engineers, we hereby consent to the inclusion in HighPeak Energy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Annual Report on Form 10-K, of our reserves reports of HighPeak Energy, Inc. proved oil and natural gas reserves estimates and associated estimates of future net revenues and their present value as of December 31, 2024, 2023 and 2022, included in or made a part of the Annual Report on Form 10-K, to the inclusion of its summary report dated January 10, 2025, January 16, 2024 and January 23, 2023, respectively, as exhibits to the Annual Report on Form 10-K and to the incorporation by reference in the Registration Statements on Forms S-3 (File Nos. 333-261706, 333-265895 and 333-267311) and on Form S-8 (File No. 333-249888) of such report.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CAWLEY, GILLESPIE &amp;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Registered Engineering Firm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 Todd Brooker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Todd Brooker, P.E.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HighPeak Energy, Inc. (the “registrant”);</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754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320"/>
        <w:spacing w:after="0"/>
        <w:tabs>
          <w:tab w:leader="none" w:pos="5920" w:val="left"/>
        </w:tabs>
        <w:rPr>
          <w:sz w:val="20"/>
          <w:szCs w:val="20"/>
          <w:color w:val="auto"/>
        </w:rPr>
      </w:pPr>
      <w:r>
        <w:rPr>
          <w:rFonts w:ascii="Times New Roman" w:cs="Times New Roman" w:eastAsia="Times New Roman" w:hAnsi="Times New Roman"/>
          <w:sz w:val="18"/>
          <w:szCs w:val="18"/>
          <w:color w:val="auto"/>
        </w:rPr>
        <w:t>Date:</w:t>
        <w:tab/>
        <w:t>March 10, 2025</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HighPeak Energy, Inc. (the “registrant”);</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754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320"/>
        <w:spacing w:after="0"/>
        <w:tabs>
          <w:tab w:leader="none" w:pos="5920" w:val="left"/>
        </w:tabs>
        <w:rPr>
          <w:sz w:val="20"/>
          <w:szCs w:val="20"/>
          <w:color w:val="auto"/>
        </w:rPr>
      </w:pPr>
      <w:r>
        <w:rPr>
          <w:rFonts w:ascii="Times New Roman" w:cs="Times New Roman" w:eastAsia="Times New Roman" w:hAnsi="Times New Roman"/>
          <w:sz w:val="18"/>
          <w:szCs w:val="18"/>
          <w:color w:val="auto"/>
        </w:rPr>
        <w:t>Date:</w:t>
        <w:tab/>
        <w:t>March 10, 2025</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2024 of HighPeak Energy, Inc. (the “Company”), as filed with the Securities and Exchange Commission on the date hereof (the “Report”), I, Jack Hightower,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460" w:hanging="480"/>
        <w:spacing w:after="0"/>
        <w:tabs>
          <w:tab w:leader="none" w:pos="1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460" w:right="120" w:hanging="480"/>
        <w:spacing w:after="0" w:line="282" w:lineRule="auto"/>
        <w:tabs>
          <w:tab w:leader="none" w:pos="1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17145</wp:posOffset>
            </wp:positionV>
            <wp:extent cx="38315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00"/>
        <w:spacing w:after="0"/>
        <w:tabs>
          <w:tab w:leader="none" w:pos="5800" w:val="left"/>
        </w:tabs>
        <w:rPr>
          <w:sz w:val="20"/>
          <w:szCs w:val="20"/>
          <w:color w:val="auto"/>
        </w:rPr>
      </w:pPr>
      <w:r>
        <w:rPr>
          <w:rFonts w:ascii="Times New Roman" w:cs="Times New Roman" w:eastAsia="Times New Roman" w:hAnsi="Times New Roman"/>
          <w:sz w:val="18"/>
          <w:szCs w:val="18"/>
          <w:color w:val="auto"/>
        </w:rPr>
        <w:t>Date:</w:t>
        <w:tab/>
        <w:t>March 10, 2025</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2024 of HighPeak Energy, Inc. (the “Company”), as filed with the Securities and Exchange Commission on the date hereof (the “Report”), I, Steven Tholen,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460" w:hanging="480"/>
        <w:spacing w:after="0"/>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460" w:right="120" w:hanging="480"/>
        <w:spacing w:after="0" w:line="282" w:lineRule="auto"/>
        <w:tabs>
          <w:tab w:leader="none" w:pos="1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17145</wp:posOffset>
            </wp:positionV>
            <wp:extent cx="3831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00"/>
        <w:spacing w:after="0"/>
        <w:tabs>
          <w:tab w:leader="none" w:pos="5800" w:val="left"/>
        </w:tabs>
        <w:rPr>
          <w:sz w:val="20"/>
          <w:szCs w:val="20"/>
          <w:color w:val="auto"/>
        </w:rPr>
      </w:pPr>
      <w:r>
        <w:rPr>
          <w:rFonts w:ascii="Times New Roman" w:cs="Times New Roman" w:eastAsia="Times New Roman" w:hAnsi="Times New Roman"/>
          <w:sz w:val="18"/>
          <w:szCs w:val="18"/>
          <w:color w:val="auto"/>
        </w:rPr>
        <w:t>Date:</w:t>
        <w:tab/>
        <w:t>March 10, 2025</w:t>
      </w:r>
    </w:p>
    <w:p>
      <w:pPr>
        <w:sectPr>
          <w:pgSz w:w="11900" w:h="16838" w:orient="portrait"/>
          <w:cols w:equalWidth="0" w:num="1">
            <w:col w:w="11240"/>
          </w:cols>
          <w:pgMar w:left="320" w:top="117"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71"/>
        </w:trPr>
        <w:tc>
          <w:tcPr>
            <w:tcW w:w="3580" w:type="dxa"/>
            <w:vAlign w:val="bottom"/>
          </w:tcPr>
          <w:p>
            <w:pPr>
              <w:spacing w:after="0"/>
              <w:rPr>
                <w:sz w:val="24"/>
                <w:szCs w:val="24"/>
                <w:color w:val="auto"/>
              </w:rPr>
            </w:pPr>
          </w:p>
        </w:tc>
        <w:tc>
          <w:tcPr>
            <w:tcW w:w="4580" w:type="dxa"/>
            <w:vAlign w:val="bottom"/>
          </w:tcPr>
          <w:p>
            <w:pPr>
              <w:jc w:val="center"/>
              <w:ind w:right="411"/>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awley</w:t>
            </w:r>
            <w:r>
              <w:rPr>
                <w:rFonts w:ascii="Times New Roman" w:cs="Times New Roman" w:eastAsia="Times New Roman" w:hAnsi="Times New Roman"/>
                <w:sz w:val="22"/>
                <w:szCs w:val="22"/>
                <w:color w:val="auto"/>
              </w:rPr>
              <w:t>, G</w:t>
            </w:r>
            <w:r>
              <w:rPr>
                <w:rFonts w:ascii="Times New Roman" w:cs="Times New Roman" w:eastAsia="Times New Roman" w:hAnsi="Times New Roman"/>
                <w:sz w:val="14"/>
                <w:szCs w:val="14"/>
                <w:color w:val="auto"/>
              </w:rPr>
              <w:t>illespie</w:t>
            </w:r>
            <w:r>
              <w:rPr>
                <w:rFonts w:ascii="Times New Roman" w:cs="Times New Roman" w:eastAsia="Times New Roman" w:hAnsi="Times New Roman"/>
                <w:sz w:val="22"/>
                <w:szCs w:val="22"/>
                <w:color w:val="auto"/>
              </w:rPr>
              <w:t xml:space="preserve"> &amp; A</w:t>
            </w:r>
            <w:r>
              <w:rPr>
                <w:rFonts w:ascii="Times New Roman" w:cs="Times New Roman" w:eastAsia="Times New Roman" w:hAnsi="Times New Roman"/>
                <w:sz w:val="14"/>
                <w:szCs w:val="14"/>
                <w:color w:val="auto"/>
              </w:rPr>
              <w:t>ssociates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580" w:type="dxa"/>
            <w:vAlign w:val="bottom"/>
          </w:tcPr>
          <w:p>
            <w:pPr>
              <w:spacing w:after="0"/>
              <w:rPr>
                <w:sz w:val="24"/>
                <w:szCs w:val="24"/>
                <w:color w:val="auto"/>
              </w:rPr>
            </w:pPr>
          </w:p>
        </w:tc>
        <w:tc>
          <w:tcPr>
            <w:tcW w:w="4580" w:type="dxa"/>
            <w:vAlign w:val="bottom"/>
          </w:tcPr>
          <w:p>
            <w:pPr>
              <w:jc w:val="center"/>
              <w:ind w:right="411"/>
              <w:spacing w:after="0"/>
              <w:rPr>
                <w:sz w:val="20"/>
                <w:szCs w:val="20"/>
                <w:color w:val="auto"/>
              </w:rPr>
            </w:pPr>
            <w:r>
              <w:rPr>
                <w:rFonts w:ascii="Times New Roman" w:cs="Times New Roman" w:eastAsia="Times New Roman" w:hAnsi="Times New Roman"/>
                <w:sz w:val="12"/>
                <w:szCs w:val="12"/>
                <w:color w:val="auto"/>
              </w:rPr>
              <w:t>petroleum consultants</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6500 RIVER PLACE BLVD, SUITE 3-200</w:t>
            </w:r>
          </w:p>
        </w:tc>
        <w:tc>
          <w:tcPr>
            <w:tcW w:w="45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306 WEST SEVENTH STREET, SUITE 302</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 LOUISIANA STREET, SUITE 1900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78730-1111</w:t>
            </w:r>
          </w:p>
        </w:tc>
        <w:tc>
          <w:tcPr>
            <w:tcW w:w="45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FORT WORTH, TEXAS 76102-4987</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HOUSTON, TEXAS 77002-5008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512-249-7000</w:t>
            </w:r>
          </w:p>
        </w:tc>
        <w:tc>
          <w:tcPr>
            <w:tcW w:w="45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817- 336-2461</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713-651-9944</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458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8"/>
              </w:rPr>
              <w:t>www.cgaus.com</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Jack Hightower</w:t>
            </w:r>
          </w:p>
        </w:tc>
        <w:tc>
          <w:tcPr>
            <w:tcW w:w="458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rPr>
              <w:t>January 10, 2025</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45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&amp; CEO</w:t>
            </w:r>
          </w:p>
        </w:tc>
        <w:tc>
          <w:tcPr>
            <w:tcW w:w="4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HighPeak Energy, Inc.</w:t>
            </w:r>
          </w:p>
        </w:tc>
        <w:tc>
          <w:tcPr>
            <w:tcW w:w="4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421 W 3rd St, Suite 1000</w:t>
            </w:r>
          </w:p>
        </w:tc>
        <w:tc>
          <w:tcPr>
            <w:tcW w:w="4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Fort Worth, Texas 76102</w:t>
            </w:r>
          </w:p>
        </w:tc>
        <w:tc>
          <w:tcPr>
            <w:tcW w:w="458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color w:val="auto"/>
                <w:w w:val="99"/>
              </w:rPr>
              <w:t>Re:Evaluation Summary</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4580" w:type="dxa"/>
            <w:vAlign w:val="bottom"/>
            <w:vMerge w:val="continue"/>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19"/>
                <w:szCs w:val="19"/>
                <w:color w:val="auto"/>
              </w:rPr>
            </w:pPr>
          </w:p>
        </w:tc>
        <w:tc>
          <w:tcPr>
            <w:tcW w:w="766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HighPeak Energy, Inc. Interests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6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Total Proved Reserves</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76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Certain Properties in Texas as of December 31, 2024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660" w:type="dxa"/>
            <w:vAlign w:val="bottom"/>
            <w:gridSpan w:val="2"/>
          </w:tcPr>
          <w:p>
            <w:pPr>
              <w:ind w:left="3060"/>
              <w:spacing w:after="0"/>
              <w:rPr>
                <w:sz w:val="20"/>
                <w:szCs w:val="20"/>
                <w:color w:val="auto"/>
              </w:rPr>
            </w:pPr>
            <w:r>
              <w:rPr>
                <w:rFonts w:ascii="Times New Roman" w:cs="Times New Roman" w:eastAsia="Times New Roman" w:hAnsi="Times New Roman"/>
                <w:sz w:val="18"/>
                <w:szCs w:val="18"/>
                <w:i w:val="1"/>
                <w:iCs w:val="1"/>
                <w:color w:val="auto"/>
              </w:rPr>
              <w:t>Pursuant to the Guidelines of the Securities and</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Dear Mr. Hightower:</w:t>
            </w:r>
          </w:p>
        </w:tc>
        <w:tc>
          <w:tcPr>
            <w:tcW w:w="7660" w:type="dxa"/>
            <w:vAlign w:val="bottom"/>
            <w:gridSpan w:val="2"/>
          </w:tcPr>
          <w:p>
            <w:pPr>
              <w:ind w:left="3060"/>
              <w:spacing w:after="0"/>
              <w:rPr>
                <w:sz w:val="20"/>
                <w:szCs w:val="20"/>
                <w:color w:val="auto"/>
              </w:rPr>
            </w:pPr>
            <w:r>
              <w:rPr>
                <w:rFonts w:ascii="Times New Roman" w:cs="Times New Roman" w:eastAsia="Times New Roman" w:hAnsi="Times New Roman"/>
                <w:sz w:val="18"/>
                <w:szCs w:val="18"/>
                <w:i w:val="1"/>
                <w:iCs w:val="1"/>
                <w:color w:val="auto"/>
              </w:rPr>
              <w:t>Exchange Commission for Reporting Corporate</w:t>
            </w: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7660" w:type="dxa"/>
            <w:vAlign w:val="bottom"/>
            <w:gridSpan w:val="2"/>
          </w:tcPr>
          <w:p>
            <w:pPr>
              <w:ind w:left="3060"/>
              <w:spacing w:after="0"/>
              <w:rPr>
                <w:sz w:val="20"/>
                <w:szCs w:val="20"/>
                <w:color w:val="auto"/>
              </w:rPr>
            </w:pPr>
            <w:r>
              <w:rPr>
                <w:rFonts w:ascii="Times New Roman" w:cs="Times New Roman" w:eastAsia="Times New Roman" w:hAnsi="Times New Roman"/>
                <w:sz w:val="18"/>
                <w:szCs w:val="18"/>
                <w:i w:val="1"/>
                <w:iCs w:val="1"/>
                <w:color w:val="auto"/>
              </w:rPr>
              <w:t>Reserves and Future Net Revenue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you have requested, this report was completed on January 10, 2025 for the purpose of submitting our estimates of proved reserves and forecasts of economics attributable to the </w:t>
      </w:r>
      <w:r>
        <w:rPr>
          <w:rFonts w:ascii="Times New Roman" w:cs="Times New Roman" w:eastAsia="Times New Roman" w:hAnsi="Times New Roman"/>
          <w:sz w:val="18"/>
          <w:szCs w:val="18"/>
          <w:i w:val="1"/>
          <w:iCs w:val="1"/>
          <w:color w:val="auto"/>
        </w:rPr>
        <w:t>HighPeak Energy, Inc.</w:t>
      </w:r>
      <w:r>
        <w:rPr>
          <w:rFonts w:ascii="Times New Roman" w:cs="Times New Roman" w:eastAsia="Times New Roman" w:hAnsi="Times New Roman"/>
          <w:sz w:val="18"/>
          <w:szCs w:val="18"/>
          <w:color w:val="auto"/>
        </w:rPr>
        <w:t xml:space="preserve"> (“HighPeak”) interests and for inclusion as an exhibit in a filing made with the U.S. Securities and Exchange Commission (“SEC”). This report includes 100% of HighPeak’s proved reserves, which are made up of oil and gas properties in Borden, Glasscock, Howard, Martin, Mitchell, and Scurry Counties, Texas. This report utilized an effective date of December 31, 2024 and was prepared in accordance with the disclosure requirements set forth in SEC regulations. This evaluation was prepared using constant prices and costs, and conforms to Item 1202(a)(8) of Regulation S-K and other rules of the SEC. The results of this evaluation are presented below in a composite summary by reserve category: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Proved</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Proved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Developed</w:t>
            </w:r>
          </w:p>
        </w:tc>
        <w:tc>
          <w:tcPr>
            <w:tcW w:w="120" w:type="dxa"/>
            <w:vAlign w:val="bottom"/>
          </w:tcPr>
          <w:p>
            <w:pPr>
              <w:spacing w:after="0"/>
              <w:rPr>
                <w:sz w:val="19"/>
                <w:szCs w:val="19"/>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Developed</w:t>
            </w:r>
          </w:p>
        </w:tc>
        <w:tc>
          <w:tcPr>
            <w:tcW w:w="100" w:type="dxa"/>
            <w:vAlign w:val="bottom"/>
          </w:tcPr>
          <w:p>
            <w:pPr>
              <w:spacing w:after="0"/>
              <w:rPr>
                <w:sz w:val="19"/>
                <w:szCs w:val="19"/>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Proved</w:t>
            </w:r>
          </w:p>
        </w:tc>
        <w:tc>
          <w:tcPr>
            <w:tcW w:w="100" w:type="dxa"/>
            <w:vAlign w:val="bottom"/>
          </w:tcPr>
          <w:p>
            <w:pPr>
              <w:spacing w:after="0"/>
              <w:rPr>
                <w:sz w:val="19"/>
                <w:szCs w:val="19"/>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Proved</w:t>
            </w:r>
          </w:p>
        </w:tc>
        <w:tc>
          <w:tcPr>
            <w:tcW w:w="100" w:type="dxa"/>
            <w:vAlign w:val="bottom"/>
          </w:tcPr>
          <w:p>
            <w:pPr>
              <w:spacing w:after="0"/>
              <w:rPr>
                <w:sz w:val="19"/>
                <w:szCs w:val="19"/>
                <w:color w:val="auto"/>
              </w:rPr>
            </w:pP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Producing</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Non-Producing</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Developed</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Undeveloped</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Proved</w:t>
            </w:r>
          </w:p>
        </w:tc>
      </w:tr>
      <w:tr>
        <w:trPr>
          <w:trHeight w:val="20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Reserves</w:t>
            </w:r>
          </w:p>
        </w:tc>
        <w:tc>
          <w:tcPr>
            <w:tcW w:w="9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Mbbl</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59,393.7</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6,238.6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65,632.3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69,638.8</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135,271.1</w:t>
            </w:r>
          </w:p>
        </w:tc>
      </w:tr>
      <w:tr>
        <w:trPr>
          <w:trHeight w:val="216"/>
        </w:trPr>
        <w:tc>
          <w:tcPr>
            <w:tcW w:w="2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Gas</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MMcf</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112,734.0</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5,667.6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118,401.6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59,252.2</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177,653.9</w:t>
            </w:r>
          </w:p>
        </w:tc>
      </w:tr>
      <w:tr>
        <w:trPr>
          <w:trHeight w:val="216"/>
        </w:trPr>
        <w:tc>
          <w:tcPr>
            <w:tcW w:w="2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NGL</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Mbbl</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21,708.8</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1,044.3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22,753.1</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11,364.5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34,117.5</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2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Oil</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4,488,449.0</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471,512.6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4,959,961.6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5,261,097.0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10,221,058.0</w:t>
            </w:r>
          </w:p>
        </w:tc>
      </w:tr>
      <w:tr>
        <w:trPr>
          <w:trHeight w:val="216"/>
        </w:trPr>
        <w:tc>
          <w:tcPr>
            <w:tcW w:w="2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Gas</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14,420.5</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13,530.9</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-699.3</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12,831.7</w:t>
            </w:r>
          </w:p>
        </w:tc>
      </w:tr>
      <w:tr>
        <w:trPr>
          <w:trHeight w:val="216"/>
        </w:trPr>
        <w:tc>
          <w:tcPr>
            <w:tcW w:w="2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NGL</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448,587.4</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21,893.6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470,481.0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229,799.3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700,280.3</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Taxes</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241,194.2</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23,264.9</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264,459.1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259,192.9</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523,652.1</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33,913.9</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3,378.6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37,292.5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37,663.2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74,955.7</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1,360,178.4</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93,653.7</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1,453,832.3</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1,187,673.6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2,641,505.8</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Abandonment Costs</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21,775.7</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1,147.3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22,923.1</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13,134.7</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36,057.8</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Development Costs</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61,157.1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61,157.1</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1,437,540.6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1,498,697.6</w:t>
            </w: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Operating Income</w:t>
            </w: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(BFIT)</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3,294,393.1</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309,915.0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3,604,308.7</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2,554,992.4</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6,159,302.7</w:t>
            </w:r>
          </w:p>
        </w:tc>
      </w:tr>
      <w:tr>
        <w:trPr>
          <w:trHeight w:val="216"/>
        </w:trPr>
        <w:tc>
          <w:tcPr>
            <w:tcW w:w="2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Discounted @ 10%</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M$</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2,094,565.6</w:t>
            </w:r>
          </w:p>
        </w:tc>
        <w:tc>
          <w:tcPr>
            <w:tcW w:w="1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197,649.2</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2,292,214.3</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1,094,860.4</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3,387,074.3</w:t>
            </w:r>
          </w:p>
        </w:tc>
      </w:tr>
      <w:tr>
        <w:trPr>
          <w:trHeight w:val="574"/>
        </w:trPr>
        <w:tc>
          <w:tcPr>
            <w:tcW w:w="2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Future revenue is prior to deducting state production taxes and ad valorem taxes. Future net cash flow (Net Operating Income – BFIT) is after deducting these taxes, future production costs and future development costs, but before consideration of federal income taxes. In accordance with SEC guidelines, the future net cash flow has been discounted at an annual rate of ten percent to determine its “present worth”. The present worth is shown to indicate the effect of time on the value of money and should not be construed as being the fair market value of the reserves by Cawley, Gillespie &amp; Associates, Inc. (“CG&amp;A”).</w:t>
      </w:r>
    </w:p>
    <w:p>
      <w:pPr>
        <w:spacing w:after="0" w:line="183"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The oil reserves include oil and condensate. Oil and natural gas liquid (NGL) volumes are expressed in barrels (42 U.S. gallons). Gas volumes are expressed in thousands of standard cubic feet (Mcf) at contract temperature and pressure base.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Hydrocarbon Pricing</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requested for SEC purposes, the base oil and gas prices calculated for December 31, 2024 were $75.48/BBL and $2.130/MMBTU, respectively. As specified by the SEC, a company must use a 12-month average price, calculated as the unweighted arithmetic average of the first-day-of-the-month price for each month within the 12-month period prior to the end of the reporting period. The base oil price is based upon WTI-Cushing spot prices (EIA) during January 2024 through December 2024 and the base gas price is based upon Henry Hub spot prices (Platts Gas Daily) during January 2024 through December 2024. NGL prices were adjusted on a per-property basis and averaged 27.2% of the oil price on a composite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base prices were adjusted for differentials on a per-property basis, which may include local basis differential, treating cost, transportation, gas shrinkage, gas heating value (BTU content) and/or crude quality and gravity corrections. After these adjustments, the net realized prices for the SEC price case over the life of the proved properties was estimated to be $75.56 per barrel for oil, $0.07 per MCF for natural gas and $20.53 per barrel for NGL. Economic factors were held constant in accordance with SEC guidelines.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Development Costs, Expenses and Taxes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Capital expenditures (Future Development Costs), lease operating expenses (Future Production Costs) and ad valorem tax values were forecast as provided by your office. As you explained, the capital costs were based on the most current estimates, lease operating expenses were based on the analysis of historical expenses, Operating expenses include water disposal costs which are based on historic costs. Severance tax rates were applied at normal state percentages of oil, gas and NGL revenue. The commercial parameters provided by HighPeak were reviewed for completeness and were found to be reasonable. Capital costs and lease operating expenses were held constant in accordance with SEC guidelines.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 Conformance and Regulations</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reserve classifications and the economic considerations used herein conform to the criteria of the SEC as defined in pages 7 and 8 of this report letter. The reserves and economics are predicated on regulatory agency classifications, rules, policies, laws, taxes and royalties currently in effect except as noted herein. Federal, state, and local laws and regulations, which are currently in effect and that govern the development and production of oil and natural gas, have been considered in the evaluation of proved reserves for this report. The possible effects of changes in legislation or other Federal or State restrictive actions which could affect the reserves and economics have not been considered. These possible changes could have an effect on the reserves and economics. However, we do not anticipate nor are we aware of any legislative changes or restrictive regulatory actions that may impact the recovery of reserves.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evaluation includes 18 “drilled but uncompleted” wells anticipated to begin production by June 2025 and 222 proved undeveloped locations, all of which are commercial using required SEC pricing. Each of these commercial drilling locations proposed as part of HighPeak’s development plans conforms to the proved undeveloped standards as set forth by the SEC. In our opinion, HighPeak has indicated it has every intent to complete this development plan as scheduled. Furthermore, HighPeak has demonstrated that it has adequate company staffing, financial backing and prior development success to ensure this development plan will be fully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Reserve Estimation Methods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methods employed in estimating reserves are described on page 6 of this report letter. 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Non-producing reserve estimates, for both developed and undeveloped properties, were forecast using either volumetric or analogy methods, or a combination of both. These methods provide a relatively high degree of accuracy for predicting proved developed non-producing and proved undeveloped reserves. The assumptions, data, methods and procedures used herein are appropriate for the purpose served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on-site field inspection of the properties has not been performed nor has the mechanical operation or condition of the wells and their related facilities been examined, nor have the wells been tested by Cawley, Gillespie &amp; Associates, Inc. Possible environmental liability related to the properties has not been investigated nor considered. However, the net cost of plugging and the salvage value of equipment at abandonment have been included herein for commercial wells.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reserve estimates and forecasts were based upon interpretations of data furnished by your office and available from our files. Ownership information and economic factors such as liquid and gas prices, price differentials and expenses was furnished by your office. To some extent, information from public records was used to check and/or supplement these data. The basic engineering and geological data were utilized subject to third party reservations and qualifications. Nothing has come to our attention, however, that would cause us to believe that we are not justified in relying on such data. All estimates represent our best judgment based on the data available at the time of preparation. Due to inherent uncertainties in future production rates, commodity prices and geologic conditions, it should be realized that the reserve estimates, the reserves actually recovered, the revenue derived therefrom and the actual cost incurred could be more or less than the estimated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 of Texas Licensed Professional Engineer (License #83462), with Professional Qualifications noted on the next page. We do not own an interest in the properties or </w:t>
      </w:r>
      <w:r>
        <w:rPr>
          <w:rFonts w:ascii="Times New Roman" w:cs="Times New Roman" w:eastAsia="Times New Roman" w:hAnsi="Times New Roman"/>
          <w:sz w:val="18"/>
          <w:szCs w:val="18"/>
          <w:i w:val="1"/>
          <w:iCs w:val="1"/>
          <w:color w:val="auto"/>
        </w:rPr>
        <w:t>HighPeak Energy, Inc.</w:t>
      </w:r>
      <w:r>
        <w:rPr>
          <w:rFonts w:ascii="Times New Roman" w:cs="Times New Roman" w:eastAsia="Times New Roman" w:hAnsi="Times New Roman"/>
          <w:sz w:val="18"/>
          <w:szCs w:val="18"/>
          <w:color w:val="auto"/>
        </w:rPr>
        <w:t xml:space="preserve">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spacing w:after="0" w:line="19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CAWLEY, GILLESPIE &amp; ASSOCIATES, INC.</w:t>
      </w:r>
    </w:p>
    <w:p>
      <w:pPr>
        <w:spacing w:after="0" w:line="3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Texas Registered Engineering Firm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417195</wp:posOffset>
            </wp:positionV>
            <wp:extent cx="1139825" cy="11315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113982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u w:val="single" w:color="auto"/>
          <w:color w:val="auto"/>
        </w:rPr>
        <w:t>/S/ W. TODD BROOKER</w:t>
      </w:r>
    </w:p>
    <w:p>
      <w:pPr>
        <w:spacing w:after="0" w:line="27"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W. TODD BROOKER, P.E.</w:t>
      </w:r>
    </w:p>
    <w:p>
      <w:pPr>
        <w:spacing w:after="0" w:line="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502920</wp:posOffset>
            </wp:positionV>
            <wp:extent cx="1191260" cy="1157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11912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u w:val="single" w:color="auto"/>
          <w:color w:val="auto"/>
        </w:rPr>
        <w:t>/S/ ROBERT P. BERGERON</w:t>
      </w:r>
    </w:p>
    <w:p>
      <w:pPr>
        <w:spacing w:after="0" w:line="27"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ROBERT P. BERGERON,</w:t>
      </w:r>
    </w:p>
    <w:p>
      <w:pPr>
        <w:spacing w:after="0" w:line="9"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JR., P.E.</w:t>
      </w:r>
    </w:p>
    <w:p>
      <w:pPr>
        <w:spacing w:after="0" w:line="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451485</wp:posOffset>
            </wp:positionV>
            <wp:extent cx="1114425" cy="11398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111442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u w:val="single" w:color="auto"/>
          <w:color w:val="auto"/>
        </w:rPr>
        <w:t>/S/ NICHOLAS J. LONCAR</w:t>
      </w:r>
    </w:p>
    <w:p>
      <w:pPr>
        <w:spacing w:after="0" w:line="27"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NICHOLAS J. LONCAR, P.E.</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RESERVOIR ENGINEER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Professional Qualifications of W. Todd Brooker, P.E.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Primary Technical Person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summarized by this report was conducted by a proficient team of geologists and reservoir engineers who integrate geological, geophysical, engineering and economic data to produce high quality reserve estimates and economic forecasts. This report was supervised by Todd Brooker, President of Cawley, Gillespie &amp; Associates, Inc. (CG&amp;A).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joining CG&amp;A, Mr. Brooker worked in Gulf of Mexico drilling and production engineering at Chevron USA. Mr. Brooker has been an employee of CG&amp;A since 1992 and became President in 2017. His responsibilities include reserve and economic evaluations, fair market valuations, expert reporting and testimony, field/reservoir studies, pipeline resource assessments, field development planning and acquisition/divestiture analysis. His reserve reports are routinely used for public company U.S. Securities and Exchange Commission (SEC) disclosures. His experience includes significant projects in both conventional and unconventional resources in every major U.S. producing basin and abroad, including oil and gas shale plays, coalbed methane fields, waterfloods and complex, faulted structures.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Brooker graduated with honors from the University of Texas at Austin in 1989 with a Bachelor of Science degree in Petroleum Engineering. He is a registered Professional Engineer in the State of Texas (License #83462), and a member of the Society of Petroleum Engineers (SPE) and the Society of Petroleum Evaluation Engineers (SPEE).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his educational background, professional training and more than 30 years of experience, Mr. Brooker and CG&amp;A continue to deliver independent, professional, ethical and reliable engineering and geological services to the petroleum industry.</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CAWLEY, GILLESPIE &amp; ASSOCIATES,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Texas Registered Engineering Firm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Methods Employed in the Estimation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four methods customarily employed in the estimation of reserves are (1) </w:t>
      </w: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xml:space="preserve"> and (4) </w:t>
      </w: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Most estimates, although based primarily on one method, utilize other methods depending on the nature and extent of the data available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of the reservoirs.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Basic information includes production, pressure, geological and laboratory data. However, a large variation exists in the quality, quantity and types of information available on individual properties. Operators are generally required by regulatory authorities to file monthly production reports and </w:t>
      </w:r>
      <w:r>
        <w:rPr>
          <w:rFonts w:ascii="Times New Roman" w:cs="Times New Roman" w:eastAsia="Times New Roman" w:hAnsi="Times New Roman"/>
          <w:sz w:val="18"/>
          <w:szCs w:val="18"/>
          <w:u w:val="single" w:color="auto"/>
          <w:color w:val="auto"/>
        </w:rPr>
        <w:t>may</w:t>
      </w:r>
      <w:r>
        <w:rPr>
          <w:rFonts w:ascii="Times New Roman" w:cs="Times New Roman" w:eastAsia="Times New Roman" w:hAnsi="Times New Roman"/>
          <w:sz w:val="18"/>
          <w:szCs w:val="18"/>
          <w:color w:val="auto"/>
        </w:rPr>
        <w:t xml:space="preserve"> be required to measure and report periodically such data as well pressures, gas-oil ratios, well tests, etc. As a general rule, an operator has complete discretion in obtaining and/or making available geological and engineering data. The resulting lack of uniformity in data renders impossible the application of identical methods to all properties, and may result in significant differences in the accuracy and reliability of estimates.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brief discussion of each method, its basis, data requirements, applicability and generalization as to its relative degree of accuracy follows: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This method employs graphical analyses of production data on the premise that all factors which have controlled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to date will continue to control and that historical trends can be extrapolated to predict future performance. The only information required is production history. Capacity production can usually be analyzed from graphs of rates versus time or cumulative production. This procedure is referred to as "decline curve" analysis. Both capacity and restricted production can, in some cases, be analyzed from graphs of producing rate relationships of the various production components. Reserve estimates obtained by this method are generally considered to have a relatively high degree of accuracy with the degree of accuracy increasing as production history accumulates.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This method employs the analysis of the relationship of production and pressure performance on the premise that the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its initial hydrocarbon content are fixed and that this initial hydrocarbon volume and recoveries therefrom can be estimated by analyzing changes in pressure with respect to production relationships. This method requires reliable pressure and temperature data, production data, fluid analyses and knowledge of the nature of the reservoir. The material balance method is applicable to all reservoirs, but the time and expense required for its use is dependent on the nature of the reservoir and its fluids. Reserves for depletion type reservoirs can be estimated from graphs of pressures corrected for compressibility versus cumulative production, requiring only data that are usually available. Estimates for other reservoir types require extensive data and involve complex calculations most suited to computer models which makes this method generally applicable only to reservoirs where there is economic justification for its use. Reserve estimates obtained by this method are generally considered to have a degree of accuracy that is directly related to the complexity of the reservoir and the quality and quantity of data available.</w:t>
      </w:r>
    </w:p>
    <w:p>
      <w:pPr>
        <w:spacing w:after="0" w:line="188"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This method employs analyses of physical measurements of rock and fluid properties to calculate the volume of hydrocarbons in-place. The data required are well information sufficient to determine reservoir subsurface datum, thickness, storage volume, fluid content and location. The volumetric meth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od is most applicable to reservoirs which are not susceptible to analysis by production performance or material balance methods. These are most commonly newly developed and/or no-pressure depleting reservoirs. The amount of hydrocarbons in-place that can be recovered is not an integral part of the volumetric calculations but is an estimate inferred by other methods and a knowledge of the nature of the reservoir. Reserve estimates obtained by this method are generally considered to have a low degree of accuracy; but the degree of accuracy can be relatively high where rock quality and subsurface control is good and the nature of the reservoir is uncomplicated.</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This method, which employs experience and judgment to estimate reserves, is based on observations of similar situations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theoretical performance. The analogy method is a common approach used for “resource plays,” where an abundance of wells with similar production profiles facilitates the reliable estimation of future reserves with a relatively high degree of accuracy. The analogy method may also be applicable where the data are insufficient or so inconclusive that reliable reserve estimates cannot be made by other methods. Reserve estimates obtained in this manner are generally considered to have a relatively low degree of accuracy.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Much of the information used in the estimation of reserves is itself arrived at by the use of estimates. These estimates are subject to continuing change as additional information becomes available. Reserve estimates which presently appear to be correct may be found to contain substantial errors as time passes and new information is obtained about well and reservoir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43"/>
          <w:szCs w:val="43"/>
          <w:b w:val="1"/>
          <w:bCs w:val="1"/>
          <w:color w:val="auto"/>
        </w:rPr>
        <w:t>APPENDIX</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 Definitions and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84" w:lineRule="exact"/>
        <w:rPr>
          <w:sz w:val="20"/>
          <w:szCs w:val="20"/>
          <w:color w:val="auto"/>
        </w:rPr>
      </w:pPr>
    </w:p>
    <w:p>
      <w:pPr>
        <w:jc w:val="both"/>
        <w:ind w:right="20" w:firstLine="486"/>
        <w:spacing w:after="0" w:line="245" w:lineRule="exact"/>
        <w:rPr>
          <w:sz w:val="20"/>
          <w:szCs w:val="20"/>
          <w:color w:val="auto"/>
        </w:rPr>
      </w:pPr>
      <w:r>
        <w:rPr>
          <w:rFonts w:ascii="Times New Roman" w:cs="Times New Roman" w:eastAsia="Times New Roman" w:hAnsi="Times New Roman"/>
          <w:sz w:val="18"/>
          <w:szCs w:val="18"/>
          <w:color w:val="auto"/>
        </w:rPr>
        <w:t>The Securities and Exchange Commission, in SX Reg. 210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.4-10 dated November 18, 1981, as amended on September 19, 1989 and January 1, 2010, requires adherence to the following definitions of oil and gas reserves:</w:t>
      </w:r>
    </w:p>
    <w:p>
      <w:pPr>
        <w:spacing w:after="0" w:line="1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Proved oil and gas reserves</w:t>
      </w:r>
      <w:r>
        <w:rPr>
          <w:rFonts w:ascii="Times New Roman" w:cs="Times New Roman" w:eastAsia="Times New Roman" w:hAnsi="Times New Roman"/>
          <w:sz w:val="18"/>
          <w:szCs w:val="18"/>
          <w:color w:val="auto"/>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9"/>
              </w:rPr>
              <w:t>Developed oil and gas reserves</w:t>
            </w:r>
            <w:r>
              <w:rPr>
                <w:rFonts w:ascii="Times New Roman" w:cs="Times New Roman" w:eastAsia="Times New Roman" w:hAnsi="Times New Roman"/>
                <w:sz w:val="18"/>
                <w:szCs w:val="18"/>
                <w:color w:val="auto"/>
                <w:w w:val="99"/>
              </w:rPr>
              <w:t>. Developed oil and gas reserves are reserves of any category that can be expected to be recovered:</w:t>
            </w: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34"/>
        </w:trPr>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24"/>
                <w:szCs w:val="24"/>
                <w:color w:val="auto"/>
              </w:rPr>
            </w:pPr>
          </w:p>
        </w:tc>
        <w:tc>
          <w:tcPr>
            <w:tcW w:w="10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Through existing wells with existing equipment and operating methods or in which the cost of the required equipment is relatively minor</w:t>
            </w:r>
          </w:p>
        </w:tc>
      </w:tr>
      <w:tr>
        <w:trPr>
          <w:trHeight w:val="234"/>
        </w:trPr>
        <w:tc>
          <w:tcPr>
            <w:tcW w:w="11240" w:type="dxa"/>
            <w:vAlign w:val="bottom"/>
            <w:gridSpan w:val="4"/>
          </w:tcPr>
          <w:p>
            <w:pPr>
              <w:jc w:val="right"/>
              <w:ind w:right="8360"/>
              <w:spacing w:after="0"/>
              <w:rPr>
                <w:sz w:val="20"/>
                <w:szCs w:val="20"/>
                <w:color w:val="auto"/>
              </w:rPr>
            </w:pPr>
            <w:r>
              <w:rPr>
                <w:rFonts w:ascii="Times New Roman" w:cs="Times New Roman" w:eastAsia="Times New Roman" w:hAnsi="Times New Roman"/>
                <w:sz w:val="18"/>
                <w:szCs w:val="18"/>
                <w:color w:val="auto"/>
                <w:w w:val="99"/>
              </w:rPr>
              <w:t>compared to the cost of a new well; and</w:t>
            </w:r>
          </w:p>
        </w:tc>
      </w:tr>
      <w:tr>
        <w:trPr>
          <w:trHeight w:val="432"/>
        </w:trPr>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w:t>
            </w:r>
          </w:p>
        </w:tc>
        <w:tc>
          <w:tcPr>
            <w:tcW w:w="120" w:type="dxa"/>
            <w:vAlign w:val="bottom"/>
          </w:tcPr>
          <w:p>
            <w:pPr>
              <w:spacing w:after="0"/>
              <w:rPr>
                <w:sz w:val="24"/>
                <w:szCs w:val="24"/>
                <w:color w:val="auto"/>
              </w:rPr>
            </w:pPr>
          </w:p>
        </w:tc>
        <w:tc>
          <w:tcPr>
            <w:tcW w:w="10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Through installed extraction equipment and infrastructure operational at the time of the reserves estimate if the extraction is by means</w:t>
            </w:r>
          </w:p>
        </w:tc>
      </w:tr>
    </w:tbl>
    <w:p>
      <w:pPr>
        <w:spacing w:after="0"/>
        <w:rPr>
          <w:sz w:val="20"/>
          <w:szCs w:val="20"/>
          <w:color w:val="auto"/>
        </w:rPr>
      </w:pPr>
      <w:r>
        <w:rPr>
          <w:rFonts w:ascii="Times New Roman" w:cs="Times New Roman" w:eastAsia="Times New Roman" w:hAnsi="Times New Roman"/>
          <w:sz w:val="18"/>
          <w:szCs w:val="18"/>
          <w:color w:val="auto"/>
        </w:rPr>
        <w:t>not involving a well.</w:t>
      </w:r>
    </w:p>
    <w:p>
      <w:pPr>
        <w:spacing w:after="0" w:line="20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Undeveloped oil and gas reserves</w:t>
      </w:r>
      <w:r>
        <w:rPr>
          <w:rFonts w:ascii="Times New Roman" w:cs="Times New Roman" w:eastAsia="Times New Roman" w:hAnsi="Times New Roman"/>
          <w:sz w:val="18"/>
          <w:szCs w:val="18"/>
          <w:color w:val="auto"/>
        </w:rPr>
        <w:t>. Undeveloped oil and gas reserves are reserves of any category that are expected to be recovered from new wells on undrilled acreage, or from existing wells where a relatively major expenditure is required for recompletion.</w:t>
      </w:r>
    </w:p>
    <w:p>
      <w:pPr>
        <w:spacing w:after="0" w:line="15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3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“(ii) Undrilled locations can be classified as having undeveloped reserves only if a development plan has been adopted indicating that they are scheduled to be drilled within five years, unless the specific circumstances, justify a longer time.</w:t>
      </w:r>
    </w:p>
    <w:p>
      <w:pPr>
        <w:spacing w:after="0" w:line="162"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Under no circumstances shall estimates for undeveloped reserves be attributable to any acreage for which an application of fluid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50" w:name="page151"/>
    <w:bookmarkEnd w:id="150"/>
    <w:p>
      <w:pPr>
        <w:jc w:val="both"/>
        <w:ind w:right="20" w:firstLine="486"/>
        <w:spacing w:after="0" w:line="28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Probable reserves</w:t>
      </w:r>
      <w:r>
        <w:rPr>
          <w:rFonts w:ascii="Times New Roman" w:cs="Times New Roman" w:eastAsia="Times New Roman" w:hAnsi="Times New Roman"/>
          <w:sz w:val="18"/>
          <w:szCs w:val="18"/>
          <w:color w:val="auto"/>
        </w:rPr>
        <w:t>. Probable reserves are those additional reserves that are less certain to be recovered than proved reserves but which, together with proved reserves, are as likely as not to be recovered.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“(iii)</w:t>
            </w:r>
          </w:p>
        </w:tc>
        <w:tc>
          <w:tcPr>
            <w:tcW w:w="9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Probable reserves estimates also include potential incremental quantities associated with a greater percentage recovery of the</w:t>
            </w:r>
          </w:p>
        </w:tc>
      </w:tr>
      <w:tr>
        <w:trPr>
          <w:trHeight w:val="234"/>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hydrocarbons in place than assumed for proved reserves.</w:t>
            </w:r>
          </w:p>
        </w:tc>
      </w:tr>
      <w:tr>
        <w:trPr>
          <w:trHeight w:val="432"/>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“(iv)</w:t>
            </w:r>
          </w:p>
        </w:tc>
        <w:tc>
          <w:tcPr>
            <w:tcW w:w="9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See also guidelines in paragraphs (17)(iv) and (17)(vi) of this section (below).</w:t>
            </w:r>
          </w:p>
        </w:tc>
      </w:tr>
      <w:tr>
        <w:trPr>
          <w:trHeight w:val="391"/>
        </w:trPr>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"(17)</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Possible reserves</w:t>
            </w:r>
            <w:r>
              <w:rPr>
                <w:rFonts w:ascii="Times New Roman" w:cs="Times New Roman" w:eastAsia="Times New Roman" w:hAnsi="Times New Roman"/>
                <w:sz w:val="18"/>
                <w:szCs w:val="18"/>
                <w:color w:val="auto"/>
              </w:rPr>
              <w:t>. Possible reserves are those additional reserves that are less certain to be recovered than probable reserves.</w:t>
            </w:r>
          </w:p>
        </w:tc>
      </w:tr>
      <w:tr>
        <w:trPr>
          <w:trHeight w:val="20"/>
        </w:trPr>
        <w:tc>
          <w:tcPr>
            <w:tcW w:w="1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453"/>
        </w:trPr>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9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When deterministic methods are used, the total quantities ultimately recovered from a project have a low probability of exceeding proved</w:t>
            </w:r>
          </w:p>
        </w:tc>
      </w:tr>
    </w:tbl>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Possible reserves also include incremental quantities associated with a greater percentage recovery of the hydrocarbons in place than the recovery quantities assumed for probable reserves.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The proved plus probable and proved plus probable plus possible reserves estimates must be based on reasonable alternative technical</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and commercial interpretations within the reservoir or subject project that are clearly documented, including comparisons to results in successful similar projects.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 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 w:cs="Times New Roman" w:eastAsia="Times New Roman" w:hAnsi="Times New Roman"/>
          <w:sz w:val="18"/>
          <w:szCs w:val="18"/>
          <w:i w:val="1"/>
          <w:iCs w:val="1"/>
          <w:color w:val="auto"/>
        </w:rPr>
        <w:t>permitted, but not required</w:t>
      </w:r>
      <w:r>
        <w:rPr>
          <w:rFonts w:ascii="Times New Roman" w:cs="Times New Roman" w:eastAsia="Times New Roman" w:hAnsi="Times New Roman"/>
          <w:sz w:val="18"/>
          <w:szCs w:val="18"/>
          <w:color w:val="auto"/>
        </w:rPr>
        <w:t>, to disclose probable or possible reserves pursuant to paragraphs (a)(2)(iv) through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(2)(vii) of this Item.”</w:t>
      </w:r>
    </w:p>
    <w:p>
      <w:pPr>
        <w:spacing w:after="0" w:line="203"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Reserves</w:t>
      </w:r>
      <w:r>
        <w:rPr>
          <w:rFonts w:ascii="Times New Roman" w:cs="Times New Roman" w:eastAsia="Times New Roman" w:hAnsi="Times New Roman"/>
          <w:sz w:val="18"/>
          <w:szCs w:val="18"/>
          <w:color w:val="auto"/>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“Note to paragraph (26)</w:t>
      </w:r>
      <w:r>
        <w:rPr>
          <w:rFonts w:ascii="Times New Roman" w:cs="Times New Roman" w:eastAsia="Times New Roman" w:hAnsi="Times New Roman"/>
          <w:sz w:val="18"/>
          <w:szCs w:val="18"/>
          <w:color w:val="auto"/>
        </w:rPr>
        <w:t>: Reserves should not be assigned to adjacent reservoirs isolated by major, potentially sealing, faults until those reservoirs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lvl w:ilvl="1">
      <w:lvlJc w:val="left"/>
      <w:lvlText w:val="(%2)"/>
      <w:numFmt w:val="lowerRoman"/>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3"/>
    </w:lvl>
  </w:abstractNum>
  <w:abstractNum w:abstractNumId="15">
    <w:nsid w:val="38437FDB"/>
    <w:multiLevelType w:val="hybridMultilevel"/>
    <w:lvl w:ilvl="0">
      <w:lvlJc w:val="left"/>
      <w:lvlText w:val="%1"/>
      <w:numFmt w:val="upperLetter"/>
      <w:start w:val="6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2"/>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lowerRoman"/>
      <w:start w:val="4"/>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2"/>
    </w:lvl>
  </w:abstractNum>
  <w:abstractNum w:abstractNumId="42">
    <w:nsid w:val="10233C99"/>
    <w:multiLevelType w:val="hybridMultilevel"/>
    <w:lvl w:ilvl="0">
      <w:lvlJc w:val="left"/>
      <w:lvlText w:val="(%1)"/>
      <w:numFmt w:val="lowerRoman"/>
      <w:start w:val="1"/>
    </w:lvl>
  </w:abstractNum>
  <w:abstractNum w:abstractNumId="43">
    <w:nsid w:val="3F6AB60F"/>
    <w:multiLevelType w:val="hybridMultilevel"/>
    <w:lvl w:ilvl="0">
      <w:lvlJc w:val="left"/>
      <w:lvlText w:val="•"/>
      <w:numFmt w:val="bullet"/>
      <w:start w:val="1"/>
    </w:lvl>
    <w:lvl w:ilvl="1">
      <w:lvlJc w:val="left"/>
      <w:lvlText w:val="•"/>
      <w:numFmt w:val="bullet"/>
      <w:start w:val="1"/>
    </w:lvl>
  </w:abstractNum>
  <w:abstractNum w:abstractNumId="44">
    <w:nsid w:val="61574095"/>
    <w:multiLevelType w:val="hybridMultilevel"/>
    <w:lvl w:ilvl="0">
      <w:lvlJc w:val="left"/>
      <w:lvlText w:val="•"/>
      <w:numFmt w:val="bullet"/>
      <w:start w:val="1"/>
    </w:lvl>
    <w:lvl w:ilvl="1">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lvl w:ilvl="1">
      <w:lvlJc w:val="left"/>
      <w:lvlText w:val="(%2)"/>
      <w:numFmt w:val="lowerRoman"/>
      <w:start w:val="3"/>
    </w:lvl>
  </w:abstractNum>
  <w:abstractNum w:abstractNumId="47">
    <w:nsid w:val="579BE4F1"/>
    <w:multiLevelType w:val="hybridMultilevel"/>
    <w:lvl w:ilvl="0">
      <w:lvlJc w:val="left"/>
      <w:lvlText w:val="•"/>
      <w:numFmt w:val="bullet"/>
      <w:start w:val="1"/>
    </w:lvl>
    <w:lvl w:ilvl="1">
      <w:lvlJc w:val="left"/>
      <w:lvlText w:val="(%2)"/>
      <w:numFmt w:val="lowerRoman"/>
      <w:start w:val="4"/>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lowerRoman"/>
      <w:start w:val="4"/>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Roman"/>
      <w:start w:val="4"/>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Roman"/>
      <w:start w:val="3"/>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upperLetter"/>
      <w:start w:val="3"/>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1"/>
      <w:numFmt w:val="upperLetter"/>
      <w:start w:val="1"/>
    </w:lvl>
    <w:lvl w:ilvl="1">
      <w:lvlJc w:val="left"/>
      <w:lvlText w:val="%2."/>
      <w:numFmt w:val="decimal"/>
      <w:start w:val="5"/>
    </w:lvl>
  </w:abstractNum>
  <w:abstractNum w:abstractNumId="69">
    <w:nsid w:val="540A471C"/>
    <w:multiLevelType w:val="hybridMultilevel"/>
    <w:lvl w:ilvl="0">
      <w:lvlJc w:val="left"/>
      <w:lvlText w:val="%1."/>
      <w:numFmt w:val="upperLetter"/>
      <w:start w:val="5"/>
    </w:lvl>
    <w:lvl w:ilvl="1">
      <w:lvlJc w:val="left"/>
      <w:lvlText w:val="%2"/>
      <w:numFmt w:val="decimal"/>
      <w:start w:val="1"/>
    </w:lvl>
  </w:abstractNum>
  <w:abstractNum w:abstractNumId="70">
    <w:nsid w:val="7BD3EE7B"/>
    <w:multiLevelType w:val="hybridMultilevel"/>
    <w:lvl w:ilvl="0">
      <w:lvlJc w:val="left"/>
      <w:lvlText w:val="%1."/>
      <w:numFmt w:val="decimal"/>
      <w:start w:val="1"/>
    </w:lvl>
    <w:lvl w:ilvl="1">
      <w:lvlJc w:val="left"/>
      <w:lvlText w:val="(%2)"/>
      <w:numFmt w:val="lowerLetter"/>
      <w:start w:val="1"/>
    </w:lvl>
  </w:abstractNum>
  <w:abstractNum w:abstractNumId="71">
    <w:nsid w:val="51D9C564"/>
    <w:multiLevelType w:val="hybridMultilevel"/>
    <w:lvl w:ilvl="0">
      <w:lvlJc w:val="left"/>
      <w:lvlText w:val="%1"/>
      <w:numFmt w:val="upperLetter"/>
      <w:start w:val="1"/>
    </w:lvl>
    <w:lvl w:ilvl="1">
      <w:lvlJc w:val="left"/>
      <w:lvlText w:val="%2."/>
      <w:numFmt w:val="decimal"/>
      <w:start w:val="4"/>
    </w:lvl>
  </w:abstractNum>
  <w:abstractNum w:abstractNumId="72">
    <w:nsid w:val="613EFDC5"/>
    <w:multiLevelType w:val="hybridMultilevel"/>
    <w:lvl w:ilvl="0">
      <w:lvlJc w:val="left"/>
      <w:lvlText w:val="%1."/>
      <w:numFmt w:val="upperLetter"/>
      <w:start w:val="7"/>
    </w:lvl>
    <w:lvl w:ilvl="1">
      <w:lvlJc w:val="left"/>
      <w:lvlText w:val="%2"/>
      <w:numFmt w:val="decimal"/>
      <w:start w:val="1"/>
    </w:lvl>
  </w:abstractNum>
  <w:abstractNum w:abstractNumId="73">
    <w:nsid w:val="BF72B14"/>
    <w:multiLevelType w:val="hybridMultilevel"/>
    <w:lvl w:ilvl="0">
      <w:lvlJc w:val="left"/>
      <w:lvlText w:val="%1."/>
      <w:numFmt w:val="upperLetter"/>
      <w:start w:val="8"/>
    </w:lvl>
  </w:abstractNum>
  <w:abstractNum w:abstractNumId="74">
    <w:nsid w:val="11447B73"/>
    <w:multiLevelType w:val="hybridMultilevel"/>
    <w:lvl w:ilvl="0">
      <w:lvlJc w:val="left"/>
      <w:lvlText w:val="%1."/>
      <w:numFmt w:val="upperLetter"/>
      <w:start w:val="22"/>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jpeg"/><Relationship Id="rId163" Type="http://schemas.openxmlformats.org/officeDocument/2006/relationships/image" Target="media/image129.jpe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jpeg"/><Relationship Id="rId184" Type="http://schemas.openxmlformats.org/officeDocument/2006/relationships/image" Target="media/image150.jpeg"/><Relationship Id="rId185" Type="http://schemas.openxmlformats.org/officeDocument/2006/relationships/image" Target="media/image151.jpe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26" Type="http://schemas.openxmlformats.org/officeDocument/2006/relationships/hyperlink" Target="http://www.sec.gov/Archives/edgar/data/1792849/000143774924006816/ex_619703.htm" TargetMode="External"/><Relationship Id="rId27" Type="http://schemas.openxmlformats.org/officeDocument/2006/relationships/hyperlink" Target="http://www.sec.gov/Archives/edgar/data/1792849/000143774923005522/ex_468183.htm" TargetMode="External"/><Relationship Id="rId84" Type="http://schemas.openxmlformats.org/officeDocument/2006/relationships/hyperlink" Target="http://www.sec.gov/ix?doc=/Archives/edgar/data/1792849/000143774924006816/hpe20231231_10k.htm" TargetMode="External"/><Relationship Id="rId126" Type="http://schemas.openxmlformats.org/officeDocument/2006/relationships/hyperlink" Target="http://www.sec.gov/Archives/edgar/data/1792849/000143774922015749/ex_389480.htm" TargetMode="External"/><Relationship Id="rId127" Type="http://schemas.openxmlformats.org/officeDocument/2006/relationships/hyperlink" Target="http://www.sec.gov/Archives/edgar/data/1792849/000143774922015749/ex_389482.htm" TargetMode="External"/><Relationship Id="rId128" Type="http://schemas.openxmlformats.org/officeDocument/2006/relationships/hyperlink" Target="http://www.sec.gov/Archives/edgar/data/1792849/000143774922016287/ex_390409.htm" TargetMode="External"/><Relationship Id="rId129" Type="http://schemas.openxmlformats.org/officeDocument/2006/relationships/hyperlink" Target="http://www.sec.gov/Archives/edgar/data/1792849/000143774922015749/ex_389481.htm" TargetMode="External"/><Relationship Id="rId130" Type="http://schemas.openxmlformats.org/officeDocument/2006/relationships/hyperlink" Target="http://www.sec.gov/Archives/edgar/data/1792849/000143774923016414/ex_528908.htm" TargetMode="External"/><Relationship Id="rId131" Type="http://schemas.openxmlformats.org/officeDocument/2006/relationships/hyperlink" Target="http://www.sec.gov/Archives/edgar/data/1792849/000143774920023072/ex_212713.htm" TargetMode="External"/><Relationship Id="rId132" Type="http://schemas.openxmlformats.org/officeDocument/2006/relationships/hyperlink" Target="http://www.sec.gov/Archives/edgar/data/1792849/000143774920018850/ex_201560.htm" TargetMode="External"/><Relationship Id="rId133" Type="http://schemas.openxmlformats.org/officeDocument/2006/relationships/hyperlink" Target="http://www.sec.gov/Archives/edgar/data/1792849/000143774920018850/ex_201559.htm" TargetMode="External"/><Relationship Id="rId134" Type="http://schemas.openxmlformats.org/officeDocument/2006/relationships/hyperlink" Target="http://www.sec.gov/Archives/edgar/data/1792849/000143774920018850/ex_201558.htm" TargetMode="External"/><Relationship Id="rId135" Type="http://schemas.openxmlformats.org/officeDocument/2006/relationships/hyperlink" Target="http://www.sec.gov/Archives/edgar/data/1792849/000143774921006064/ex_226993.htm" TargetMode="External"/><Relationship Id="rId136" Type="http://schemas.openxmlformats.org/officeDocument/2006/relationships/hyperlink" Target="http://www.sec.gov/Archives/edgar/data/1792849/000143774922016287/ex_390410.htm" TargetMode="External"/><Relationship Id="rId137" Type="http://schemas.openxmlformats.org/officeDocument/2006/relationships/hyperlink" Target="http://www.sec.gov/Archives/edgar/data/1792849/000143774923005522/ex_478605.htm" TargetMode="External"/><Relationship Id="rId138" Type="http://schemas.openxmlformats.org/officeDocument/2006/relationships/hyperlink" Target="http://www.sec.gov/Archives/edgar/data/1792849/000143774920018850/ex_201563.htm" TargetMode="External"/><Relationship Id="rId139" Type="http://schemas.openxmlformats.org/officeDocument/2006/relationships/hyperlink" Target="http://www.sec.gov/Archives/edgar/data/1792849/000143774920023072/ex_212714.htm" TargetMode="External"/><Relationship Id="rId140" Type="http://schemas.openxmlformats.org/officeDocument/2006/relationships/hyperlink" Target="http://www.sec.gov/Archives/edgar/data/1792849/000143774923025960/ex_569247.htm" TargetMode="External"/><Relationship Id="rId141" Type="http://schemas.openxmlformats.org/officeDocument/2006/relationships/hyperlink" Target="http://www.sec.gov/Archives/edgar/data/1792849/000143774923025960/ex_569248.htm" TargetMode="External"/><Relationship Id="rId142" Type="http://schemas.openxmlformats.org/officeDocument/2006/relationships/hyperlink" Target="http://www.sec.gov/Archives/edgar/data/1792849/000143774923030383/ex_590946.htm" TargetMode="External"/><Relationship Id="rId143" Type="http://schemas.openxmlformats.org/officeDocument/2006/relationships/hyperlink" Target="http://www.sec.gov/Archives/edgar/data/1792849/000143774924010594/ex_649019.htm" TargetMode="External"/><Relationship Id="rId144" Type="http://schemas.openxmlformats.org/officeDocument/2006/relationships/hyperlink" Target="http://www.sec.gov/Archives/edgar/data/1792849/000143774921019137/ex_269205.htm" TargetMode="External"/><Relationship Id="rId145" Type="http://schemas.openxmlformats.org/officeDocument/2006/relationships/hyperlink" Target="http://www.sec.gov/Archives/edgar/data/1792849/000143774920022825/ex_211960.htm" TargetMode="External"/><Relationship Id="rId146" Type="http://schemas.openxmlformats.org/officeDocument/2006/relationships/hyperlink" Target="http://www.sec.gov/Archives/edgar/data/1792849/000143774922005397/ex_343362.htm" TargetMode="External"/><Relationship Id="rId147" Type="http://schemas.openxmlformats.org/officeDocument/2006/relationships/hyperlink" Target="http://www.sec.gov/Archives/edgar/data/1792849/000143774922021260/ex_416290.htm" TargetMode="External"/><Relationship Id="rId148" Type="http://schemas.openxmlformats.org/officeDocument/2006/relationships/hyperlink" Target="http://www.sec.gov/Archives/edgar/data/1792849/000143774924006816/ex_619696.htm" TargetMode="External"/><Relationship Id="rId149" Type="http://schemas.openxmlformats.org/officeDocument/2006/relationships/hyperlink" Target="http://www.sec.gov/Archives/edgar/data/1792849/000143774924006816/ex_6196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2025-03-10T15:41:42Z</dcterms:created>
  <dcterms:modified xsi:type="dcterms:W3CDTF">2025-03-10T15:41:42Z</dcterms:modified>
</cp:coreProperties>
</file>