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40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-5080</wp:posOffset>
            </wp:positionV>
            <wp:extent cx="200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-5080</wp:posOffset>
            </wp:positionV>
            <wp:extent cx="142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451485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459105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462915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72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84-3533602</w:t>
            </w:r>
          </w:p>
        </w:tc>
      </w:tr>
      <w:tr>
        <w:trPr>
          <w:trHeight w:val="216"/>
        </w:trPr>
        <w:tc>
          <w:tcPr>
            <w:tcW w:w="472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47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No.)</w:t>
            </w:r>
          </w:p>
        </w:tc>
      </w:tr>
    </w:tbl>
    <w:p>
      <w:pPr>
        <w:spacing w:after="0" w:line="19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421 W. 3rd St., Suite 1000</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3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vMerge w:val="continue"/>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w:t>
            </w:r>
          </w:p>
        </w:tc>
        <w:tc>
          <w:tcPr>
            <w:tcW w:w="100" w:type="dxa"/>
            <w:vAlign w:val="bottom"/>
            <w:vMerge w:val="continue"/>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w:t>
            </w:r>
          </w:p>
        </w:tc>
        <w:tc>
          <w:tcPr>
            <w:tcW w:w="24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spacing w:after="0"/>
              <w:rPr>
                <w:sz w:val="18"/>
                <w:szCs w:val="18"/>
                <w:color w:val="auto"/>
              </w:rPr>
            </w:pP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filer</w:t>
            </w:r>
          </w:p>
        </w:tc>
        <w:tc>
          <w:tcPr>
            <w:tcW w:w="2480" w:type="dxa"/>
            <w:vAlign w:val="bottom"/>
            <w:vMerge w:val="continue"/>
          </w:tcPr>
          <w:p>
            <w:pPr>
              <w:spacing w:after="0"/>
              <w:rPr>
                <w:sz w:val="18"/>
                <w:szCs w:val="18"/>
                <w:color w:val="auto"/>
              </w:rPr>
            </w:pPr>
          </w:p>
        </w:tc>
        <w:tc>
          <w:tcPr>
            <w:tcW w:w="37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Non-accelerated filer </w:t>
            </w:r>
            <w:r>
              <w:rPr>
                <w:rFonts w:ascii="MS PGothic" w:cs="MS PGothic" w:eastAsia="MS PGothic" w:hAnsi="MS PGothic"/>
                <w:sz w:val="18"/>
                <w:szCs w:val="18"/>
                <w:color w:val="auto"/>
              </w:rPr>
              <w:t>☐</w:t>
            </w:r>
          </w:p>
        </w:tc>
        <w:tc>
          <w:tcPr>
            <w:tcW w:w="37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Smaller reporting</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020" w:type="dxa"/>
            <w:vAlign w:val="bottom"/>
            <w:gridSpan w:val="2"/>
            <w:vMerge w:val="continue"/>
          </w:tcPr>
          <w:p>
            <w:pPr>
              <w:spacing w:after="0"/>
              <w:rPr>
                <w:sz w:val="18"/>
                <w:szCs w:val="18"/>
                <w:color w:val="auto"/>
              </w:rPr>
            </w:pPr>
          </w:p>
        </w:tc>
        <w:tc>
          <w:tcPr>
            <w:tcW w:w="37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7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6"/>
        </w:trPr>
        <w:tc>
          <w:tcPr>
            <w:tcW w:w="15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7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2025, the aggregate market value of the common stock of the Registrant held by non-affiliates was $228,323,105 based on the closing price as reported on the Nasdaq Global Market on June 30, 2025 of $9.80.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outstanding as of March 6, 2026 – 126,358,104.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ind w:left="660" w:right="20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for the Company’s Annual Meeting of Stockholders to be held in June 2026, which will be filed with the U.S. Securities and Exchange Commission within 120 days of December 31, 2025, are incorporated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196"/>
        </w:trPr>
        <w:tc>
          <w:tcPr>
            <w:tcW w:w="66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500" w:type="dxa"/>
            <w:vAlign w:val="bottom"/>
            <w:gridSpan w:val="5"/>
            <w:shd w:val="clear" w:color="auto" w:fill="CCEEFF"/>
          </w:tcPr>
          <w:p>
            <w:pPr>
              <w:jc w:val="center"/>
              <w:ind w:right="48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440" w:type="dxa"/>
            <w:vAlign w:val="bottom"/>
            <w:shd w:val="clear" w:color="auto" w:fill="CCEEFF"/>
          </w:tcPr>
          <w:p>
            <w:pPr>
              <w:spacing w:after="0"/>
              <w:rPr>
                <w:sz w:val="17"/>
                <w:szCs w:val="17"/>
                <w:color w:val="auto"/>
              </w:rPr>
            </w:pPr>
          </w:p>
        </w:tc>
      </w:tr>
      <w:tr>
        <w:trPr>
          <w:trHeight w:val="198"/>
        </w:trPr>
        <w:tc>
          <w:tcPr>
            <w:tcW w:w="6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Items 1</w:t>
            </w:r>
          </w:p>
        </w:tc>
        <w:tc>
          <w:tcPr>
            <w:tcW w:w="4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and 2.</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Business and Properties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 Risk Factors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1C.</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Cybersecurity</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176"/>
        </w:trPr>
        <w:tc>
          <w:tcPr>
            <w:tcW w:w="6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5540" w:type="dxa"/>
            <w:vAlign w:val="bottom"/>
            <w:gridSpan w:val="6"/>
          </w:tcPr>
          <w:p>
            <w:pPr>
              <w:jc w:val="center"/>
              <w:ind w:right="48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PART II</w:t>
            </w:r>
          </w:p>
        </w:tc>
        <w:tc>
          <w:tcPr>
            <w:tcW w:w="44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10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r>
      <w:tr>
        <w:trPr>
          <w:trHeight w:val="216"/>
        </w:trPr>
        <w:tc>
          <w:tcPr>
            <w:tcW w:w="10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9C.</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176"/>
        </w:trPr>
        <w:tc>
          <w:tcPr>
            <w:tcW w:w="6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5540" w:type="dxa"/>
            <w:vAlign w:val="bottom"/>
            <w:gridSpan w:val="6"/>
          </w:tcPr>
          <w:p>
            <w:pPr>
              <w:jc w:val="center"/>
              <w:ind w:right="48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w:t>
            </w:r>
          </w:p>
        </w:tc>
      </w:tr>
      <w:tr>
        <w:trPr>
          <w:trHeight w:val="175"/>
        </w:trPr>
        <w:tc>
          <w:tcPr>
            <w:tcW w:w="6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5540" w:type="dxa"/>
            <w:vAlign w:val="bottom"/>
            <w:gridSpan w:val="6"/>
          </w:tcPr>
          <w:p>
            <w:pPr>
              <w:jc w:val="center"/>
              <w:ind w:right="48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PART IV</w:t>
            </w:r>
          </w:p>
        </w:tc>
        <w:tc>
          <w:tcPr>
            <w:tcW w:w="44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101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Form 10-K Summary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w:t>
            </w:r>
          </w:p>
        </w:tc>
      </w:tr>
      <w:tr>
        <w:trPr>
          <w:trHeight w:val="574"/>
        </w:trPr>
        <w:tc>
          <w:tcPr>
            <w:tcW w:w="6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Annual Report on Form 10-K (this “Annual Report”), the following terms and conventions have specific meanings:</w:t>
      </w:r>
    </w:p>
    <w:p>
      <w:pPr>
        <w:spacing w:after="0" w:line="275" w:lineRule="exact"/>
        <w:rPr>
          <w:sz w:val="20"/>
          <w:szCs w:val="20"/>
          <w:color w:val="auto"/>
        </w:rPr>
      </w:pPr>
    </w:p>
    <w:p>
      <w:pPr>
        <w:ind w:left="660" w:right="520" w:hanging="328"/>
        <w:spacing w:after="0" w:line="26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10.000% Senior Notes</w:t>
      </w:r>
      <w:r>
        <w:rPr>
          <w:rFonts w:ascii="Times New Roman" w:cs="Times New Roman" w:eastAsia="Times New Roman" w:hAnsi="Times New Roman"/>
          <w:sz w:val="18"/>
          <w:szCs w:val="18"/>
          <w:color w:val="auto"/>
        </w:rPr>
        <w:t>” means the $225.0 million aggregate principal amount of our 10.000% Senior Notes due 2024, which were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an indenture in February 2022 and repaid in full in September 2023.</w:t>
      </w:r>
    </w:p>
    <w:p>
      <w:pPr>
        <w:jc w:val="both"/>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“10.625% Senior Notes</w:t>
      </w:r>
      <w:r>
        <w:rPr>
          <w:rFonts w:ascii="Times New Roman" w:cs="Times New Roman" w:eastAsia="Times New Roman" w:hAnsi="Times New Roman"/>
          <w:sz w:val="18"/>
          <w:szCs w:val="18"/>
          <w:color w:val="auto"/>
        </w:rPr>
        <w:t>” means the $250.0 million aggregate principal amount of our 10.625% Senior Notes due 2024, $225.0 million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issued pursuant to an indenture in November 2022 and $25.0 million of which were issued pursuant to an indenture in December 2022 and repaid in full in September 2023.</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36" w:lineRule="exact"/>
        <w:rPr>
          <w:rFonts w:ascii="Times New Roman" w:cs="Times New Roman" w:eastAsia="Times New Roman" w:hAnsi="Times New Roman"/>
          <w:sz w:val="18"/>
          <w:szCs w:val="18"/>
          <w:color w:val="auto"/>
        </w:rPr>
      </w:pPr>
    </w:p>
    <w:p>
      <w:pPr>
        <w:jc w:val="both"/>
        <w:ind w:left="660" w:right="34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equivalent basis. Natural gas equivalents are determined under the relative energy content method by using the ratio of six thousand cubic feet of natural gas to one Bbl of crude oil or NGL.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3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 degree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Fahrenheit.</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4" w:name="page5"/>
    <w:bookmarkEnd w:id="4"/>
    <w:p>
      <w:pPr>
        <w:ind w:left="328" w:right="80" w:hanging="328"/>
        <w:spacing w:after="0" w:line="255"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328" w:right="8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means the process of treating a drilled well followed by the installation of permanent equipment for the production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or in the case of a dry hole, the reporting of abandonment to the appropriate agency.</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36" w:lineRule="exact"/>
        <w:rPr>
          <w:rFonts w:ascii="Times New Roman" w:cs="Times New Roman" w:eastAsia="Times New Roman" w:hAnsi="Times New Roman"/>
          <w:sz w:val="18"/>
          <w:szCs w:val="18"/>
          <w:color w:val="auto"/>
        </w:rPr>
      </w:pPr>
    </w:p>
    <w:p>
      <w:pPr>
        <w:ind w:left="328" w:right="20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means the costs incurred to obtain access to proved reserves and to provide facilities for extracting, treating, gathering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storing the crude oil and natural gas. For a complete definition of development costs, refer to the SEC’s Regulation S-X, Rule 4-10(a)(7).</w:t>
      </w:r>
    </w:p>
    <w:p>
      <w:pPr>
        <w:ind w:left="328" w:right="28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means the way by which petroleum resources are brought to the status of economically producible. As examples,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328" w:right="48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means a well drilled within the proved area of a crude oil or natural gas reservoir to the depth of a stratigraphic horizon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known to be productive.</w:t>
      </w:r>
    </w:p>
    <w:p>
      <w:pPr>
        <w:ind w:left="328" w:right="6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means an adjustment to the price of crude oil, NGL or natural gas from an established spot market price to reflect differences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and/or location of crude oil, NGL or natural gas.</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means a well found to be incapable of producing hydrocarbons in sufficient quantities such that proceeds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production exceed production expenses and taxes.</w:t>
      </w:r>
    </w:p>
    <w:p>
      <w:pPr>
        <w:ind w:left="328" w:right="2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means, as it relates to a resource, means a resource which generates revenue that exceeds, or is reasonably expected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 the costs of the operation.</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means 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328" w:right="300"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means a well drilled to find a new field, to find a new reservoir in a field previously found to be productive of crude oil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in another reservoir. Generally, an exploratory well is any well that is not a development well, an extension well, a service well or a stratigraphic test well as those items are defined by the SEC.</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means an extension well is a well drilled to extend the limits of a known reservoir.</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means the Financial Accounting Standards Board.</w:t>
      </w:r>
    </w:p>
    <w:p>
      <w:pPr>
        <w:spacing w:after="0" w:line="36" w:lineRule="exact"/>
        <w:rPr>
          <w:rFonts w:ascii="Times New Roman" w:cs="Times New Roman" w:eastAsia="Times New Roman" w:hAnsi="Times New Roman"/>
          <w:sz w:val="18"/>
          <w:szCs w:val="18"/>
          <w:color w:val="auto"/>
        </w:rPr>
      </w:pPr>
    </w:p>
    <w:p>
      <w:pPr>
        <w:ind w:left="328" w:right="60"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means an area consisting of a single reservoir or multiple reservoirs all grouped on, or related to, the same individual geological structural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feature or stratigraphic condition. The field name refers to the surface area, although it may refer to both the surface and the underground productive formations.</w:t>
      </w:r>
    </w:p>
    <w:p>
      <w:pPr>
        <w:ind w:left="328" w:right="24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 Facility Amendment</w:t>
      </w:r>
      <w:r>
        <w:rPr>
          <w:rFonts w:ascii="Times New Roman" w:cs="Times New Roman" w:eastAsia="Times New Roman" w:hAnsi="Times New Roman"/>
          <w:sz w:val="18"/>
          <w:szCs w:val="18"/>
          <w:color w:val="auto"/>
        </w:rPr>
        <w:t>” means the First Amendment to Senior Credit Facility Agreement, dated March 29, 2024,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as borrower, Fifth Third Bank, National Association, as administrative agent, the guarantors party thereto and the lenders party thereto.</w:t>
      </w:r>
    </w:p>
    <w:p>
      <w:pPr>
        <w:spacing w:after="0" w:line="1" w:lineRule="exact"/>
        <w:rPr>
          <w:rFonts w:ascii="Times New Roman" w:cs="Times New Roman" w:eastAsia="Times New Roman" w:hAnsi="Times New Roman"/>
          <w:sz w:val="18"/>
          <w:szCs w:val="18"/>
          <w:color w:val="auto"/>
        </w:rPr>
      </w:pPr>
    </w:p>
    <w:p>
      <w:pPr>
        <w:jc w:val="both"/>
        <w:ind w:left="328" w:right="12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 Term Loan Amendment</w:t>
      </w:r>
      <w:r>
        <w:rPr>
          <w:rFonts w:ascii="Times New Roman" w:cs="Times New Roman" w:eastAsia="Times New Roman" w:hAnsi="Times New Roman"/>
          <w:sz w:val="18"/>
          <w:szCs w:val="18"/>
          <w:color w:val="auto"/>
        </w:rPr>
        <w:t>” means the Master Assignment and First Amendment to the Term Loan Credit Agreement, dated August 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and among HighPeak 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means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28" w:right="58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means the acreage covered by a mineral lease that perpetuates a company’s right to operate a property as long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produces a minimum paying quantity of crude oil or natural gas.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23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76" w:right="339" w:bottom="1440" w:gutter="0" w:footer="0" w:header="0"/>
        </w:sectPr>
      </w:pPr>
    </w:p>
    <w:bookmarkStart w:id="5" w:name="page6"/>
    <w:bookmarkEnd w:id="5"/>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36" w:lineRule="exact"/>
        <w:rPr>
          <w:rFonts w:ascii="Times New Roman" w:cs="Times New Roman" w:eastAsia="Times New Roman" w:hAnsi="Times New Roman"/>
          <w:sz w:val="18"/>
          <w:szCs w:val="18"/>
          <w:color w:val="auto"/>
        </w:rPr>
      </w:pPr>
    </w:p>
    <w:p>
      <w:pPr>
        <w:ind w:left="328" w:right="200"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 and a wholly owned subsidiary of HighPeak Energy Partners, LP,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limited partnership.</w:t>
      </w:r>
    </w:p>
    <w:p>
      <w:pPr>
        <w:ind w:left="328" w:right="2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 and a wholly owned subsidiary of HighPeak Energy Partners 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LP, a Delaware limited partnership.</w:t>
      </w: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means a drilling technique used in certain formations where a well is drilled vertically to a certain depth and then drilled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angle within a specified interval.</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“HPK Contributors</w:t>
      </w:r>
      <w:r>
        <w:rPr>
          <w:rFonts w:ascii="Times New Roman" w:cs="Times New Roman" w:eastAsia="Times New Roman" w:hAnsi="Times New Roman"/>
          <w:sz w:val="18"/>
          <w:szCs w:val="18"/>
          <w:color w:val="auto"/>
        </w:rPr>
        <w:t>” means HighPeak I, HighPeak II and HPK GP.</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36" w:lineRule="exact"/>
        <w:rPr>
          <w:rFonts w:ascii="Times New Roman" w:cs="Times New Roman" w:eastAsia="Times New Roman" w:hAnsi="Times New Roman"/>
          <w:sz w:val="18"/>
          <w:szCs w:val="18"/>
          <w:color w:val="auto"/>
        </w:rPr>
      </w:pPr>
    </w:p>
    <w:p>
      <w:pPr>
        <w:ind w:left="328" w:hanging="328"/>
        <w:spacing w:after="0" w:line="259"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means the technique of stimulating the production of hydrocarbons from tight formations. The Company routinely utilizes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ind w:left="328" w:right="1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 operating expenses</w:t>
      </w:r>
      <w:r>
        <w:rPr>
          <w:rFonts w:ascii="Times New Roman" w:cs="Times New Roman" w:eastAsia="Times New Roman" w:hAnsi="Times New Roman"/>
          <w:sz w:val="18"/>
          <w:szCs w:val="18"/>
          <w:color w:val="auto"/>
        </w:rPr>
        <w:t>” means the expenses of lifting crude oil or natural gas from a producing formation to the surface, constituting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28" w:right="380"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means the percentage of total acres an owner has out of a particular number of gross acres or a specified tract. As an example.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 who has 50% interest in 100 gross acres owns 50 net acres.</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means the production that is owned by us, less royalties and production due others.</w:t>
      </w:r>
    </w:p>
    <w:p>
      <w:pPr>
        <w:spacing w:after="0" w:line="13" w:lineRule="exact"/>
        <w:rPr>
          <w:rFonts w:ascii="Times New Roman" w:cs="Times New Roman" w:eastAsia="Times New Roman" w:hAnsi="Times New Roman"/>
          <w:sz w:val="18"/>
          <w:szCs w:val="18"/>
          <w:color w:val="auto"/>
        </w:rPr>
      </w:pPr>
    </w:p>
    <w:p>
      <w:pPr>
        <w:ind w:left="328" w:right="180"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means the individual or company responsible for the exploration and/or production of a crude oil or natural gas well or lease.</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means a downhole tool that is set inside the casing to isolate the lower part of the wellbore.</w:t>
      </w:r>
    </w:p>
    <w:p>
      <w:pPr>
        <w:spacing w:after="0" w:line="36" w:lineRule="exact"/>
        <w:rPr>
          <w:rFonts w:ascii="Times New Roman" w:cs="Times New Roman" w:eastAsia="Times New Roman" w:hAnsi="Times New Roman"/>
          <w:sz w:val="18"/>
          <w:szCs w:val="18"/>
          <w:color w:val="auto"/>
        </w:rPr>
      </w:pPr>
    </w:p>
    <w:p>
      <w:pPr>
        <w:ind w:left="328"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means the bringing together of small tracts or fractional mineral interests in one or more tracts to form a drilling and production unit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well under applicable spacing rules.</w:t>
      </w:r>
    </w:p>
    <w:p>
      <w:pPr>
        <w:ind w:left="328" w:right="14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“Principal Stockholder Group</w:t>
      </w:r>
      <w:r>
        <w:rPr>
          <w:rFonts w:ascii="Times New Roman" w:cs="Times New Roman" w:eastAsia="Times New Roman" w:hAnsi="Times New Roman"/>
          <w:sz w:val="18"/>
          <w:szCs w:val="18"/>
          <w:color w:val="auto"/>
        </w:rPr>
        <w:t>” means HighPeak Pure Acquisition, LLC, a Delaware limited liability company, and wholly owned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Energy, LP, the HPK Contributors and each of their respective affiliates and certain permitted transferees, collectively.</w:t>
      </w:r>
    </w:p>
    <w:p>
      <w:pPr>
        <w:ind w:left="328" w:right="520" w:hanging="328"/>
        <w:spacing w:after="0" w:line="265" w:lineRule="auto"/>
        <w:tabs>
          <w:tab w:leader="none" w:pos="3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“Prior Credit Agreement</w:t>
      </w:r>
      <w:r>
        <w:rPr>
          <w:rFonts w:ascii="Times New Roman" w:cs="Times New Roman" w:eastAsia="Times New Roman" w:hAnsi="Times New Roman"/>
          <w:sz w:val="17"/>
          <w:szCs w:val="17"/>
          <w:color w:val="auto"/>
        </w:rPr>
        <w:t>” means the Company’s Credit Agreement, dated as of December 17, 2020, as amended from time to time, among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HighPeak Energy, Inc., as Borrower, Wells Fargo Bank, National Association, as administrative agent, and the Lenders party thereto.</w:t>
      </w:r>
    </w:p>
    <w:p>
      <w:pPr>
        <w:ind w:left="328" w:right="1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means the costs incurred to operate and maintain wells and related equipment and facilities, including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means a well that is found to be capable of producing hydrocarbons in sufficient quantities such that proceeds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production exceed production expenses and taxes.</w:t>
      </w: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means a unit that can be effectively and efficiently drained by one well, as allocated by a governmental agency having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w:t>
      </w:r>
    </w:p>
    <w:p>
      <w:pPr>
        <w:ind w:left="328" w:right="34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means a specific geographic area which, based on supporting geological, geophysical or other data and also preliminary economic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using reasonably anticipated prices and costs, is deemed to have potential for the discovery of commercial hydrocarbons.</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36" w:lineRule="exact"/>
        <w:rPr>
          <w:rFonts w:ascii="Times New Roman" w:cs="Times New Roman" w:eastAsia="Times New Roman" w:hAnsi="Times New Roman"/>
          <w:sz w:val="18"/>
          <w:szCs w:val="18"/>
          <w:color w:val="auto"/>
        </w:rPr>
      </w:pPr>
    </w:p>
    <w:p>
      <w:pPr>
        <w:ind w:left="328" w:right="80"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17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76" w:right="359" w:bottom="1440" w:gutter="0" w:footer="0" w:header="0"/>
        </w:sectPr>
      </w:pPr>
    </w:p>
    <w:bookmarkStart w:id="6" w:name="page7"/>
    <w:bookmarkEnd w:id="6"/>
    <w:p>
      <w:pPr>
        <w:ind w:left="328" w:right="60" w:hanging="328"/>
        <w:spacing w:after="0" w:line="254"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reserves</w:t>
      </w:r>
      <w:r>
        <w:rPr>
          <w:rFonts w:ascii="Times New Roman" w:cs="Times New Roman" w:eastAsia="Times New Roman" w:hAnsi="Times New Roman"/>
          <w:sz w:val="18"/>
          <w:szCs w:val="18"/>
          <w:color w:val="auto"/>
        </w:rPr>
        <w:t>” means those quantities of crude oil and natural gas, which, by analysis of geosciences and engineering data, can be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3" w:lineRule="exact"/>
        <w:rPr>
          <w:rFonts w:ascii="Times New Roman" w:cs="Times New Roman" w:eastAsia="Times New Roman" w:hAnsi="Times New Roman"/>
          <w:sz w:val="18"/>
          <w:szCs w:val="18"/>
          <w:color w:val="auto"/>
        </w:rPr>
      </w:pPr>
    </w:p>
    <w:p>
      <w:pPr>
        <w:ind w:left="328" w:right="400" w:hanging="4"/>
        <w:spacing w:after="0" w:line="250" w:lineRule="auto"/>
        <w:tabs>
          <w:tab w:leader="none" w:pos="63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28" w:right="420" w:hanging="4"/>
        <w:spacing w:after="0" w:line="265" w:lineRule="auto"/>
        <w:tabs>
          <w:tab w:leader="none" w:pos="63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ind w:left="328" w:right="280" w:hanging="4"/>
        <w:spacing w:after="0" w:line="250" w:lineRule="auto"/>
        <w:tabs>
          <w:tab w:leader="none" w:pos="6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28" w:right="100" w:hanging="4"/>
        <w:spacing w:after="0" w:line="250" w:lineRule="auto"/>
        <w:tabs>
          <w:tab w:leader="none" w:pos="6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28" w:right="20" w:hanging="4"/>
        <w:spacing w:after="0" w:line="250"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28" w:right="14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having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28" w:right="4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means, when used with respect to crude oil and natural gas reserves, the estimated future gross revenue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means 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28" w:right="100" w:hanging="328"/>
        <w:spacing w:after="0" w:line="263"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means the process of re-entering an existing wellbore that is either producing or not producing and completing new reservoirs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328" w:right="4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means estimated remaining quantities of crude oil and natural gas and related substances anticipated to be economically producible,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means a porous and permeable underground formation containing a natural accumulation of producible crude oil and/or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confined by impermeable rock or water barriers and is separate from other reservoirs.</w:t>
      </w:r>
    </w:p>
    <w:p>
      <w:pPr>
        <w:ind w:left="328" w:right="8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means quantities of crude oil and natural gas estimated to exist in naturally occurring accumulations. A portion of the resources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estimated to be recoverable and another portion may be considered unrecoverable. Resources include both discovered and undiscovered accumulations.</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means an interest in a crude oil and natural gas lease that gives the owner the right to receive a portion of the production from the leased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3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76" w:right="339" w:bottom="1440" w:gutter="0" w:footer="0" w:header="0"/>
        </w:sectPr>
      </w:pPr>
    </w:p>
    <w:bookmarkStart w:id="7" w:name="page8"/>
    <w:bookmarkEnd w:id="7"/>
    <w:p>
      <w:pPr>
        <w:ind w:left="660" w:right="14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“Second Facility Amendment</w:t>
      </w:r>
      <w:r>
        <w:rPr>
          <w:rFonts w:ascii="Times New Roman" w:cs="Times New Roman" w:eastAsia="Times New Roman" w:hAnsi="Times New Roman"/>
          <w:sz w:val="18"/>
          <w:szCs w:val="18"/>
          <w:color w:val="auto"/>
        </w:rPr>
        <w:t>” means the Second Amendment to Senior Credit Facility Agreement, dated August 1, 2025, by and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Energy, Inc., as borrower, Fifth Third Bank, National Association, as administrative agent, the guarantors party thereto and the lenders party thereto.</w:t>
      </w:r>
    </w:p>
    <w:p>
      <w:pPr>
        <w:ind w:left="660" w:right="10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“Second Term Loan Amendment</w:t>
      </w:r>
      <w:r>
        <w:rPr>
          <w:rFonts w:ascii="Times New Roman" w:cs="Times New Roman" w:eastAsia="Times New Roman" w:hAnsi="Times New Roman"/>
          <w:sz w:val="18"/>
          <w:szCs w:val="18"/>
          <w:color w:val="auto"/>
        </w:rPr>
        <w:t>” means the Second Amendment to the Term Loan Credit Agreement, dated March 5, 2026, by and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means a well drilled or completed for the purpose of supporting production in an existing field. Specific purposes of service wells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jc w:val="both"/>
        <w:ind w:left="660" w:right="4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means the distance between wells producing from the same reservoir. Spacing is often expressed in terms of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100-acre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spacing, the distance between horizontal wellbores,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880-foot spacing or the number of wells per section,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means 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means the present value (discounted at an annual rate of 10 percent) of estimated future net revenues to be generated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means a drilling effort, geologically directed, to obtain information pertaining to a specific geologic condition.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Credit Agreement, dated as of September 12, 2023, by and between HighPeak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 Facility Amendment</w:t>
      </w:r>
      <w:r>
        <w:rPr>
          <w:rFonts w:ascii="Times New Roman" w:cs="Times New Roman" w:eastAsia="Times New Roman" w:hAnsi="Times New Roman"/>
          <w:sz w:val="18"/>
          <w:szCs w:val="18"/>
          <w:color w:val="auto"/>
        </w:rPr>
        <w:t>” means the Third Amendment to Senior Credit Facility Agreement, dated March 5, 2026,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as borrower, Fifth Third Bank, National Association, as administrative agent, the guarantors party thereto and the lenders party thereto.</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means the lease acreage on which wells have not been drilled or completed to a point that would permit the production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quantities of crude oil and natural gas regardless of whether such acreage contains proved reserves.</w:t>
      </w:r>
    </w:p>
    <w:p>
      <w:pPr>
        <w:ind w:left="660" w:right="5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means the joining of all or substantially all interests in a reservoir or field, rather than a single tract, to provide for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without regard to separate property interests. Also, the area covered by a unitization agreement.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13" w:lineRule="exact"/>
        <w:rPr>
          <w:rFonts w:ascii="Times New Roman" w:cs="Times New Roman" w:eastAsia="Times New Roman" w:hAnsi="Times New Roman"/>
          <w:sz w:val="18"/>
          <w:szCs w:val="18"/>
          <w:color w:val="auto"/>
        </w:rPr>
      </w:pPr>
    </w:p>
    <w:p>
      <w:pPr>
        <w:ind w:left="660" w:right="2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 which expired on August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w:t>
      </w:r>
    </w:p>
    <w:p>
      <w:pPr>
        <w:ind w:left="660" w:right="34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means the hole drilled by the bit that is equipped for crude oil and natural gas production on a completed well. Also called well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borehole.</w:t>
      </w:r>
    </w:p>
    <w:p>
      <w:pPr>
        <w:ind w:left="660" w:right="560" w:hanging="328"/>
        <w:spacing w:after="0" w:line="26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“Working interest</w:t>
      </w:r>
      <w:r>
        <w:rPr>
          <w:rFonts w:ascii="Times New Roman" w:cs="Times New Roman" w:eastAsia="Times New Roman" w:hAnsi="Times New Roman"/>
          <w:sz w:val="17"/>
          <w:szCs w:val="17"/>
          <w:color w:val="auto"/>
        </w:rPr>
        <w:t>” means the right granted to the lessee of a property to explore for and to produce and own crude oil, natural gas or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minerals. The working interest owners bear the exploration, development and operating costs on either a cash, penalty or carried basis.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means 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66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benchmark in crude oil pricing.</w:t>
      </w:r>
    </w:p>
    <w:p>
      <w:pPr>
        <w:jc w:val="both"/>
        <w:ind w:left="660" w:right="1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Annual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660" w:right="4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1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or decreased interest rates and resulting pressures on economic growth, U.S. trade policy and the imposition of and changes to tariffs;</w:t>
      </w:r>
    </w:p>
    <w:p>
      <w:pPr>
        <w:ind w:left="660" w:right="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conflicts in the Middle East and U.S. intervention in Venezuela;</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including the effects of a prolonged U.S. government shutdown;</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w:t>
      </w:r>
    </w:p>
    <w:p>
      <w:pPr>
        <w:spacing w:after="0" w:line="36"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 including our ability to access such markets on attractive terms or at all, and related risks such as general credit, liquidity, market and interest-rate risks;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7"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covenants in our debt agreements and refinance or pay, when due, the principal of, interest or other amounts due in respect of our indebtedness;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36"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17"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its non-OPEC allies, known collectively as OPEC+, and agreements to set and maintain production levels;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management changes;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and</w:t>
      </w:r>
    </w:p>
    <w:p>
      <w:pPr>
        <w:spacing w:after="0" w:line="36"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“Part I, Items 1 and 2. Business and Properties,” “Part I, Item 1A. Risk Factors,” “Part II, Item 7. Management’s Discussion and Analysis of Financial Condition and Results of Operations,” “Part II, Item 7A. Quantitative and Qualitative Disclosures about Market Risk” and elsewhere in this Annual Report.</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068"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ITEMS 1 AND 2. BUSINESS AND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HighPeak Energy, Inc., a Delaware corporation formed on October 29, 2019, is an independent crude oil and natural gas exploration and production company that explores for, develops and produces crude oil, NGL and natural gas in the Permian Basin in West Texas, more specifically, the Midland Basin primarily in Howard and Borden Counties, Texas, and to a lesser extent Scurry and Mitchell Counties, which lie within the northeastern part of the crude oil-rich Midland Basin.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HighPeak Energy focuses on the Midland Basin primarily in northeast Howard and southeast Borden Counties, and to a lesser extent, northwest Mitchell and southwest Scurry Counties. Over the last eight decades this area of the Midland Basin was partially developed with vertical wells using conventional methods, and during the last decade has experienced significant redevelopment activity in the Lower Spraberry and Wolfcamp A formations utilizing modern horizontal drilling technology, with some operators having additional success developing the Middle Spraberry, Jo Mill, Wolfcamp B and Wolfcamp D formations, through the use of modern, high-intensity hydraulic fracturing techniques, decreased frac spacing, increased proppant usage and increased lateral lengths. Our interpretation of available IHS Markit data as well as our own drilling and completion results show that this area has a high crude oil mix percentage.</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assets include certain rights, title and interests in crude oil and natural gas assets located primarily in Howard and Borden Counties, Texas, and to a lesser extent, Mitchell and Scurry Counties, Texas. As of December 31, 2025, the Company’s assets consisted of two generally contiguous leasehold positions of approximately 154,472 gross (142,560 net) acres covering various subsurface depths, approximately 72% of which were held by production, with an average working interest of approximately 92%. We operate approximately 98% of the net acreage across the Company’s assets. The majority of HighPeak Energy’s horizontal development drilling plan is currently focused on the Wolfcamp A, Lower Spraberry and Middle Spraberry formations. We utilize multi-well pad development to lower drilling and completion cycle times and create infrastructure and facility economies of scale to reduce overall costs, optimize and maximize crude oil and natural gas recoveries, return on investment and value creation.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mailing address of HighPeak Energy’s principal executive office is 421 W. 3rd Street, Suite 1000, Fort Worth, Texas 76102. HighPeak Energy’s telephone number is (817) 850-9200. As of December 31, 2025, HighPeak Energy had fifty full-time employees.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HighPeak Energy files or furnishes annual, quarterly and current reports, proxy statements and other documents with the SEC under the Exchange Act.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proxy and information statements, and other information regarding issuers, including HighPeak Energy, that file electronically with the SEC.</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makes available free of charge through its website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its Annual Reports on Form 10-K, Quarterly Reports on Form 10-Q, Current Reports on Form 8-K and, if applicable, amendments to those reports filed or furnished pursuant to Section 13(a) of the Exchange Act as soon as reasonably practicable after it electronically files such material with, or furnishes it to, the SEC. In addition to the reports filed or furnished with the SEC, HighPeak Energy publicly discloses information from time to time in its press releases and investor presentations that are posted on its website or publicly during accessible investor conferences. Such information, including information posted on or connected to the Company’s website, is not a part of, or incorporated by reference in, this Annual Report or any other document the Company files with or furnishes to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common stock is listed on the Nasdaq Global Market (“Nasdaq”) under the symbol “HPK.”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assets are located in the northeastern part of the Midland Basin. The majority of the acreage position is located across the eastern half of Howard and Borden Counties recently extending into far northwestern Mitchell County and far southwestern Scurry County in two largely contiguous acreage blocks, the northern position of which is referred to as the Flat Top area and the southern position of which is referred to as the Signal Peak area. The Midland Basin is part of the Permian Basin of West Texas and Eastern New Mexico. The Permian Basin covers an area of about 96,000 square miles and is comprised of five (5) sub-regions including the Midland Basin, the Central Basin Platform, the Delaware Basin, the Northwest Shelf and the Eastern Shelf. The Central Basin Platform (“CBP”) is a central uplift, with the Delaware Basin located to the west of the CBP, and the Midland Basin located to the east of the CBP. The bulk of the Permian Basin’s increase in crude oil production since 2007 has come from several target zones including the Spraberry and Wolfcamp formations. The Permian Basin has produced billions of barrels of equivalent crude oil and natural gas and is estimated by the United States Geologic Survey to contain significant remaining hydrocarbon potential.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right="120"/>
        <w:spacing w:after="0" w:line="258" w:lineRule="auto"/>
        <w:rPr>
          <w:sz w:val="20"/>
          <w:szCs w:val="20"/>
          <w:color w:val="auto"/>
        </w:rPr>
      </w:pPr>
      <w:r>
        <w:rPr>
          <w:rFonts w:ascii="Times New Roman" w:cs="Times New Roman" w:eastAsia="Times New Roman" w:hAnsi="Times New Roman"/>
          <w:sz w:val="18"/>
          <w:szCs w:val="18"/>
          <w:color w:val="auto"/>
        </w:rPr>
        <w:t>HighPeak Energy generally developed its properties using one to two (1-2) drilling rigs and one (1) frac crew during the year ended December 31, 2025, ending the year using two (2) drilling rigs and one (1) frac crew. The Company expects to average one (1) drilling rig and approximately one (1) frac crew during 2026 under our current development plan depending on certain market conditions. HighPeak Energy expects to fund its forecasted capital expenditures of $255 to $285 million anticipated in 2026, excluding acquisitions, with cash on its balance sheet, cash generated by operations, through borrowings under the Senior Credit Facility Agreement if needed and, depending on market circumstances, potential future debt or equity offerings.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HighPeak Energy has the discretion to modify its capital program. Because HighPeak Energy operates a high percentage of its acreage, capital expenditure amounts and timing are largely discretionary and within its control. HighPeak Energy determines its capital expenditures depending on a variety of factors, including, but not limited to, the success of its drilling activities, prevailing and anticipated prices for crude oil and natural gas, the availability of necessary equipment, infrastructure and capital, limitations on expenditures under certain leverage scenarios pursuant to the Term Loan Credit Agreement, the receipt and timing of required regulatory permits and approvals, drilling and acquisition costs and the level of participation by other working interest owners. A deferral of planned capital expenditures, particularly with respect to drilling and completing new wells, could result in a reduction in anticipated production and cash flows. Additionally, if HighPeak Energy curtails or reallocates priorities in its drilling program, HighPeak Energy may lose a portion of its acreage through lease expirations. However, in the event of any such curtailment or reallocation of priorities, HighPeak Energy would expect to prioritize lease retention to minimize any expirations. Please see “Risk Factors—Risks Related to Our Business—Crude oil, NGL and natural gas prices are volatile. Sustained periods of low, or declines in, crude oil, NGL and natural gas prices could adversely affect HighPeak Energy’s business, financial condition and results of operations and its ability to meet its capital expenditure obligations and other financial commitments,” “Risk Factors—Risks Related to Our Business —HighPeak Energy’s development projects and acquisitions will require substantial capital expenditures. HighPeak Energy may be unable to obtain required capital or financing on satisfactory terms, including as a result of increases in cost of capital resulting from Federal Reserve policies or otherwise, which could reduce its ability to access or increase production and reserves” and “Risk Factors—Risks Related to Our Business—Certain of the undeveloped leasehold acreage of HighPeak Energy’s assets is subject to leases that will expire over the next several years unless production is established on units containing the acreage or the leases are extended or renewed.”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Summary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estimated proved reserves of the Company’s assets as of December 31, 2025, 2024 and 2023 were prepared by Cawley, Gillespie and Associates, Inc. (“CG&amp;A”). As of December 31, 2025, 2024 and 2023, the Company’s assets contained 173,891, 198,998 and 154,162 MBoe, respectively, of estimated proved reserves. In addition, as of December 31, 2025, 2024 and 2023, the estimated proved reserves of the Company’s assets were estimated by CG&amp;A to be 83%, 85% and 91% crude oil and NGL, respectively, and 17%, 15% and 9% natural gas, respectively. The following table provides summary information regarding the estimated proved reserves data of the Company’s assets based on the 2025 Reserve Report, 2024 Reserve Report and 2023 Reserve Report (each defined below) as of December 31, 2025, 2024 and 2023,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Proved Total</w:t>
            </w:r>
          </w:p>
        </w:tc>
        <w:tc>
          <w:tcPr>
            <w:tcW w:w="10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Crude Oil &amp;</w:t>
            </w:r>
          </w:p>
        </w:tc>
        <w:tc>
          <w:tcPr>
            <w:tcW w:w="17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Date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(MBoe)(1)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NGL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Developed</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173,891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198,998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154,162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660" w:hanging="652"/>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proved reserves were determined using the unweighted arithmetic average first-day-of-the month prices for the prior twelve (12) months in accordance with guidelines established by the SEC. As of December 31, 2025, 2024 and 2023, the average WTI spot price for crude oil and NGL volumes was $65.34, $75.48 and $78.22 per barrel, respectively, which was adjusted for quality, transportation and a regional price differential. As of December 31, 2025, 2024 and 2023, the average HH spot price for natural gas volumes was $3.387, $2.130 and $2.637 per MMBtu, respectively, which was adjusted for energy content, gathering, transportation and processing fees and a regional price differential. All prices are held constant throughout the lives of the properties. As of December 31, 2025, 2024 and 2023, the average adjusted prices realized over the remaining lives of the Company’s assets by CG&amp;A were $65.32, $75.56 and $78.13 per barrel of crude oil, $3.20, $20.53 and $17.33 per barrel of NGL and $0.795, $0.072 and $0.198 per Mcf of natural gas,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Reserve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Reserve Estimates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reserve estimates as of December 31, 2025, 2024 and 2023 included in this Annual Report are based on evaluations prepared by CG&amp;A in accordance with Standards Pertaining to the Estimating and Auditing of Oil and Gas Reserves Information promulgated by the Society of Petroleum Evaluation Engineers and definitions and guidelines established by the SEC (individually, the “2025 Reserve Report,” the “2024 Reserve Report” and the “2023 Reserve Report” and, collectively the “Reserve Reports”). CG&amp;A was selected for their historical experience and geographic expertise in engineering similar resources. The summary information pertaining to reserve estimates as of December 31, 2025, 2024 and 2023, respectively, of HighPeak Energy, prepared by CG&amp;A, were led by W. Todd Brooker. Mr. Brooker is a Licensed Professional Engineer in the State of Texas and has over 31 years of industry experience. Copies of the Reserve Reports are attached to this Annual Report as Exhibits 99.1, 99.2 and 99.3, respectively.</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Proved reserves are those quantities of crude oil, NGL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If deterministic methods are used, reasonable certainty means a high degree of confidence that the quantities will be recovered. If probabilistic methods are used, there should be at least a 90% probability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EUR with time, reasonably certain EUR is much more likely to increase or remain constant than to decrease. The technical and economic data used in the estimation of the proved reserves include, but are not limited to, well logs, geologic maps, well-test data, production data (including flow rates), well data (including lateral lengths), historical price and cost information, and property ownership interests. CG&amp;A uses this technical data, together with standard engineering and geoscience methods, or a combination of methods, including performance analysis, volumetric analysis, and analogy. The proved developed reserves and EURs per well are estimated using performance analysis, analogs and volumetric analysis. The estimates of the proved developed reserves and EURs for each developed well are used to estimate the proved undeveloped reserves for each proved undeveloped location (utilizing type curves, statistical analysis, and analogy).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internal staff of petroleum engineers and geoscience professionals at HighPeak Energy work closely with their independent reserve engineers to seek to ensure the integrity, accuracy and timeliness of data furnished to their independent reserve engineers in the preparation of their reserve report. Periodically, HighPeak Energy’s technical teams meet with the independent reserve engineers to review properties and discuss methods and assumptions used to prepare reserve estimates for the Company’s assets.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Reserve engineering is a subjective process of estimating volumes of economically recoverable crude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estimates of economically recoverable crude oil, NGL and natural gas and of future net revenues are based on a number of variables and assumptions, all of which may vary from actual results, including geologic interpretation, prices, future production rates and costs. Please read the section entitled “Risk Factors” appearing elsewhere in this Annual Report.</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reserve estimates as of December 31, 2025, 2024 and 2023, respectively, were prepared by geologists and reservoir engineers who integrate geological, geophysical, engineering and economic data to produce high quality reserve estimates and economic forecasts. The process was supervised by Christopher Mundy, Senior Vice President, Reserves and Evaluations, for HighPeak Energy, who has approximately 29 years of experience in crude oil and natural gas operations, reservoir engineering and management, reserves management, unconventional and conventional reservoir characterization and strategic planning.</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reserve estimation process and the reserve estimates of the Company’s assets as of December 31, 2025, 2024 and 2023, respectively, were reviewed and approved by our technical staff, other members of senior management and our Chief Executive Officer. The Reserve Reports prepared by CG&amp;A contain further discussion of the reserve estimates and the procedures used in connection with its preparation.</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reserve estimates as of December 31, 2025, 2024 and 2023, included in this Annual Report are based on evaluations prepared by the independent petroleum engineering firm CG&amp;A representing 100% of the Company’s assets’ total net proved reserves in accordance with Standards Pertaining to the Estimating and Auditing of Oil and Gas Reserves Information promulgated by the Society of Petroleum Evaluation Engineers and definitions and guidelines established by the SEC. The Independent Reserve Engineers were selected for their historical experience and geographic expertise in engineering similar resources.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Proved Reserves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estimated net proved crude oil and natural gas reserves as of December 31, 2025, 2024 and 2023, based on the Reserve Reports of the Company’s assets as of such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Proved Reserve Volumes</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3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Crude Oil</w:t>
            </w:r>
          </w:p>
        </w:tc>
        <w:tc>
          <w:tcPr>
            <w:tcW w:w="13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NGL</w:t>
            </w:r>
          </w:p>
        </w:tc>
        <w:tc>
          <w:tcPr>
            <w:tcW w:w="154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Natural Gas</w:t>
            </w:r>
          </w:p>
        </w:tc>
        <w:tc>
          <w:tcPr>
            <w:tcW w:w="11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6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(MBbls)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55,092</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20,941</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96,127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59,106</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77,764</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63"/>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114,198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30,444</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175,494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173,891</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6"/>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65,632</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22,753</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108,119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69,639</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135,271</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34,118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177,654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198,998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58,631</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79,593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60,923</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119,554</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Proved Undeveloped Reserves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HighPeak Energy’s proved undeveloped reserves for the years ended December 31, 2023, 2024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Borders>
              <w:bottom w:val="single" w:sz="8" w:color="CCEEFF"/>
            </w:tcBorders>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(MBoe)</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2022</w:t>
            </w:r>
          </w:p>
        </w:tc>
        <w:tc>
          <w:tcPr>
            <w:tcW w:w="49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42,440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Sales of minerals-in-place</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2023</w:t>
            </w:r>
          </w:p>
        </w:tc>
        <w:tc>
          <w:tcPr>
            <w:tcW w:w="4940" w:type="dxa"/>
            <w:vAlign w:val="bottom"/>
          </w:tcPr>
          <w:p>
            <w:pPr>
              <w:spacing w:after="0"/>
              <w:rPr>
                <w:sz w:val="18"/>
                <w:szCs w:val="18"/>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2024</w:t>
            </w:r>
          </w:p>
        </w:tc>
        <w:tc>
          <w:tcPr>
            <w:tcW w:w="4940" w:type="dxa"/>
            <w:vAlign w:val="bottom"/>
          </w:tcPr>
          <w:p>
            <w:pPr>
              <w:spacing w:after="0"/>
              <w:rPr>
                <w:sz w:val="18"/>
                <w:szCs w:val="18"/>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2025</w:t>
            </w:r>
          </w:p>
        </w:tc>
        <w:tc>
          <w:tcPr>
            <w:tcW w:w="494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77,764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94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t>As of December 31, 2025, HighPeak Energy’s assets contained approximately 77,764 MBoe of proved undeveloped reserves, consisting of 59,106 MBbl of crude oil, 9,503 MBbl of NGL and 54,928 MMcf of natural gas. As of December 31, 2024, HighPeak Energy’s assets contained approximately 90,879 MBoe of proved undeveloped reserves, consisting of 69,639 MBbl of crude oil, 11,365 MBbl of NGL and 59,252 MMcf of natural gas. As of December 31, 2023, HighPeak Energy’s assets contained approximately 74,569 MBoe of proved undeveloped reserves, consisting of 60,923 MBbl of crude oil, 7,913 MBbl of NGL and 34,400 MMcf of natural gas. Proved undeveloped reserves will be converted from undeveloped to developed as we drill and complete each location and the wells begin production.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2025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10,666 MBoe related to new proved undeveloped locations added as a result of HighPeak Energy’s drilling activities;</w:t>
      </w:r>
    </w:p>
    <w:p>
      <w:pPr>
        <w:ind w:left="660" w:right="3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12,250 MBoe related to locations that were successfully drilled and completed during the year ended December 31, 2025;</w:t>
      </w:r>
    </w:p>
    <w:p>
      <w:pPr>
        <w:ind w:left="660" w:right="2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11,531 MBoe including downward adjustments of approximately 9,177 MBoe related to adjustments to forecasts based on well performance and approximately 2,636 MBoe primarily attributable to a decrease in crude oil and NGL prices, partially offset by approximately 282 MBoe primarily related to decreased forecasted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2024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33,540 MBoe related to new proved undeveloped locations added as a result of HighPeak Energy’s drilling activities;</w:t>
      </w:r>
    </w:p>
    <w:p>
      <w:pPr>
        <w:ind w:left="660" w:right="3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18,050 MBoe related to locations that were successfully drilled and completed during the year ended December 31, 2024;</w:t>
      </w:r>
    </w:p>
    <w:p>
      <w:pPr>
        <w:ind w:left="660" w:right="32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Upward revisions of 820 MBoe including upward adjustments of approximately 1,196 MBoe related to adjustments to forecasts based on well performance, partially offset by approximately 182 MBoe primarily attributable to a decrease in crude oil, NGL and natural gas prices and approximately 194 MBoe primarily related to increased forecasted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2023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42,440 MBoe related to new proved undeveloped locations added as a result of HighPeak Energy’s drilling activities;</w:t>
      </w:r>
    </w:p>
    <w:p>
      <w:pPr>
        <w:ind w:left="660" w:right="3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25,955 MBoe related to locations that were successfully drilled and completed during the year ended December 31, 2023;</w:t>
      </w:r>
    </w:p>
    <w:p>
      <w:pPr>
        <w:ind w:left="660" w:right="1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minerals-in-place of undeveloped reserves of 1,387 MBoe related to a farm out to another operator in return for a carried interest during the year ended December 31, 2023; and</w:t>
      </w:r>
    </w:p>
    <w:p>
      <w:pPr>
        <w:ind w:left="660" w:right="10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2,229 MBoe including downward adjustments of approximately 1,748 MBoe related to adjustments to forecasts based on well performance, approximately 445 MBoe primarily attributable to a decrease in crude oil, NGL and natural gas prices and approximately 36 MBoe primarily related to increased forecasted operating expenses.</w:t>
      </w:r>
    </w:p>
    <w:p>
      <w:pPr>
        <w:spacing w:after="0" w:line="1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Early in its history, the Company invested a significant amount of its capital budget to drill unproved locations rather than convert proved undeveloped reserves to proved developed reserves. However, in the years ended December 31, 2025, 2024 and 2023, $366.1 million, $442.1 million and $481.5 million, respectively, of development capital expenditures were incurred primarily to convert proved undeveloped reserves to proved developed reserves. Also, a portion of the Company’s development capital expenditures each year was for the continued development of a water infrastructure system and the drilling of salt-water disposal wells to facilitate the Company’s increased levels of produced water, reduce its future water sourcing costs by recycling produced water and reduce the use of trucking for its produced water disposal activities as well as the continued construction of central tank batteries for handling of the Company’s increasing production volumes.</w:t>
      </w:r>
    </w:p>
    <w:p>
      <w:pPr>
        <w:spacing w:after="0" w:line="1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As of December 31, 2025, all our proved undeveloped reserves are scheduled to be developed within five years from the date they were initially recorded.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PV-10</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PV-10 is a non-GAAP financial measure and differs from the standardized measure of discounted future net cash flows, which is the most directly comparable GAAP financial measure. We refer to PV-10 as the present value of estimated future net cash flows of estimated proved reserves using a discount rate of 10%. This amount includes projected revenues, estimated production costs, estimated future development costs and estimated future costs related to asset retirement obligations.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Unlike PV-10, the standardized measure deducts future U.S. federal income taxes and Texas margin taxes and abandonment obligations on wells with no proved reserves as of December 31, 2025, 2024 and 2023, respectively. Neither PV-10 nor standardized measure represents an estimate of the fair market value of the applicable crude oil and natural gas properties. It is industry standard to use PV-10 as a measure to compare the relative size and value of proved reserves held by companies without regard to the specific tax characteristics of such entities.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undiscounted estimated future net cash flows, PV-10 and standardized measure of the proved reserves of the Company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(in thousands):</w:t>
      </w:r>
    </w:p>
    <w:p>
      <w:pPr>
        <w:sectPr>
          <w:pgSz w:w="11900" w:h="16838" w:orient="portrait"/>
          <w:cols w:equalWidth="0" w:num="1">
            <w:col w:w="11200"/>
          </w:cols>
          <w:pgMar w:left="320" w:top="576" w:right="3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19685</wp:posOffset>
            </wp:positionV>
            <wp:extent cx="3522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Estimated future net cash flows</w:t>
      </w:r>
    </w:p>
    <w:p>
      <w:pPr>
        <w:spacing w:after="0" w:line="23" w:lineRule="exact"/>
        <w:rPr>
          <w:sz w:val="20"/>
          <w:szCs w:val="20"/>
          <w:color w:val="auto"/>
        </w:rPr>
      </w:pPr>
    </w:p>
    <w:p>
      <w:pPr>
        <w:ind w:left="280" w:right="880"/>
        <w:spacing w:after="0" w:line="271" w:lineRule="auto"/>
        <w:rPr>
          <w:sz w:val="20"/>
          <w:szCs w:val="20"/>
          <w:color w:val="auto"/>
        </w:rPr>
      </w:pPr>
      <w:r>
        <w:rPr>
          <w:rFonts w:ascii="Times New Roman" w:cs="Times New Roman" w:eastAsia="Times New Roman" w:hAnsi="Times New Roman"/>
          <w:sz w:val="18"/>
          <w:szCs w:val="18"/>
          <w:color w:val="auto"/>
        </w:rPr>
        <w:t>Present value of estimated future net cash flows Present value of future income taxes/abandonment costs</w:t>
      </w:r>
    </w:p>
    <w:p>
      <w:pPr>
        <w:ind w:left="280"/>
        <w:spacing w:after="0"/>
        <w:rPr>
          <w:sz w:val="20"/>
          <w:szCs w:val="20"/>
          <w:color w:val="auto"/>
        </w:rPr>
      </w:pPr>
      <w:r>
        <w:rPr>
          <w:rFonts w:ascii="Times New Roman" w:cs="Times New Roman" w:eastAsia="Times New Roman" w:hAnsi="Times New Roman"/>
          <w:sz w:val="18"/>
          <w:szCs w:val="18"/>
          <w:color w:val="auto"/>
        </w:rPr>
        <w:t>Standardized measure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19685</wp:posOffset>
            </wp:positionV>
            <wp:extent cx="3522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Estimated future net cash flows</w:t>
      </w:r>
    </w:p>
    <w:p>
      <w:pPr>
        <w:spacing w:after="0" w:line="23" w:lineRule="exact"/>
        <w:rPr>
          <w:sz w:val="20"/>
          <w:szCs w:val="20"/>
          <w:color w:val="auto"/>
        </w:rPr>
      </w:pPr>
    </w:p>
    <w:p>
      <w:pPr>
        <w:ind w:left="280" w:right="880"/>
        <w:spacing w:after="0" w:line="271" w:lineRule="auto"/>
        <w:rPr>
          <w:sz w:val="20"/>
          <w:szCs w:val="20"/>
          <w:color w:val="auto"/>
        </w:rPr>
      </w:pPr>
      <w:r>
        <w:rPr>
          <w:rFonts w:ascii="Times New Roman" w:cs="Times New Roman" w:eastAsia="Times New Roman" w:hAnsi="Times New Roman"/>
          <w:sz w:val="18"/>
          <w:szCs w:val="18"/>
          <w:color w:val="auto"/>
        </w:rPr>
        <w:t>Present value of estimated future net cash flows Present value of future income taxes/abandonment costs</w:t>
      </w:r>
    </w:p>
    <w:p>
      <w:pPr>
        <w:ind w:left="280"/>
        <w:spacing w:after="0"/>
        <w:rPr>
          <w:sz w:val="20"/>
          <w:szCs w:val="20"/>
          <w:color w:val="auto"/>
        </w:rPr>
      </w:pPr>
      <w:r>
        <w:rPr>
          <w:rFonts w:ascii="Times New Roman" w:cs="Times New Roman" w:eastAsia="Times New Roman" w:hAnsi="Times New Roman"/>
          <w:sz w:val="18"/>
          <w:szCs w:val="18"/>
          <w:color w:val="auto"/>
        </w:rPr>
        <w:t>Standardized measure</w:t>
      </w:r>
    </w:p>
    <w:p>
      <w:pPr>
        <w:spacing w:after="0" w:line="200" w:lineRule="exact"/>
        <w:rPr>
          <w:sz w:val="20"/>
          <w:szCs w:val="20"/>
          <w:color w:val="auto"/>
        </w:rPr>
      </w:pPr>
    </w:p>
    <w:p>
      <w:pPr>
        <w:spacing w:after="0" w:line="2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19685</wp:posOffset>
            </wp:positionV>
            <wp:extent cx="3522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Estimated future net cash flows</w:t>
      </w:r>
    </w:p>
    <w:p>
      <w:pPr>
        <w:spacing w:after="0" w:line="23" w:lineRule="exact"/>
        <w:rPr>
          <w:sz w:val="20"/>
          <w:szCs w:val="20"/>
          <w:color w:val="auto"/>
        </w:rPr>
      </w:pPr>
    </w:p>
    <w:p>
      <w:pPr>
        <w:ind w:left="280" w:right="880"/>
        <w:spacing w:after="0" w:line="271" w:lineRule="auto"/>
        <w:rPr>
          <w:sz w:val="20"/>
          <w:szCs w:val="20"/>
          <w:color w:val="auto"/>
        </w:rPr>
      </w:pPr>
      <w:r>
        <w:rPr>
          <w:rFonts w:ascii="Times New Roman" w:cs="Times New Roman" w:eastAsia="Times New Roman" w:hAnsi="Times New Roman"/>
          <w:sz w:val="18"/>
          <w:szCs w:val="18"/>
          <w:color w:val="auto"/>
        </w:rPr>
        <w:t>Present value of estimated future net cash flows Present value of future income taxes/abandonment costs</w:t>
      </w:r>
    </w:p>
    <w:p>
      <w:pPr>
        <w:ind w:left="280"/>
        <w:spacing w:after="0"/>
        <w:rPr>
          <w:sz w:val="20"/>
          <w:szCs w:val="20"/>
          <w:color w:val="auto"/>
        </w:rPr>
      </w:pPr>
      <w:r>
        <w:rPr>
          <w:rFonts w:ascii="Times New Roman" w:cs="Times New Roman" w:eastAsia="Times New Roman" w:hAnsi="Times New Roman"/>
          <w:sz w:val="18"/>
          <w:szCs w:val="18"/>
          <w:color w:val="auto"/>
        </w:rPr>
        <w:t>Standardized measure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Proved</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2,260,542</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1,427,671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3,688,213</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1,493,416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563,581</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2,056,997</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(144,242)</w:t>
            </w: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1,912,755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-582295</wp:posOffset>
            </wp:positionV>
            <wp:extent cx="67722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77227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Proved</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3,604,310</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2,554,993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6,159,303</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2,292,214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1,094,860</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3,387,074</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(392,077)</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2,994,997</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-582295</wp:posOffset>
            </wp:positionV>
            <wp:extent cx="677227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7722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Proved</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3,205,041</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2,072,541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5,277,582</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2,061,301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822,766</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2,884,067</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(276,363)</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2,607,704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-582295</wp:posOffset>
            </wp:positionV>
            <wp:extent cx="67722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77227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260"/>
          </w:cols>
          <w:pgMar w:left="320" w:top="576" w:right="379" w:bottom="1440" w:gutter="0" w:footer="0" w:header="0"/>
          <w:type w:val="continuous"/>
        </w:sectPr>
      </w:pP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Estimated future net cash flows represents the estimated future revenue to be generated from the production of proved reserves, net of estimated production and future development costs, using pricing differentials and costs under existing economic conditions as of December 31, 2025, 2024 and 2023, and assuming commodity prices as set forth below. For the purpose of determining prices used in our reserve reports, in accordance with SEC guidelines, CG&amp;A uses the unweighted arithmetic average of the prices on the first day of each month in the 12-month period ended December 31, 2025, 2024 and 2023. These prices were $65.34, $75.48 and $78.22 per Bbl for crude oil and NGL and $3.387, $2.130 and $2.637 per MMBtu for natural gas, respectively, before adjustment for energy content, gathering, transportation and processing fees and basis differential adjustments. The average adjusted prices realized over the remaining lives of the Company’s assets by CG&amp;A were $65.32, $75.56 and $78.13 per barrel of crude oil, $3.20, $20.53 and $17.33 per barrel of NGL and $0.795, $0.072 and $0.198 per Mcf of natural gas as of December 31, 2025, 2024 and 2023, respectively. These prices should not be interpreted as a prediction of future prices. The amounts shown do not give effect to non-property-related expenses, such as corporate general and administrative expenses and debt service, or to DD&amp;A.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Revenue and Price History</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 description of historical production, revenues, average sales prices and unit costs of the Company, see “Item 7. Management’s Discussion and Analysis of Financial Condition and Results of Operations – Results of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15" w:name="page16"/>
    <w:bookmarkEnd w:id="15"/>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net sales volumes, average unhedged realized prices by product and production costs of the Company for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volumes: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(MBbls)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13,885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(MBbls)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(Mboe)</w:t>
            </w:r>
          </w:p>
        </w:tc>
        <w:tc>
          <w:tcPr>
            <w:tcW w:w="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realized price (excluding effects of derivatives):</w:t>
            </w:r>
          </w:p>
        </w:tc>
        <w:tc>
          <w:tcPr>
            <w:tcW w:w="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(per Bbl)</w:t>
            </w:r>
          </w:p>
        </w:tc>
        <w:tc>
          <w:tcPr>
            <w:tcW w:w="16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(per Bbl)</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(per Mcf)</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per Boe</w:t>
            </w:r>
          </w:p>
        </w:tc>
        <w:tc>
          <w:tcPr>
            <w:tcW w:w="16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per Boe:</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 expenses, including expense workovers</w:t>
            </w:r>
          </w:p>
        </w:tc>
        <w:tc>
          <w:tcPr>
            <w:tcW w:w="16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and ad valorem taxes</w:t>
            </w: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Productive Wells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Productive wells consist of producing wells and wells capable of production, including natural gas wells awaiting pipeline connections to commence deliveries and crude oil wells awaiting connection to production facilities. Gross wells are the total number of producing wells in which HighPeak Energy holds an interest, and net wells are the sum of the fractional working interests owned in gross wells. The following table sets forth information relating to the productive wells in which HighPeak Energy holds a working interest as of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400" w:type="dxa"/>
            <w:vAlign w:val="bottom"/>
            <w:tcBorders>
              <w:bottom w:val="single" w:sz="8" w:color="auto"/>
            </w:tcBorders>
          </w:tcPr>
          <w:p>
            <w:pPr>
              <w:spacing w:after="0"/>
              <w:rPr>
                <w:sz w:val="20"/>
                <w:szCs w:val="20"/>
                <w:color w:val="auto"/>
              </w:rPr>
            </w:pPr>
          </w:p>
        </w:tc>
      </w:tr>
      <w:tr>
        <w:trPr>
          <w:trHeight w:val="187"/>
        </w:trPr>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Working</w:t>
            </w:r>
          </w:p>
        </w:tc>
      </w:tr>
      <w:tr>
        <w:trPr>
          <w:trHeight w:val="238"/>
        </w:trPr>
        <w:tc>
          <w:tcPr>
            <w:tcW w:w="258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Horizontal:</w:t>
            </w: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Non-operated</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Operated</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Non-operated</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Non-operated</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Acreage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total developed and undeveloped acreage in which HighPeak Energy holds an interest as of December 31, 2025. Approximately 72% of the net acreage of HighPeak Energy was held by production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Developed Acres(1)(4)</w:t>
            </w:r>
          </w:p>
        </w:tc>
        <w:tc>
          <w:tcPr>
            <w:tcW w:w="36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Undeveloped Acres(4)</w:t>
            </w:r>
          </w:p>
        </w:tc>
        <w:tc>
          <w:tcPr>
            <w:tcW w:w="218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w w:val="96"/>
              </w:rPr>
              <w:t>Total Acres</w:t>
            </w:r>
          </w:p>
        </w:tc>
        <w:tc>
          <w:tcPr>
            <w:tcW w:w="1440" w:type="dxa"/>
            <w:vAlign w:val="bottom"/>
          </w:tcPr>
          <w:p>
            <w:pPr>
              <w:spacing w:after="0"/>
              <w:rPr>
                <w:sz w:val="20"/>
                <w:szCs w:val="20"/>
                <w:color w:val="auto"/>
              </w:rPr>
            </w:pPr>
          </w:p>
        </w:tc>
      </w:tr>
      <w:tr>
        <w:trPr>
          <w:trHeight w:val="210"/>
        </w:trPr>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6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Acres(3)</w:t>
            </w:r>
          </w:p>
        </w:tc>
        <w:tc>
          <w:tcPr>
            <w:tcW w:w="120" w:type="dxa"/>
            <w:vAlign w:val="bottom"/>
          </w:tcPr>
          <w:p>
            <w:pPr>
              <w:spacing w:after="0"/>
              <w:rPr>
                <w:sz w:val="18"/>
                <w:szCs w:val="18"/>
                <w:color w:val="auto"/>
              </w:rPr>
            </w:pPr>
          </w:p>
        </w:tc>
        <w:tc>
          <w:tcPr>
            <w:tcW w:w="18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6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Acres(3)</w:t>
            </w:r>
          </w:p>
        </w:tc>
        <w:tc>
          <w:tcPr>
            <w:tcW w:w="120" w:type="dxa"/>
            <w:vAlign w:val="bottom"/>
          </w:tcPr>
          <w:p>
            <w:pPr>
              <w:spacing w:after="0"/>
              <w:rPr>
                <w:sz w:val="18"/>
                <w:szCs w:val="18"/>
                <w:color w:val="auto"/>
              </w:rPr>
            </w:pPr>
          </w:p>
        </w:tc>
        <w:tc>
          <w:tcPr>
            <w:tcW w:w="218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4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Net Acres(3)</w:t>
            </w:r>
          </w:p>
        </w:tc>
      </w:tr>
      <w:tr>
        <w:trPr>
          <w:trHeight w:val="210"/>
        </w:trPr>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108,191</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101,586</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46,281</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40,974</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154,472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142,560</w:t>
            </w:r>
          </w:p>
        </w:tc>
      </w:tr>
    </w:tbl>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acres are acres spaced or assigned to productive wells or wells capable of production.</w:t>
      </w:r>
    </w:p>
    <w:p>
      <w:pPr>
        <w:spacing w:after="0" w:line="3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 acre is an acre in which HighPeak Energy holds a working interest. The number of gross acres is the total number of acres in which HighPeak Energy holds a working interest.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left="660" w:right="40" w:hanging="328"/>
        <w:spacing w:after="0" w:line="272" w:lineRule="auto"/>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acre is deemed to exist when the sum of the fractional ownership working interests in gross acres equals one. The number of net acres is the sum of the fractional working interests owned in gross acres expressed as whole numbers and fractions thereof. There are approximately 1,719 net undeveloped acres that are either held by production or developed and currently nonproducing and therefore not currently subject to expiration.</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amounts of our developed and undeveloped acres do not cover all formation depths in underlying acreage.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Undeveloped Acreage Expirations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total net undeveloped acres as of December 31, 2025 across HighPeak Energy’s properties that will expire in 2026, 2027, 2028, 2029, 2030 and thereafter, unless production is established within the spacing units covering the acreage prior to the expiration dates or unless such leasehold rights are extended or renewed.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20,245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17,423</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39,255</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With respect to the 20,245 net acres expiring in 2026 across our properties, HighPeak Energy intends to retain substantially all through initiating completion operations of existing wells and the drilling of new wells, with the remaining net acreage being retained either through lease renewals or extensions. HighPeak Energy intends to retain substantially all of its undeveloped acreage through its development plan. Please see “Item 1A. Risk Factors</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Risks Related to Our Business – Certain of the undeveloped leasehold acreage of HighPeak Energy’s assets is subject to leases that will expire over the next several years unless production is established on units containing the acreage or the leases are extended or renewed.”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Drilling Activities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table describes new development and exploratory/extension wells drilled within the Company’s assets during the years ended December 31, 2025, 2024 and 2023. The information should not be indicative of future performance, nor should it be assumed there is necessarily any correlation among the number of productive wells drilled, quantities of reserves found or economic value. As of December 31, 2025 and not included in the following table, were 4 gross (4.0 net) wells in the process of being drilled and 19 gross (19.0 net) wells either waiting on completion or in various stages of completion operations. As of December 31, 2025, HighPeak Energy was running a two-rig, one-frac crew program. The Company expects to average one (1) drilling rig and one (1) frac crew during 2026 under our current development plan, depending on market conditions. Our development program may change based on capital availability and other factors.</w:t>
      </w:r>
    </w:p>
    <w:p>
      <w:pPr>
        <w:spacing w:after="0" w:line="1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top w:val="single" w:sz="8" w:color="auto"/>
              <w:bottom w:val="single" w:sz="8" w:color="auto"/>
            </w:tcBorders>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8"/>
                <w:szCs w:val="18"/>
                <w:color w:val="auto"/>
              </w:rPr>
            </w:pPr>
          </w:p>
        </w:tc>
        <w:tc>
          <w:tcPr>
            <w:tcW w:w="160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wells:</w:t>
            </w: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Productive</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Dry</w:t>
            </w:r>
          </w:p>
        </w:tc>
        <w:tc>
          <w:tcPr>
            <w:tcW w:w="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Exploratory/Extension wells: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Productive</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Dry</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wells: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Salt-Water Disposal</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Delivery Commitments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Beginning May 2024, the Company has a minimum volume commitment under its crude oil marketing agreement with its largest purchaser whereby it must deliver minimum gross volumes via pipeline connections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2025, the Company has delivered approximately 31,594 Bopd under the contract. The remaining monetary commitment as of December 31, 2025, if the Company never delivers any additional volumes under the agreement, is approximately $115.9 million. Given the current production levels coupled with the wells planned to come on production in 2026 and beyond, the Company expects to meet the volume commitments under the agreement. In addition to monitoring our current production, we also monitor our anticipated future production and our future development plans, in each case factoring in production attributable to third-party working, royalty and overriding royalty interest owners, in order to meet our delivery commitments. If production volumes are not sufficient to meet these contractual delivery commitments, we may be subject to deficiency fees unless we purchase commodities in the market to satisfy the portion of such commitment that was not delivered under the contract. There are no material commitments to deliver a fixed and determinable quantity of natural gas production from the Company’s assets to customers under existing contracts.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2025, HighPeak Energy’s properties consisted of 154,472 gross (142,560 net) acres with an average working interest of approximately 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Production facilities related to HighPeak Energy’s properties are located near the producing wells and consist of salt-water disposal wells and related facilities, salt-water disposal pipeline systems throughout Flat Top and Signal Peak, storage tanks, two-phase and/or three-phase separation equipment, flowlines, metering equipment and safety systems. Predominant artificial lift methods include electrical submersible pumps with some rod pumps, gas lift and plunger lifts. HighPeak Energy’s mostly contiguous acreage position allows for optimized capital expenditures for production facilities and associated water handling infrastructure.</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properties are well serviced by existing crude oil, natural gas and water infrastructure and gathering systems. Currently, the majority of our crude oil production is transported by pipeline while some of our crude oil, primarily in Signal Peak, is still transported by truck. The Company used a competitive bidding process that resulted in attractive terms relative to market indices. The natural gas production from our properties is gathered by third-party processors with the majority of the natural gas production currently processed to extract NGL.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Customers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revenues attributable to customers who have accounted for 10% or more of revenues attributable to the Company’s assets during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Major Customers</w:t>
            </w:r>
          </w:p>
        </w:tc>
        <w:tc>
          <w:tcPr>
            <w:tcW w:w="100" w:type="dxa"/>
            <w:vAlign w:val="bottom"/>
            <w:vMerge w:val="restart"/>
          </w:tcPr>
          <w:p>
            <w:pPr>
              <w:spacing w:after="0"/>
              <w:rPr>
                <w:sz w:val="20"/>
                <w:szCs w:val="20"/>
                <w:color w:val="auto"/>
              </w:rPr>
            </w:pPr>
          </w:p>
        </w:tc>
        <w:tc>
          <w:tcPr>
            <w:tcW w:w="372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DK Trading &amp; Supply, LLC (“Delek”)</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Transfer Crude Marketing, LLC (“ETC”)</w:t>
            </w: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other purchaser accounted for 10% or more of revenue attributable to the Company’s assets on a combined basis in the years ended December 31, 2025, 2024 or 2023. The loss of any such purchaser could adversely affect revenues attributable to the Company’s assets in the short term. Please see “Risk Factors—Risks Related to Our Business—HighPeak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crude oil sales, HighPeak Energy currently is party to a twelve-year contract with Delek, with production being mostly piped sales through crude oil gathering systems. The crude oil contract is at known and published indices with a fixed primary term and an evergreen option thereafter. The contract contains a minimum volume commitment that commenced on May 1, 2024 based on the gross piped barrels delivered and is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2025, the Company has delivered approximately 31,594 Bopd under the contract. The remaining monetary commitment as of December 31, 2025, if the Company never delivers any additional volumes under the agreement, is approximately $115.9 million. The majority of the remaining crude oil sales of the Company is sold to ETC under a similar contract without a minimum volume commitment. In addition, HighPeak Energy sells its natural gas production from the Company’s assets to multiple third-party purchasers pursuant to the terms of natural gas processing and purchase contracts at varying rates. The natural gas production is gathered and processed under agreements with a primary term and generally an evergreen extension option.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crude oil and natural gas industry is intensely competitive, and HighPeak Energy competes with other companies that have greater resources. Many of these companies not only explore for and produce crude oil and natural gas, but also carry on midstream and refining operations and market petroleum and other products on a regional, national or worldwide basis. Furthermore, in the past several years, the pace of consolidation in our industry has increased, and may continue to increase, leading to the creation of a number of larger and financially stronger competitors. These companies may be able to pay more for productive crude oil and natural gas properties and exploratory prospects or to define, evaluate, bid for and purchase a greater number of properties and prospects than HighPeak Energy’s financial or human resources permit. In addition, these companies may have a greater ability to continue exploration activities during periods of low crude oil and natural gas market prices. HighPeak Energy’s larger or more integrated competitors may be able to absorb the burden of existing, and any changes to, federal, state and local laws and regulations more easily than HighPeak Energy can, which could adversely affect HighPeak Energy’s competitive position, as applicable. HighPeak Energy’s ability to acquire additional properties and to discover reserves in the future will be dependent upon its ability to evaluate and select suitable properties and to consummate transactions in a highly competitive environment. In addition, because HighPeak Energy will have fewer financial and human resources than many companies in its industry, HighPeak Energy may be at a disadvantage in bidding for exploratory prospects and producing crude oil and natural gas properties.</w:t>
      </w:r>
    </w:p>
    <w:p>
      <w:pPr>
        <w:spacing w:after="0" w:line="1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There is also competition between crude oil and natural gas producers and other industries producing energy and fuel. For example, HighPeak Energy also faces indirect competition from alternative energy sources, including wind and solar. Furthermore, competitive conditions may be substantially affected by various forms of energy legislation and/or regulation considered from time to time by the governments of the United States and the jurisdictions in which HighPeak Energy operates, including legislation such as the Inflation Reduction Act of 2022 (“IRA 2022”). It is not possible to predict the nature of any such legislation or regulation which may ultimately be adopted or its effects upon HighPeak Energy’s future operations as related to the Company’s assets. Such laws and regulations may substantially increase the costs of developing crude oil and natural gas and may prevent or delay the commencement or continuation of a given operation. HighPeak Energy’s larger competitors may be able to absorb the burden of existing, and any changes to, federal, state and local laws and regulations more easily than HighPeak Energy can, which would adversely affect HighPeak Energy’s competitive positions, as applicable. See “Item 1A. Risk Factors—Risks Related to Our Business—Competition in the crude oil and natural gas industry is intense, which will make it more difficult for HighPeak Energy to acquire properties, market crude oil or natural gas and secure trained personnel.”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Weather conditions can affect the demand for, and prices of, crude oil and natural gas. Demand for natural gas is typically higher in the fourth and first quarters resulting in higher prices while the demand for crude oil is typically higher during the second and third quarters. Due to these seasonal fluctuations, results of operations for individual quarterly periods may not be indicative of the results that may be realized on an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to Properties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is customary in the crude oil and natural gas industry, HighPeak Energy, as operator of the Company’s assets, initially conducts (at minimum) a cursory review of the title to properties in connection with acquisition of leasehold acreage. HighPeak Energy has also obtained title opinion coverage on a majority of the Company’s assets and has performed customary reviews of the title to substantially all of the Company’s assets. Additionally, at such time as HighPeak Energy determines to conduct drilling operations on those properties, HighPeak Energy will conduct a thorough title examination, will obtain division order title opinions, and will perform curative work with respect to any significant defects that may exist prior to: (i) commencement of drilling operations; and (ii) the initial disbursement of associated revenues. HighPeak Energy has obtained title opinions on substantially all its producing properties. The crude oil and natural gas properties within the Company’s assets are subject to customary royalty and other interests, liens for current taxes and other burdens which HighPeak Energy believes it does not materially interfere with the use of, or affect the carrying value of, the properties.</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completing an acquisition of producing crude oil and natural gas properties, HighPeak Energy may perform title reviews on the most significant leases and may obtain a title opinion, obtain an updated title opinion or review previously obtained title opinions.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HighPeak Energy believes it has satisfactory title to all the material properties within the Company’s assets in accordance with standards generally accepted in the crude oil and natural gas industry. Although title to the Company’s assets is subject to encumbrances in some cases, such as customary interests generally retained in connection with the acquisition of real property, customary royalty interests and contract terms and restrictions, liens under operating agreements, liens related to environmental liabilities associated with historical operations, liens for current taxes and other burdens, easements, restrictions and minor encumbrances customary in the crude oil and natural gas industry, none of these liens, restrictions, easements, burdens or encumbrances will likely materially detract from the value of the properties within the Company’s assets or from HighPeak Energy’s interests in these properties or materially interfere with HighPeak Energy’s use of these properties in the operation of their business. In addition, HighPeak Energy believes they have obtained sufficient rights-of-way grants and permits from public authorities and private parties for them to operate their business in all material respects as described in this Annual Report.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Leases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typical crude oil and natural gas lease agreement covering the properties within the Company’s assets provides for the payment of royalties to the mineral owner for all crude oil and natural gas produced from any wells drilled on the leased premises. The lessor royalties and other leasehold burdens on the properties within the Company’s assets are approximately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Crude Oil and Natural Gas Industry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operations are substantially affected by federal, state and local laws and regulations. Failure to comply with applicable laws and regulations can result in substantial penalties. The regulatory burden on the industry increases the cost of doing business and affects profitability. Although we believe we are in substantial compliance with all applicable laws and regulations, such laws and regulations are frequently amended or reinterpreted. Therefore, we are unable to predict the future costs or impact of compliance. Additional proposals and proceedings that affect the crude oil and natural gas industry are regularly considered by Congress, the states, Federal Energy Regulatory Commission (“FERC”), the U.S. Environmental Protection Agency (“EPA”), the Department of Transportation (“DOT”), other federal agencies and the courts. We cannot predict when or whether any such proposals may become effective. We do not believe that we would be affected by any such action materially differently than similarly situated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unforeseen environmental incidents may occur or past non-compliance with environmental laws or regulations may be discovered.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Production of Crude Oil and Natural Gas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Crude oil and natural gas production and related operations are substantially affected by federal, state and local laws and regulations. In particular, crude oil and natural gas production and related operations are, or have been, subject to price controls, taxes and numerous other laws and regulations. All the jurisdictions in which the Company’s assets are located have statutory provisions regulating the development and production of crude oil and natural gas, including provisions related to permits for the drilling of wells, bonding requirements to drill or operate wells, the location of wells, the method of drilling and casing wells, the surface use and restoration of properties upon which wells are drilled, sourcing and disposal of water used in the drilling and completion process, and the abandonment of wells. Crude oil and natural gas operations are also subject to various conservation laws and regulations. These include the regulation of the size of drilling and spacing units or proration units, the number of wells which may be drilled in an area, and the unitization or pooling of crude oil or natural gas wells, as well as regulations that generally prohibit the venting or flaring of natural gas, and impose certain requirements regarding the ratability or fair apportionment of production from fields and individual wells.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laws and regulations can result in substantial penalties. The regulatory burden on the industry increases the cost of doing business and affects profitability. Such laws and regulations are frequently amended or reinterpreted. Therefore, it is not possible to predict the future costs or impact of compliance. Additional proposals and proceedings that affect the crude oil and natural gas industry are regularly considered by Congress, the states, FERC, the EPA, the DOT, other federal agencies and the courts. It is not possible to predict when or whether any such proposals may become effective.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Federal, state and local statutes and regulations require permits for drilling, salt-water disposal and pipeline operations, drilling bonds and reports concerning operations. The Company’s assets are located in Texas, which regulates drilling and operating activities by, among other things, requiring permits for the drilling of wells, maintaining bonding requirements to drill or operate wells, and regulating the location of wells, the method of drilling and casing wells, the surface use and restoration of properties upon which wells are drilled and the plugging and abandonment of wells.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laws of Texas also govern a number of conservation matters, including provisions for the unitization or pooling of crude oil and natural gas properties, the establishment of maximum allowable rates of production from crude oil and natural gas wells, the regulation of well spacing or density and plugging and abandonment of wells. The effect of these regulations is to limit the amount of crude oil and natural gas that the wells within the Company’s assets can produce and to limit the number of wells or the locations that can be drilled within the Company’s assets, although operators can apply for exceptions to such regulations or to have reductions in well spacing or density. Moreover, various states impose a production or severance tax with respect to the production and sale of crude oil, NGL and natural gas within their jurisdiction. Failure to comply with these rules and regulations can result in substantial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Affecting Sales and Transportation of Commodities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prices of crude oil, NGL and natural gas are not currently regulated and are made at market prices. Although prices of these energy commodities are currently unregulated, Congress historically has been active in their regulation. We cannot predict whether new legislation to regulate crude oil and natural gas, or the prices charged for these commodities might be proposed, what proposals, if any, might actually be enacted by Congress or the various state legislatures and what effect, if any, the proposals might have on our operations. Sales of crude oil and natural gas may be subject to certain state and potentially federal reporting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8"/>
          <w:szCs w:val="18"/>
          <w:color w:val="auto"/>
        </w:rPr>
        <w:t>The price and terms of service of transportation of the commodities, including access to pipeline transportation capacity, are subject to extensive federal and state regulation. Such regulation may affect the marketing of crude oil and natural gas produced, as well as the revenues received from sales of such production. Gathering systems may be subject to state ratable take and common purchaser statutes. Ratable take statutes generally require gatherers to take, without undue discrimination, crude oil and natural gas production that may be tendered to the gatherer for handling. Similarly, common purchaser statutes generally require gatherers to purchase, or accept for gathering, without undue discrimination as to source of supply or producer. These statutes are designed to prohibit discrimination in favor of one producer over another producer or one source of supply over another source of supply. These statutes may affect whether and to what extent gathering capacity is available for crude oil and natural gas production, if any, of the drilling program and the cost of such capacity. Further, state laws and regulations govern rates and terms of access to intrastate pipeline systems, which may similarly affect market access and cost.</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FERC regulates interstate natural gas pipeline transportation rates and service conditions. The FERC is continually proposing and implementing new rules and regulations affecting interstate transportation. The stated purpose of many of these regulatory changes is to promote competition among the various sectors of the natural gas industry and to promote market transparency. We do not believe that our drilling program will be affected by any such FERC action in a manner materially differently than other similarly situated natural gas producers.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Gathering services, which occur upstream of FERC jurisdictional transmission services, are regulated by the states onshore and in state waters.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the regulation of natural gas pipeline transportation, the FERC has jurisdiction over the purchase or sale of natural gas or the purchase or sale of transportation services subject to the FERC’s jurisdiction pursuant to the Energy Policy Act of 2005. Under this law, it is unlawful for “any entity,” including producers such as us, that are otherwise not subject to the FERC’s jurisdiction under the Natural Gas Act of 1938 to use any deceptive or manipulative device or contrivance in connection with the purchase or sale of natural gas or the purchase or sale of transportation services subject to regulation by the FERC, in contravention of rules prescribed by the FERC. The FERC’s rules implementing this provision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The Energy Policy Act of 2005 also gives the FERC authority to impose civil penalties for violations of the Natural Gas Act of 1938 and the Natural Gas Policy Act of 1978 up to $1,584,648 per day per violation (adjusted annually based on inflation) for 2025 soon to be adjusted for 2026. The anti-manipulation rule applies to activities of otherwise non-jurisdictional entities to the extent the activities are conducted “in connection with” natural gas sales, purchases or transportation subject to FERC jurisdiction, which includes the annual reporting requirements under Order 704 (defined below).</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2007, the FERC issued a final rule on the annual natural gas transaction reporting requirements, as amended by subsequent orders on rehearing (“Order 704”). Under Order 704, any market participant, including a producer such as us, that engages in wholesale sales or purchases of natural gas that equal or exceed 2.2 million MMBtus of physical natural gas in the previous calendar year, must annually report such sales and purchases to the FERC on Form No. 552 on May 1 of each year. Form No. 552 contains aggregate volumes of natural gas purchased or sold at wholesale in the prior calendar year to the extent such transactions utilize or contribute to the formation of price indices. It is the responsibility of the reporting entity to determine which individual transactions should be reported based on the guidance of Order 704. Order 704 is intended to increase the transparency of the wholesale natural gas markets and to assist the FERC in monitoring those markets and in detecting market manipulation.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FERC also regulates rates and service conditions for interstate transportation of liquids, including crude oil and NGL, under the Interstate Commerce Act (the “ICA”). Prices received from the sale of liquids may be affected by the cost of transporting those products to market. 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Rates of interstate liquids pipelines are currently regulated by the FERC primarily through an annual indexing methodology, under which pipelines increase or decrease their rates in accordance with an index adjustment specified by the FERC. In December 2020, the FERC concluded its five-year index review to establish the new inflationary adjustment for the five-year period commencing July 1, 2021, for liquid pipeline rates subject to indexing. In this review, the FERC considered changes to pipeline industry costs, including, among other things, the effects of the legislation known as the Tax Cuts and Jobs Act of 2017. The FERC issued an order on December 17, 2020 establishing an inflationary adjustment of Producer Price Index for Finished Goods (“PPI-FG”) plus 0.78% (PPI-FG+0.78%) for the five-year period commencing July 1, 2021 (the “December 2020 Order”). Numerous requests for rehearing were filed. On May 14, 2021, the FERC published the oil pricing index factor utilizing the inflationary adjustment factor established in the December 2020 Order, resulting in a negative percentage change of approximately 0.58% for the index year July 1, 2021 through June 30, 2022. On January 20, 2022, the FERC issued an order on rehearing in which it modified the methodology used to calculate the inflationary adjustment resulting in a revised inflationary adjustment for the five-year period commencing July 1, 2021, of PPI-FG minus 0.21% (PPI-FG-0.21%) (the “Rehearing Order”). As a result of the Rehearing Order, the index factor for the July 1, 2021 through June 30, 2022 index year provided for a negative percentage change of approximately 1.6%. The Rehearing Order was subsequently challenged and vacated by the D.C. Circuit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 109 F.4th 543 (D.C. Cir. 2024), reinstating the index level established by the December 2020 Order. On October 17, 2024, FERC issued a supplemental notice of proposed rulemaking in which FERC proposed to prospectively adopt the PPI-FG-0.21% index that was vacated by the D.C. Circuit and instituted a notice-and-comment process. On November 20, 2025, FERC withdrew the October 17, 2024 supplemental notice of proposed rulemaking and confirmed that the PPI-FG+0.78% index established in December 2020 will remain in place through June 30, 2026. On the same day, FERC approved limited relief for pipelines. Oil pipelines with index-based rates may recover applicable rate differences from March 1, 2022 to September 17, 2024 but only if such pipelines charged the maximum rate allowed under the applicable index ceiling during the relevant time period. Parties have since filed requests for clarification or rehearing to determine whether pipelines may recover rate differences in other scenarios.</w:t>
      </w:r>
    </w:p>
    <w:p>
      <w:pPr>
        <w:spacing w:after="0" w:line="191"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Under the FERC’s regulations, a liquids pipeline can request the authority to charge market-based rates for transportation service if it satisfies certain criteria, and also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Increases in liquids transportation rates may result in lower revenue and cash flows.</w:t>
      </w:r>
    </w:p>
    <w:p>
      <w:pPr>
        <w:sectPr>
          <w:pgSz w:w="11900" w:h="16838" w:orient="portrait"/>
          <w:cols w:equalWidth="0" w:num="1">
            <w:col w:w="11240"/>
          </w:cols>
          <w:pgMar w:left="320" w:top="580" w:right="33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due to common carrier regulatory obligations of liquids pipelines, capacity must be prorated among shippers in an equitable manner in the event there are nominations in excess of capacity. Therefore, requests for service by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 However, we believe that access to liquids pipeline transportation services generally will be available to us to the same extent as to our similarly situated competitors.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Intrastate liquids pipeline transportation rates are subject to regulation by state regulatory commissions. The basis for intrastate liquids pipeline regulation and the degree of regulatory oversight and scrutiny given to intrastate liquids pipeline rates, varies from state to state. We believe that the regulation of liquids pipeline transportation rates will not affect our operations in any way that is materially different from the effects on our similarly situated competitors.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FERC’s regulations, we are required to observe anti-market manipulation laws with regard to our physical sales of energy commodities.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2009, the FTC issued regulations pursuant to the Energy Independence and Security Act of 2007 intended to prohibit market manipulation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petroleum industry. Violators of the regulations face civil penalties of up to $1,510,803 per violation per day (adjusted annually based on inflation)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soon to be adjusted for 2026. In July 2010, Congress passed the Dodd-Frank Act, which incorporated an expansion of the authority of the Commodity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Futures Trading Commission (“CFTC”) to prohibit market manipulation in the markets regulated by the CFTC. This authority, with respect to crude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swaps and futures contracts, is similar to the anti-manipulation authority granted to the FTC with respect to crude oil purchases and sales. In July 2011,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CFTC issued final rules to implement its new anti-manipulation authority. The rules subject violators to a civil penalty of up to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$1,487,712 (adjusted annually based on inflation) for 2025 soon to be adjusted for 2026 or triple the monetary gain to the person for each violation.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Environmental and Occupational Safety and Health Matters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Crude oil and natural gas development operations are subject to numerous stringent federal, regional, state and local statutes and regulations governing occupational safety and health, the discharge of materials into the environment or otherwise relating to environmental protection, some of which carry substantial administrative, civil and criminal penalties for failure to comply. These laws and regulations may require the acquisition of a permit before drilling or other regulated activity commences; restrict the types, quantities and concentrations of various substances that can be released into the environment in connection with drilling, production and transporting through pipelines; govern the sourcing and disposal of water used in the drilling and completion process; limit or prohibit drilling activities in certain areas and on certain lands lying within wilderness, wetlands, frontier, seismically active areas and other protected areas; require some form of remedial action to prevent or mitigate pollution from former operations such as plugging abandoned wells or closing earthen pits; establish specific safety and health criteria addressing worker protection; and impose substantial liabilities for pollution resulting from operations or failure to comply with regulatory filings. In addition, these laws and regulations may restrict the rate of production.</w:t>
      </w:r>
    </w:p>
    <w:p>
      <w:pPr>
        <w:spacing w:after="0" w:line="18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regulatory burden on the crude oil and natural gas industry increases the cost of doing business in the industry and consequently affects profitability. While from time to time there have been periods of deregulation under certain U.S. presidential administrations, the general trend in environmental regulation has been to place more restrictions and limitations on activities that may affect the environment. Thus, any changes in environmental laws and regulations or re-interpretation of enforcement policies that result in more stringent and costly construction, drilling, water management, completion, emission or discharge limits or waste handling, disposal or remediation obligations could increase the cost to our operators of developing our properties. Moreover, accidental releases or spills may occur in the course of operations on our properties, causing our operators to incur significant costs and liabilities as a result of such releases or spills, including any third-party claims for damage to property, natural resources or persons.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more significant existing environmental and occupational health and safety laws and regulations, as amended from time to time, to which operations related to the Company’s assets may be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Hazardous Substances and Waste Handling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(“CERCLA”), also known as the “Superfund” law, and comparable state laws impose liability, without regard to fault or the legality of the original conduct, on certain classes of persons that are considered responsible for the release of a “hazardous substance” into the environment. These persons include the current and past owner or operator of the disposal site or the site where the release occurred and persons that disposed or arranged for the disposal or the transportation for disposal of the hazardous substances at the site where the release occurred. Under CERCLA, such persons may be subject to joint and several strict liability for the costs of cleaning up the hazardous substances that have been released into the environment and for damages to natural resources, and it is not uncommon for neighboring landowners and other third-parties to file claims for personal injury and property damage allegedly caused by the hazardous substances released into the environment. The failure of an operator other than the Company to comply with applicable environmental regulations may, in certain circumstances, be attributed to the Company.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 w:name="page24"/>
    <w:bookmarkEnd w:id="23"/>
    <w:p>
      <w:pPr>
        <w:ind w:right="120"/>
        <w:spacing w:after="0" w:line="254" w:lineRule="auto"/>
        <w:rPr>
          <w:sz w:val="20"/>
          <w:szCs w:val="20"/>
          <w:color w:val="auto"/>
        </w:rPr>
      </w:pPr>
      <w:r>
        <w:rPr>
          <w:rFonts w:ascii="Times New Roman" w:cs="Times New Roman" w:eastAsia="Times New Roman" w:hAnsi="Times New Roman"/>
          <w:sz w:val="18"/>
          <w:szCs w:val="18"/>
          <w:color w:val="auto"/>
        </w:rPr>
        <w:t>The Resource Conservation and Recovery Act (“RCRA”) and analogous state laws, impose detailed requirements for the generation, handling, storage, treatment and disposal of nonhazardous and hazardous solid wastes. RCRA specifically excludes drilling fluids, produced waters and other wastes associated with the development or production of crude oil, natural gas or geothermal energy from regulation as hazardous wastes. However, these wastes may be regulated by the EPA or state agencies under RCRA’s less stringent nonhazardous solid waste provisions, state laws or other federal laws. Moreover, it is possible that these particular crude oil and natural gas development and production wastes now classified as nonhazardous solid wastes could be classified as hazardous wastes in the future. A loss of the RCRA exclusion for drilling fluids, produced waters and related wastes could result in an increase in the costs to manage and dispose of generated wastes. In addition, in the course of operating the Company’s assets, it is possible that some amounts of ordinary industrial wastes will be generated, such as paint wastes, waste solvents, laboratory wastes and waste compressor oils that may be regulated as hazardous wastes if such wastes have hazardous characteristics.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assets consist of numerous properties that have been used for crude oil and natural gas development and production activities for many years. Hazardous substances, wastes or petroleum hydrocarbons may have been released on, under or from properties within the Company’s assets, or on, under or from other locations, including off-site locations, where such substances have been taken for recycling or disposal. In addition, some of the properties within the Company’s assets have been operated by third-parties or by previous owners or operators who have treated and disposed of hazardous substances, wastes or petroleum hydrocarbons. These properties and the substances disposed or released on, under or from them may be subject to CERCLA, RCRA and analogous state laws. Under such laws, the Company could be required to undertake responsive or corrective measures with respect to the Company’s assets, which could include removal of previously disposed substances and wastes, cleanup of contaminated property or performance of remedial plugging or pit closure operations to prevent future contamination.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Discharges, Fluid Disposal and NORM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Water Pollution Control Act, also known as the Clean Water Act (“CWA”) and comparable state laws impose restrictions and strict controls regarding the discharge of pollutants, including produced waters and other crude oil and natural gas wastes, into or near navigable waters. The discharge of pollutants into regulated waters is prohibited, except in accordance with the terms of a permit issued by the EPA or the state. The discharge of dredge and fill material in regulated waters, including wetlands, is also prohibited, unless authorized by a permit issued by the U.S. Army Corps of Engineers (the “Corps”). The scope of jurisdiction under the CWA has been subject to several rulemakings by the EPA in recent years and is subject to ongoing litigation. Most recently, in November 2025, the EPA and Corps published a rule to further update the definition of “waters of the United States”, guided by the U.S. Supreme Court’s decision in </w:t>
      </w:r>
      <w:r>
        <w:rPr>
          <w:rFonts w:ascii="Times New Roman" w:cs="Times New Roman" w:eastAsia="Times New Roman" w:hAnsi="Times New Roman"/>
          <w:sz w:val="18"/>
          <w:szCs w:val="18"/>
          <w:i w:val="1"/>
          <w:iCs w:val="1"/>
          <w:color w:val="auto"/>
        </w:rPr>
        <w:t>Sackett v. EPA.</w:t>
      </w:r>
      <w:r>
        <w:rPr>
          <w:rFonts w:ascii="Times New Roman" w:cs="Times New Roman" w:eastAsia="Times New Roman" w:hAnsi="Times New Roman"/>
          <w:sz w:val="18"/>
          <w:szCs w:val="18"/>
          <w:color w:val="auto"/>
        </w:rPr>
        <w:t xml:space="preserve"> To the extent any action further changes the scope of the CWA’s jurisdiction, the Company could face increased costs and delays with respect to obtaining permits for dredge and fill activities in wetland areas. The timeliness associated with obtaining permits also has the potential to delay the development of crude oil and natural gas projects. These laws and any implementing regulations provide for administrative, civil and criminal penalties for any unauthorized discharges of crude oil and other substances in reportable quantities and may impose substantial potential liability for the costs of removal, remediation and damages.</w:t>
      </w:r>
    </w:p>
    <w:p>
      <w:pPr>
        <w:spacing w:after="0" w:line="1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Pursuant to these laws and regulations, the Company may be required to obtain and maintain approvals or permits for the discharge of wastewater or storm water and are required to develop and implement spill prevention, control and countermeasure plans, also referred to as “SPCC plans,” in connection with on-site storage of significant quantities of crude oil.</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primary federal law related specifically to crude oil spill liability is the Oil Pollution Act (“OPA”), which amends and augments the crude oil spill provisions of the CWA and imposes certain duties and liabilities on certain “responsible parties” related to the prevention of crude oil spills and damages resulting from such spills in or threatening waters of the United States or adjoining shorelines. For example, operators of certain crude oil and natural gas facilities must develop, implement and maintain facility response plans, conduct annual spill training for certain employees and provide varying degrees of financial assurance. Owners or operators of a facility, vessel or pipeline that is a source of a crude oil discharge or that poses the substantial threat of discharge is one type of “responsible party” who is liable. The OPA applies joint and several liability, without regard to fault, to each liable party for crude oil removal costs and a variety of public and private damages. Although defenses exist, they are limited.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Fluids resulting from crude oil and natural gas production, consisting primarily of salt-water, are disposed by injection in belowground disposal wells regulated under the Underground Injection Control (“UIC”) program and analogous state laws. The UIC program requires permits from the EPA or an analogous state agency for the construction and operation of disposal wells, establishes minimum standards for disposal well operations, and may restrict the types and quantities of fluids that may be disposed. In addition, state and federal regulatory agencies have focused on a possible connection between crude oil and natural gas activity and induced seismicity. For example, in 2015, the United States Geological Study identified eight states, including Texas, with areas of induced seismicity that could be attributed to fluid injection or crude oil and natural gas extraction.</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In response to these concerns, some states, including Texas, have imposed additional requirements for the permitting of produced water disposal wells, such as volume and pressure limitations or seismicity thresholds for temporary cessations of activity. In December 2023, the Texas Railroad Commission (“TRRC”) issued a notice to suspend the permits of all deep disposal wells within the Northern Culberson-Reeves Seismic Response Area, and in May 2024, the TRRC released a seismicity response plan curtailing permitted injection volumes for certain wells in the Stanton Seismic Response Area. Most recently, in May 2025, the TRRC released updated guidance for disposal well permits in the Permian Basin that placed new limits on maximum injection pressure and volumes to ensure safety. The adoption and implementation of any new laws or regulations that restrict our operators’ ability to use hydraulic fracturing or dispose of produced water gathered from drilling and production activities by limiting volumes, disposal rates, disposal well locations or otherwise, or requiring them to shut down disposal wells, could have a material adverse effect on our business, financial condition and results of operations.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naturally occurring radioactive material (“NORM”) is brought to the surface in connection with crude oil and natural gas production. Comprehensive federal regulation does not currently exist for NORM; however, the EPA has studied the impacts of technologically enhanced NORM, and several states, including Texas, regulate the disposal of NORM. Concerns have arisen over traditional NORM disposal practices (including discharge through publicly owned treatment works into surface waters), which may increase the costs associated with management of NORM. To the extent that federal or state regulation increases the compliance costs for NORM disposal, operators may incur additional costs that may make some properties unprofitable to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 Emissions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Clean Air Act (“CAA”) and comparable state laws restrict the emission of air pollutants from many sources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compressor stations), through the imposition of air emissions standards, construction and operating permitting programs and other compliance requirements. These laws and regulations may require the Company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October 2015, the EPA lowered the National Ambient Air Quality Standard (“NAAQS”) for ozone from 75 to 70 parts per billion and completed attainment/non-attainment designations in July 2018. The EPA announced in December 2020 that it intended to leave ozone NAAQS unchanged at 70 parts per billion. In March 2025, the EPA announced a reconsideration of the ozone NAAQS. Reclassification of areas or imposition of more stringent standards may make it more difficult to construct new facilities or modify existing facilities in these newly designated non-attainment areas and result in increased expenditures for pollution control equipment, the costs of which could be significant.</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EPA has adopted new rules under the CAA that require the reduction of volatile organic compounds from certain fractured and refractured crude oil and natural gas wells for which well completion operations are conducted and further require that most wells use reduced emission completions, also known as “green completions.” These regulations also establish specific new requirements regarding emissions from production-related wet seal and reciprocating compressors, and from pneumatic controllers and storage vessels. In addition, the regulations place new requirements to detect and repair volatile organic compounds at certain crude oil and natural gas facilities. Compliance with these and other air pollution control and permitting requirements has the potential to delay the development of crude oil and natural gas projects and increase the costs of development, which costs could be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Greenhouse Gas Emissions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federal level, no comprehensive climate change legislation has been implemented to date. Under previous presidential administrations, the EPA adopted rules under authority of the CAA that, among other things, established prevention of significant deterioration (“PSD”) construction and Title V operating permit reviews for greenhouse gases (“GHG”) emissions from certain large stationary sources that are also potential major sources of certain principal, or criteria, pollutant emissions. In addition, the EPA also adopted rules requiring the monitoring and annual reporting of GHG emissions from certain petroleum and natural gas system sources in the U.S. later expanding such reporting requirements to all segments of the crude oil and natural gas industry, including gathering and boosting facilities as well as completions and workovers from hydraulically fractured crude oil wells. However, following the change in presidential administration, in February 2026, the EPA formally rescinded its “Endangerment Finding,” which provided the support underpinning the majority of the agency’s GHG-related regulations. At this time, it remains uncertain what impacts the rescission will have upon current regulations and whether any further actions will be taken by President Trump.</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right="60"/>
        <w:spacing w:after="0" w:line="258" w:lineRule="auto"/>
        <w:rPr>
          <w:sz w:val="20"/>
          <w:szCs w:val="20"/>
          <w:color w:val="auto"/>
        </w:rPr>
      </w:pPr>
      <w:r>
        <w:rPr>
          <w:rFonts w:ascii="Times New Roman" w:cs="Times New Roman" w:eastAsia="Times New Roman" w:hAnsi="Times New Roman"/>
          <w:sz w:val="18"/>
          <w:szCs w:val="18"/>
          <w:color w:val="auto"/>
        </w:rPr>
        <w:t>In recent years, federal agencies have begun directly regulating emissions of methane from crude oil and natural gas operations. For example, in December 2023, the EPA finalized a rule that established OOOOb as more stringent new source and OOOOc as first-time existing source standards of performance for methane and VOC emissions for the crude oil and natural gas source category. However, in March 2025, the EPA announced plans to reconsider OOOOb and OOOOc. Additionally, in November 2025, the EPA finalized an interim rule extending the compliance deadlines for certain provisions provided in OOOOb and OOOOc. Litigation challenging the EPA’s final interim rule remains pending.</w:t>
      </w:r>
    </w:p>
    <w:p>
      <w:pPr>
        <w:spacing w:after="0" w:line="3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August 2022, the IRA 2022 was signed into law, which amends the CAA to establish the first-ever federal fee on methane emissions that exceed certain thresholds from sources required to report their GHG emissions to the EPA, including certain crude oil and natural gas operations. Subsequently, in November 2024, the EPA issued a final rule implementing the methane emissions charge, although in February 2025, Congress repealed the rule under the Congressional Review Act. Additionally, in the One Big Beautiful Bill Act, Congress delayed the implementation of the methane emissions charge until 2034. We cannot predict if the Trump administration and/or Congress may take further action with respect to the IRA or methane emissions charge, the future implementation of which is uncertain at this time.</w:t>
      </w:r>
    </w:p>
    <w:p>
      <w:pPr>
        <w:spacing w:after="0" w:line="18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Additionally, certain stakeholders currently invested in the fossil fuel sector but concerned about the potential effects of climate change, may elect in the future to shift some or all of their investments into non-fossil fuel energy related sectors. Any limitation of investments in and financing for fossil fuel energy companies could result in the restriction, delay or cancellation of drilling programs or development or production activities. Ultimately, this could make it more difficult for operators to secure funding for exploration and production activities. In October 2023, the State of California adopted several laws that require disclosure on various climate risks, targets, and metrics. However, these laws are currently subject to litigation. Several other states are considering similar climate-related disclosure requirements. Enhanced climate-related disclosure requirements could increase operating costs and lead to reputational or other harm with customers, regulators, or other stakeholders to the extent that our disclosures do not meet their own standards or expectations. Consequently, we are also exposed to increased litigation risks relating to alleged climate-related damages resulting from our operations, statements alleged to have been made by us or others in our industry regarding climate change risks, or in connecting with any future disclosures we may make regarding reported emissions, particularly given the inherent uncertainties and estimation required with respect to calculating and reporting GHG emissions. 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the Company’s operations. For more information, please see our risk factor titled “The operations of HighPeak Energy are subject to a variety of risks arising from climate change.”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Hydraulic Fracturing Activities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crude oil and/or natural gas from dense subsurface rock formations. The hydraulic fracturing process involves the injection of water, proppants and chemicals under pressure into targeted subsurface formations to fracture the surrounding rock and stimulate production. Hydraulic fracturing is regularly used by operators of the Company’s assets. Hydraulic fracturing is typically regulated by state crude oil and natural gas commissions, but the EPA has asserted federal regulatory authority pursuant to the Safe Drinking Water Act (“SDWA”) over certain hydraulic fracturing activities involving the use of diesel fuels. The EPA has issued final regulations under the CAA establishing performance standards, including standards for the capture of air emissions released during hydraulic fracturing, and also finalized rules in June 2016 that prohibit the discharge of wastewater from hydraulic fracturing operations to publicly owned wastewater treatment plants.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state level, several states have adopted or are considering legal requirements that could impose more stringent permitting, disclosure and well construction requirements on hydraulic fracturing activities. For example, the TRRC has adopted a “well integrity rule,” which updated the requirements for drilling, putting pipe down and cementing wells. The rule also imposes new testing and reporting requirements, such as (i) the requirement to submit cementing reports after well completion or after cessation of drilling, whichever is later, and (ii) the imposition of additional testing on wells less than 1,000 feet below usable groundwater. Local governments also may seek to adopt ordinances within their jurisdictions regulating the time, place and manner of drilling activities in general or hydraulic fracturing activities in particular.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right="220"/>
        <w:spacing w:after="0" w:line="261" w:lineRule="auto"/>
        <w:rPr>
          <w:sz w:val="20"/>
          <w:szCs w:val="20"/>
          <w:color w:val="auto"/>
        </w:rPr>
      </w:pPr>
      <w:r>
        <w:rPr>
          <w:rFonts w:ascii="Times New Roman" w:cs="Times New Roman" w:eastAsia="Times New Roman" w:hAnsi="Times New Roman"/>
          <w:sz w:val="18"/>
          <w:szCs w:val="18"/>
          <w:color w:val="auto"/>
        </w:rPr>
        <w:t>Compliance with existing laws has not had a material adverse effect on operations related to the Company’s assets, but if new or more stringent federal, state or local legal restrictions relating to the hydraulic fracturing process are adopted in areas where the Company’s assets are located, operators could incur potentially significant added costs to comply with such requirements, experience delays or curtailment in the pursuit of development activities, and perhaps even be precluded from drilling wells.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Endangered Species Act and Migratory Birds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Endangered Species Act (“ESA”) and (in some cases) comparable state laws were established to protect endangered and threatened species. Pursuant to the ESA, if a species is listed as threatened or endangered, restrictions may be imposed on activities adversely affecting that species’ habitat. The U.S. Fish and Wildlife Service (“FWS”) may designate critical habitat and suitable habitat areas that it believes are necessary for survival of a threatened or endangered species. A critical habitat or suitable habitat designation could result in further material restrictions to land use and may materially delay or prohibit land access for crude oil and natural gas development. Similar protections are offered to migratory birds under the Migratory Bird Treaty Act (“MBTA”). The federal government in the past has pursued enforcement actions against crude oil and natural gas companies under the MBTA after dead migratory birds were found near reserve pits associated with drilling activities. The identification or designation of previously unprotected species as threatened or endangered in areas where underlying property operations are conducted could cause increased costs arising from species protection measures or could result in limitations on development activities that could have an adverse impact on the ability to develop and produce reserves within the Company’s assets. For example, in May 2024, the dunes sagebrush lizard was listed as endangered under the ESA, although this decision has been challenged. And, in November 2022 the FWS listed two distinct population segments of the lesser prairie-chicken under the ESA, although in March 2025, in the U.S. District Court for the Western District of Texas vacated the rule for the northern distinct population segment. To the extent species or others are listed, the FWS and similar state agencies may designate critical or suitable habitat areas that they believe are necessary for the survival of threatened or endangered species. If a portion of the Company’s assets were to be designated as a critical or suitable habitat, it could adversely impact the value of the Company’s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Occupational Safety and Health Act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be subject to the requirements of the federal Occupational Safety and Health Act (“OSHA”) and comparable state statutes whose purpose is to protect the health and safety of workers. Violations can result in civil or criminal penalties as well as required abatement. In addition, the OSHA hazard communication standard, the Emergency Planning and Community Right-to-Know Act and comparable state statutes and any implementing regulations require that the Company organizes and/or disclose information about hazardous materials used or produced in its operations and that this information be provided to employees, state and local governmental authorities and citizens.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Permits and Authorizations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Many environmental laws require permits or other authorizations from state and/or federal agencies before initiating certain drilling, construction, production, operation or other crude oil and natural gas activities, and require maintaining these permits and compliance with their requirements for on-going operations. These permits are generally subject to protest, appeal or litigation, which could in certain cases delay or halt projects and cease production or operation of wells, pipelines and other operations related to the Company’s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Insurance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insurance against some risks associated with above or underground contamination that may occur as a result of development activities. However, this insurance is limited to activities at the well site and there can be no assurance that this insurance will continue to be commercially available or that this insurance will be available at premium levels that justify its purchase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the foundation to fostering the safe operation of our assets. We foster a collaborative, respectful and safety-minded work environment, focusing on working safely every day. We seek to identify qualified internal and external talent for our organization, enabling us to execute on our strategic objectives.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fifty full-time employees dedicated to operating the Company’s assets. None of these employees are covered by collective bargaining agreements, and we consider our employee relations to be good.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Safety is important to us and begins with the protection and safety of our employees, contractors and communities where we operate. We value people above all else and remain committed to making safety and health our top priority. We continually seek to maintain and deepen our safety culture by providing a safe working environment that encourages active employee engagement, including implementing safety programs to achieve improvements in our safety culture.</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Company has taken steps to keep its employees safe during pandemics by implementing preventative measures and developing response plans intended to minimize unnecessary risk of exposure and infection among its employees. The Company has also modified certain business practices to conform to best practices encouraged by the Centers for Disease Control and Prevention, and other governmental and regulatory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Equal Employment Opportunity</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committed to fostering a work environment in which all employees treat each other with dignity and respect. This commitment extends to providing equal employment and advancement opportunities based on merit in accordance with applicable law. We continually strive to attract a multitalented workforce by identifying potential candidates to advance and strengthen our human capital management program.</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employee population allows us to embrace various perspectives, skill, knowledge and culture across our operations to achieve our social obligations and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 and Retention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value and provide opportunities for cross training and increased responsibilities, including leadership learning. These efforts allow us to recruit from within our organization for future vocational and occupational opportunities. Our management promotes formal and informal learning and development throughout the organization. We offer developmental programs focused on building the skills of our employees and to help advance employee careers, knowledge, and skillsets through training and related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is not party to lawsuits related to its assets other than those arising in the ordinary course of business. Due to the nature of the crude oil and natural gas business, HighPeak Energy may, from time to time, be involved in other routine litigation or subject to disputes or claims related to the operation of the Company’s assets, including workers’ compensation claims and employment related disputes. In the opinion of management, none of these other pending litigation, disputes or claims against HighPeak Energy, if decided adversely, would have a material adverse effect on the Company’s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field office for HighPeak Energy is located at 24 Smith Rd, Suite 502, Midland, Texas 79705.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directors of our Board and certain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8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Hollis</w:t>
            </w:r>
          </w:p>
        </w:tc>
        <w:tc>
          <w:tcPr>
            <w:tcW w:w="13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50</w:t>
            </w:r>
          </w:p>
        </w:tc>
        <w:tc>
          <w:tcPr>
            <w:tcW w:w="72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Rodney L. Woodard</w:t>
            </w:r>
          </w:p>
        </w:tc>
        <w:tc>
          <w:tcPr>
            <w:tcW w:w="13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70</w:t>
            </w:r>
          </w:p>
        </w:tc>
        <w:tc>
          <w:tcPr>
            <w:tcW w:w="72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W. Tholen</w:t>
            </w:r>
          </w:p>
        </w:tc>
        <w:tc>
          <w:tcPr>
            <w:tcW w:w="13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75</w:t>
            </w:r>
          </w:p>
        </w:tc>
        <w:tc>
          <w:tcPr>
            <w:tcW w:w="72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Silver</w:t>
            </w:r>
          </w:p>
        </w:tc>
        <w:tc>
          <w:tcPr>
            <w:tcW w:w="13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42</w:t>
            </w:r>
          </w:p>
        </w:tc>
        <w:tc>
          <w:tcPr>
            <w:tcW w:w="72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 Hightower</w:t>
            </w:r>
          </w:p>
        </w:tc>
        <w:tc>
          <w:tcPr>
            <w:tcW w:w="13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43</w:t>
            </w:r>
          </w:p>
        </w:tc>
        <w:tc>
          <w:tcPr>
            <w:tcW w:w="72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Forbes</w:t>
            </w:r>
          </w:p>
        </w:tc>
        <w:tc>
          <w:tcPr>
            <w:tcW w:w="13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63</w:t>
            </w:r>
          </w:p>
        </w:tc>
        <w:tc>
          <w:tcPr>
            <w:tcW w:w="72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A. Edgeworth</w:t>
            </w:r>
          </w:p>
        </w:tc>
        <w:tc>
          <w:tcPr>
            <w:tcW w:w="13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41</w:t>
            </w:r>
          </w:p>
        </w:tc>
        <w:tc>
          <w:tcPr>
            <w:tcW w:w="72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M. Chernosky</w:t>
            </w:r>
          </w:p>
        </w:tc>
        <w:tc>
          <w:tcPr>
            <w:tcW w:w="13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66</w:t>
            </w:r>
          </w:p>
        </w:tc>
        <w:tc>
          <w:tcPr>
            <w:tcW w:w="72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A. Covington</w:t>
            </w:r>
          </w:p>
        </w:tc>
        <w:tc>
          <w:tcPr>
            <w:tcW w:w="13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62</w:t>
            </w:r>
          </w:p>
        </w:tc>
        <w:tc>
          <w:tcPr>
            <w:tcW w:w="72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F. Fulgham</w:t>
            </w:r>
          </w:p>
        </w:tc>
        <w:tc>
          <w:tcPr>
            <w:tcW w:w="13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48</w:t>
            </w:r>
          </w:p>
        </w:tc>
        <w:tc>
          <w:tcPr>
            <w:tcW w:w="72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C. Oldham</w:t>
            </w:r>
          </w:p>
        </w:tc>
        <w:tc>
          <w:tcPr>
            <w:tcW w:w="132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72</w:t>
            </w:r>
          </w:p>
        </w:tc>
        <w:tc>
          <w:tcPr>
            <w:tcW w:w="72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L. Hollis </w:t>
      </w:r>
      <w:r>
        <w:rPr>
          <w:rFonts w:ascii="Times New Roman" w:cs="Times New Roman" w:eastAsia="Times New Roman" w:hAnsi="Times New Roman"/>
          <w:sz w:val="18"/>
          <w:szCs w:val="18"/>
          <w:color w:val="auto"/>
        </w:rPr>
        <w:t>has served as our Chief Executive Officer since November 2025 and President and as a member of our Board since August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HighPeak business combination, Mr. Hollis served as Pure’s President from December 2019 until August 2020. Prior to joining Pure, Mr. Hollis served as President and Chief Operating Officer (“COO”) of Diamondback Energy, Inc. (“Diamondback”) (Nasdaq: FANG), a Permian focused oil and gas producer, from January 2017 through September 2019, prior to which he served as COO since 2015 and Vice President of Drilling. From 2011 to 2019, Mr. Hollis also served on the board of directors for Diamondback and on the board of directors of Viper Energy Partners LP (Nasdaq: VNOM) from 2014 to 2019. Prior to his positions at Diamondback, Mr. Hollis was a Drilling Manager at Chesapeake Energy Corporation and also held roles of increasing responsibility in production, completions and drilling engineering at ConocoPhillips and Burlington Resources Inc. Mr. Hollis has over 25 years of oil and gas experience and graduated from Louisiana State University in 1998 with a Bachelor of Science in Chemical Engineering.</w:t>
      </w:r>
    </w:p>
    <w:p>
      <w:pPr>
        <w:spacing w:after="0" w:line="18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Rodney L. Woodard </w:t>
      </w:r>
      <w:r>
        <w:rPr>
          <w:rFonts w:ascii="Times New Roman" w:cs="Times New Roman" w:eastAsia="Times New Roman" w:hAnsi="Times New Roman"/>
          <w:sz w:val="18"/>
          <w:szCs w:val="18"/>
          <w:color w:val="auto"/>
        </w:rPr>
        <w:t>has served as our Chief Operating Officer since August 2020. Prior to the HighPeak business combination, Mr. Woodard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40 years of experience in the oil and gas industry as a CEO, COO, and leader of Engineering and Operations of numerous E&amp;P companies. Mr. Woodard has served as the Executive Vice President &amp; COO for the HighPeak Funds from 2017 to the present. From 2016 to 2017, Mr. Woodard presented portfolio company investment proposals to acquire and develop oil and gas assets in the Permian Basin to several private equity firms. Mr. Woodard served as the President and COO of Atlantic Resources Co., LLC (“Atlantic”) from 2015 to 2016. Prior to Atlantic, Mr. Woodard served as CEO and COO of Celero II, a Natural Gas Partners portfolio company, with operations principally in the Permian Basin from 2006 to 2015. Prior to Celero II, Mr. Woodard served as Executive Vice President and COO of Celero, a Quantum Energy Partners portfolio company from 2004 to 2006. From 2002 to 2004, Mr. Woodard was Vice President of Reserves and Evaluations with Pure Resources (NYSE: PRS) and was a co-founder of its predecessor, Titan Exploration (Nasdaq: TEXP). From 1986 to 1995, Mr. Woodard held various positions of increasing responsibility at Selma International Investments Ltd. From 1979 to 1986, Mr. Woodard held various positions at Delta Drilling Company, obtaining the position of Division Manager for West Texas. Mr. Woodard held various positions at Amoco Production Company from 1977 to 1979. Mr. Woodard graduated from The Pennsylvania State University in 1977 with a Bachelor of Science degree in Mechanical Engineering.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Steven W. Tholen </w:t>
      </w:r>
      <w:r>
        <w:rPr>
          <w:rFonts w:ascii="Times New Roman" w:cs="Times New Roman" w:eastAsia="Times New Roman" w:hAnsi="Times New Roman"/>
          <w:sz w:val="18"/>
          <w:szCs w:val="18"/>
          <w:color w:val="auto"/>
        </w:rPr>
        <w:t>has served as our Chief Financial Officer (“CFO”) since HighPeak Energy’s inception in October 2019 and is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Executive with over 30 years of experience in building, leading and advising corporations through complex restructurings, purchase and sales transactions, and capital market transactions. Mr. Tholen has served as the CFO for the HighPeak Funds since 2014. Previously, Mr. Tholen served as co-founder and Executive Vice President - Finance of Fieldco Construction Services, Inc., which provided oilfield construction services to clients throughout East Texas &amp; Western Louisiana, from 2011 to 2014. From 2009 to 2013, Mr. Tholen served as founder and President of SDL&amp;T Energy Partners, a source of equity &amp; debt financing to fund energy companies and energy projects worldwide. From 2001 to 2008, Mr. Tholen was Senior Vice President &amp; CFO of Harvest Natural Resources, Inc., an E&amp;P company with properties in the United States, Venezuela, Indonesia, Gabon, and Russia. From 1995 to 2000, Mr. Tholen served as Vice President and CFO of Penn Virginia Corporation, an independent natural gas and oil company. From 1990 to 1995, Mr. Tholen was Treasurer/Manager of Business Administration of Cabot Oil &amp; Gas Corporation, a North American independent natural gas producer. Mr. Tholen graduated from St. John’s University with a Bachelor of Science degree in Physics in 1971 and earned his Master of Business Administration in Finance from The University of Denver, Daniels School of Business in 1979.</w:t>
      </w:r>
    </w:p>
    <w:p>
      <w:pPr>
        <w:spacing w:after="0" w:line="18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Daniel Silver </w:t>
      </w:r>
      <w:r>
        <w:rPr>
          <w:rFonts w:ascii="Times New Roman" w:cs="Times New Roman" w:eastAsia="Times New Roman" w:hAnsi="Times New Roman"/>
          <w:sz w:val="18"/>
          <w:szCs w:val="18"/>
          <w:color w:val="auto"/>
        </w:rPr>
        <w:t>has served as our Executive Vice President since November 2025, a member of the Board since September 2025, Vice President-Finance since August 2020 and previously served as our Vice President from our inception in October 2019 until August 2020. In addition to his finance role, he served as the head of the Human Resources and Information Technology departments. Mr. Silver was appointed as the Chief Executive Officer of HighPeak Energy Partners, LP and HighPeak Energy Partners II, LP (collectively, the “HighPeak Energy Partnerships”), each a private equity company, and HighPeak Energy Management LLC, a registered investment advisor, in September 2025. Prior to that appointment, he served as the Managing Director and Chief Compliance Officer of the HighPeak Energy Partnerships and HighPeak Energy Management since January 2014. Prior to his involvement in the formation of HighPeak Energy Partnerships and HighPeak Energy Management, he worked at Bluestem Energy Partners, LP (“Bluestem”), a limited partnership formed to acquire and produce oil and gas producing properties, as the lead financial analyst. Prior to Bluestem, he worked as a manager in the valuation and litigation department of Whitley Penn. Mr. Silver currently serves on the board of directors of the Association of Finance and Insurance Professionals, a nonprofit which provides training and certifications for finance and insurance professionals in the automotive and motor sports industries. He holds a B.B.A. summa cum laude from Mays Business School at Texas A&amp;M University.</w:t>
      </w:r>
    </w:p>
    <w:p>
      <w:pPr>
        <w:spacing w:after="0" w:line="18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William R. Hightower </w:t>
      </w:r>
      <w:r>
        <w:rPr>
          <w:rFonts w:ascii="Times New Roman" w:cs="Times New Roman" w:eastAsia="Times New Roman" w:hAnsi="Times New Roman"/>
          <w:sz w:val="18"/>
          <w:szCs w:val="18"/>
          <w:color w:val="auto"/>
        </w:rPr>
        <w:t>has served as our Executive Vice President since November 2025, Vice President Business Development since August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Hightower helped found the HighPeak Energy Partnerships and was also directly involved with Pure, the special purpose acquisition company that purchased the assets of the HighPeak Energy partnerships which led to the formation of the Company. Mr. Hightower has over 18 years of oil and gas industry experience, primarily in land acquisitions and business development. Prior to joining the Company, Mr. Hightower worked independently buying oil and gas leases, mineral and royalty interests, and non-operated working interests in several areas including the Haynesville Shale, Eagleford Shale, Delaware Basin, Midland Basin and the Eastern Shelf for his own account. In 2007, Mr. Hightower co-founded and was a managing partner of TEMA Fund, LP, a mineral and royalty acquisition fund focused on acquiring oil and gas interests in the East Texas Embayment area. In such capacity he was responsible for mineral and royalty acquisition efforts, financial evaluations, title due diligence, landowner negotiations, investor relations, mineral management of the Fund’s assets, and the Fund’s accounting and banking practices. Prior to TEMA, Mr. Hightower served as a Portfolio Operations Analyst for Highland Capital Management, LP, a leading credit and alternative investments hedge fund. Mr. Hightower graduated summa cum laude from Texas Tech University with a B.A. in Finance in 2005 and was recognized as the highest-ranking graduate in his class from Rawls College of Business.</w:t>
      </w:r>
    </w:p>
    <w:p>
      <w:pPr>
        <w:spacing w:after="0" w:line="18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Keith Forbes </w:t>
      </w:r>
      <w:r>
        <w:rPr>
          <w:rFonts w:ascii="Times New Roman" w:cs="Times New Roman" w:eastAsia="Times New Roman" w:hAnsi="Times New Roman"/>
          <w:sz w:val="18"/>
          <w:szCs w:val="18"/>
          <w:color w:val="auto"/>
        </w:rPr>
        <w:t>has served as our Vice President and Chief Accounting Officer (“CAO”) since November 2020 and previously served as our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Controller from our inception in October 2019 until November 2020. Mr. Forbes has over 30 years of experience in various field and corporate accounting functions and business organization functions for large, geographically diverse public companies. Before his appointment as CAO to HighPeak Energy, Mr. Forbes served as Vice President and Controller of the HighPeak Funds since 2017. Mr. Forbes additionally served as Director-Business Optimization at Quicksilver Resources Inc. from December 2015 through April 2016, and as Assistant Controller-Operations and Revenue at Quicksilver Resources Inc. from June 2012 through November 2015. Mr. Forbes is a certified public accountant in Texas. Mr. Forbes graduated from Pittsburg State University with a Bachelor of Business Administrations degree in Accounting in 1985.</w:t>
      </w:r>
    </w:p>
    <w:p>
      <w:pPr>
        <w:spacing w:after="0" w:line="183"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Jason A. Edgeworth </w:t>
      </w:r>
      <w:r>
        <w:rPr>
          <w:rFonts w:ascii="Times New Roman" w:cs="Times New Roman" w:eastAsia="Times New Roman" w:hAnsi="Times New Roman"/>
          <w:sz w:val="18"/>
          <w:szCs w:val="18"/>
          <w:color w:val="auto"/>
        </w:rPr>
        <w:t>has served as Chairman of the Board since November 2025 on our Board since 2023 and as an Investment and Asset 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John Paul DeJoria family office since 2020 with responsibility for diligence, execution and investor relations.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Previously, Mr. Edgeworth served as an Executive Director of Investment &amp; Merchant Banking at U.S. Capital Advisors LLC from 2013 to 2020. Mr. Edgeworth’s responsibilities included diligence, execution and investor communications with a focus on equity market transactions, including initial public offerings, follow on equity offerings, at-the-market equity offerings and preferred equity offerings, for public E&amp;P companies and midstream companies. Mr. Edgeworth also advised on merchant banking and private equity transactions for the midstream and service sectors of the oil and gas industry both domestically and internationally.</w:t>
      </w:r>
    </w:p>
    <w:p>
      <w:pPr>
        <w:spacing w:after="0" w:line="18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From 2008 to 2012, Mr. Edgeworth served as an equity analyst at CLW Investments and Twin Eagle Resource Management and also AEW Europe and Curzon Global Partners where he focused on the energy sector and commercial and mixed-use real estate.</w:t>
      </w:r>
    </w:p>
    <w:p>
      <w:pPr>
        <w:spacing w:after="0" w:line="16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Mr. Edgeworth serves on or has served on the board of several companies including Borealis Alaska Oil, Inc. and Badger Midstream Energy, LP. Mr. Edgeworth graduated from the University of St. Andrews in 2008 with a Master of Arts in International Relations. Mr. Edgeworth is a Chartered Alternative Investment Analyst.</w:t>
      </w:r>
    </w:p>
    <w:p>
      <w:pPr>
        <w:spacing w:after="0" w:line="172"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Jay M. Chernosky </w:t>
      </w:r>
      <w:r>
        <w:rPr>
          <w:rFonts w:ascii="Times New Roman" w:cs="Times New Roman" w:eastAsia="Times New Roman" w:hAnsi="Times New Roman"/>
          <w:sz w:val="17"/>
          <w:szCs w:val="17"/>
          <w:color w:val="auto"/>
        </w:rPr>
        <w:t>has served on our Board since August 2020 and is currently a Principal of Travis Energy Partners LP since 2019, Jayco Holdings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LP since 2005, Jayco Holdings II, LP since 2010, Jayco Holdings LLC since 2005, Bertrand Properties LP and Bertrand Properties, Inc. since 2000, Vargas Properties LP since 2022, which are private family-owned real estate and energy investment entities. Mr. Chernosky was previously a Managing Director of the Energy &amp; Power Corporate &amp; Investment Banking group at Wells Fargo Securities from 2009 until his retirement in 2019. Mr. Chernosky joined Wells Fargo’s predecessor firm Wachovia Securities (formerly First Union) in 1993 as a co-founder of the energy practice. Prior to joining Wells Fargo Securities, Mr. Chernosky worked in various capacities in the Energy Division of First City, Texas - Houston for 10 years. During his career, Mr. Chernosky was charged with developing strategic and financial ideas and solutions for relationships he managed for the bank and was also responsible for the origination and execution of public and private capital markets activities, including equities, bonds, convertibles, private placements, loan syndications and merger and acquisition advisory services. During this time, Mr. Chernosky’s primary focus was on the upstream sector of the oil and gas industry.</w:t>
      </w:r>
    </w:p>
    <w:p>
      <w:pPr>
        <w:spacing w:after="0" w:line="17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Currently, Mr. Chernosky serves as Lead Director on the board of directors of Colt Midstream LLC, a private gas gathering and processing company focused in the Fort Worth Basin of Texas since 2019. Mr. Chernosky also serves on the Board of Directors of the Memorial Empowerment Fund, an endowment for St. John the Divine church.</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Mr. Chernosky has served on the Endowment Board of the Christian Community Service Center and as a director on the Christian Community board of directors. Mr. Chernosky served on the board of directors and is an active member of the Houston Producers’ Forum. Mr. Chernosky served on the regional board of directors of OneGoal Houston, a non-profit organization.</w:t>
      </w:r>
    </w:p>
    <w:p>
      <w:pPr>
        <w:spacing w:after="0" w:line="176"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Mr. Chernosky graduated from The University of Texas at Austin with a Bachelor of Business Administration in 1981 and received a Master of Business Administration from the University of Houston in 1983. Mr. Chernosky is also a graduate of the Southwestern Graduate School of Banking at Southern Methodist University in 1993.</w:t>
      </w:r>
    </w:p>
    <w:p>
      <w:pPr>
        <w:spacing w:after="0" w:line="172"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Keith A. Covington </w:t>
      </w:r>
      <w:r>
        <w:rPr>
          <w:rFonts w:ascii="Times New Roman" w:cs="Times New Roman" w:eastAsia="Times New Roman" w:hAnsi="Times New Roman"/>
          <w:sz w:val="18"/>
          <w:szCs w:val="18"/>
          <w:color w:val="auto"/>
        </w:rPr>
        <w:t>has served on our Board since August 2020 and is an active real estate investor specializing in residential properties in southern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for the past 30 years, serving as a General Partner for Magnolia Partners since 2002.</w:t>
      </w:r>
    </w:p>
    <w:p>
      <w:pPr>
        <w:spacing w:after="0" w:line="159"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Mr. Covington was an independent director on the board of directors of Gores Holdings IX, Inc. (a Special Purpose Acquisition Company (“SPAC”)), and a member of both its audit and compensation committees since its January 2022 IPO for $525 million until it was liquidated to stockholders at par in December 2024. Mr. Covington was an independent director on the board of directors of Gores Holdings VII, Inc., a SPAC, and a member of both its audit and compensation committees since its February 2021 IPO for $550 million, which was liquidated to stockholders at par in December 2022.</w:t>
      </w:r>
    </w:p>
    <w:p>
      <w:pPr>
        <w:spacing w:after="0" w:line="164" w:lineRule="exact"/>
        <w:rPr>
          <w:sz w:val="20"/>
          <w:szCs w:val="20"/>
          <w:color w:val="auto"/>
        </w:rPr>
      </w:pPr>
    </w:p>
    <w:p>
      <w:pPr>
        <w:jc w:val="both"/>
        <w:ind w:right="200" w:firstLine="486"/>
        <w:spacing w:after="0" w:line="258" w:lineRule="auto"/>
        <w:rPr>
          <w:sz w:val="20"/>
          <w:szCs w:val="20"/>
          <w:color w:val="auto"/>
        </w:rPr>
      </w:pPr>
      <w:r>
        <w:rPr>
          <w:rFonts w:ascii="Times New Roman" w:cs="Times New Roman" w:eastAsia="Times New Roman" w:hAnsi="Times New Roman"/>
          <w:sz w:val="18"/>
          <w:szCs w:val="18"/>
          <w:color w:val="auto"/>
        </w:rPr>
        <w:t>Mr. Covington was a founding board member of Pure Resources, an energy company engaged in the exploration and development of oil and gas properties which had a market capitalization of over $1 billion and served such directorship from 2000 to 2002. As an independent director for over two years, Mr. Covington served as chairman of the audit committee and member of the compensation committee of Pure Resources and was a co-member of the special committee responsible for evaluating, negotiating and recommending on behalf of company shareholders the acquisition of Pure Resources to Unocal Corporation (acquired by Chevron Corporation) in October 2002.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Mr. Covington served in various capacities over 11 years at Davis Companies from 1991 to 2002, where he was Vice President and earlier served as Principal of Stone Canyon Venture Partners, LLC. Mr. Covington’s tenure included responsibility in the real estate and private equity/venture capital groups within the organization. Investment and operational experience within these areas included investments in trophy commercial and mixed-use real estate assets, gaming ventures, a chain of upscale health clubs, resort properties and hotels, a restaurant and a technology company. His responsibilities included extensive independent due diligence for potential acquisitions, financial analysis and comprehensive asset management for equity investments in real estate assets and operating companies valued at over $10 billion. Prior professional experience includes Janss Corporation, a Santa Monica, California real estate developer where he was responsible for due diligence and financial structuring and leasing of residential and commercial real estate projects from 1989 to 1990. Mr. Covington started his career as a Financial Analyst at PaineWebber Group Inc. (UBS Investment Bank) in New York with experience in real estate investment banking transactions including sale/leasebacks and the firm’s largest initial public offering and real estate master limited partnership from 1985 to 1987. Mr. Covington received his Master of Business Administration from the Stanford Graduate School of Business and earned a Bachelor of Arts cum laude in Economics from Claremont McKenna College. Mr. Covington maintains a California real estate broker’s license and has maintained board governance expertise through participation in KPMG’s Audit Committee Institute. Mr. Covington has previously served as Chief Financial Officer for the El Segundo Senior Housing Board for over five years.</w:t>
      </w:r>
    </w:p>
    <w:p>
      <w:pPr>
        <w:spacing w:after="0" w:line="183"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Sharon F. Fulgham </w:t>
      </w:r>
      <w:r>
        <w:rPr>
          <w:rFonts w:ascii="Times New Roman" w:cs="Times New Roman" w:eastAsia="Times New Roman" w:hAnsi="Times New Roman"/>
          <w:sz w:val="18"/>
          <w:szCs w:val="18"/>
          <w:color w:val="auto"/>
        </w:rPr>
        <w:t>has served on our Board since August 2020 and is currently a partner of the Fulgham Hampton Law Group since August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Fulgham has also been associated with Carlisle Title since December 2016 and with Independence Title since 2023. Prior to working at Fulgham Law Firm, P.C., Ms. Fulgham was a partner at Kelly Hart &amp; Hallman from January 2016 to November 2016 and an associate at Kelly Hart &amp; Hallman from 2009 to 2016. During her legal career, Ms. Fulgham has represented numerous public and private companies in litigation matters including commercial and employment disputes. Specifically, she has extensive experience representing companies in the oil and gas sector, as well as experience in the title industry preparing title documents for real estate closings and instruction to brokers and realtors.</w:t>
      </w:r>
    </w:p>
    <w:p>
      <w:pPr>
        <w:spacing w:after="0" w:line="186"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Ms. Fulgham has served the Fort Worth community extensively through the Junior League of Fort Worth, Inc. (the “Junior League”), a charitable nonprofit organization of women committed to promoting volunteerism, developing the potential of women and improving communities, both as a community volunteer and in leadership roles within the organization. She served as Vice President of Administration and was a member of the board of directors from 2015 to 2016. Ms. Fulgham is currently a sustaining member of the Junior League. Ms. Fulgham was also involved in the Young Men’s Service League from 2021 to 2025, a national nonprofit made up of mothers and their teenage sons who volunteer together to serve their local communities, and served on the board of directors for the local chapter from 2021 to 2024.</w:t>
      </w:r>
    </w:p>
    <w:p>
      <w:pPr>
        <w:spacing w:after="0" w:line="18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Ms. Fulgham graduated cum laude from Texas Christian University with a Bachelor of Science in Biology in 2000 and went on to obtain her Juris Doctorate from the University of Houston in 2004.</w:t>
      </w:r>
    </w:p>
    <w:p>
      <w:pPr>
        <w:spacing w:after="0" w:line="158" w:lineRule="exact"/>
        <w:rPr>
          <w:sz w:val="20"/>
          <w:szCs w:val="20"/>
          <w:color w:val="auto"/>
        </w:rPr>
      </w:pPr>
    </w:p>
    <w:p>
      <w:pPr>
        <w:jc w:val="cente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Larry C. Oldham </w:t>
      </w:r>
      <w:r>
        <w:rPr>
          <w:rFonts w:ascii="Times New Roman" w:cs="Times New Roman" w:eastAsia="Times New Roman" w:hAnsi="Times New Roman"/>
          <w:sz w:val="18"/>
          <w:szCs w:val="18"/>
          <w:color w:val="auto"/>
        </w:rPr>
        <w:t>has served on our Board since August 2020 and currently serves as a Manager and Advisor of Gateway Royalty VI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(“Gateway VI”) since 2022. Gateway VI is the sixth entity of the Gateway Royalty companies, which were founded by Chris Oldham, Mr. Oldham’s son, and have been successful in acquiring oil and gas minerals and royalties in the Utica Shale since 2012. Mr. Oldham is also a Manager of Gateway Royalty</w:t>
      </w:r>
    </w:p>
    <w:p>
      <w:pPr>
        <w:ind w:right="280" w:firstLine="8"/>
        <w:spacing w:after="0" w:line="255" w:lineRule="auto"/>
        <w:tabs>
          <w:tab w:leader="none" w:pos="2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since 2016, Gateway Royalty IV LLC since 2018 and Gateway Royalty V LLC since 2019. In addition, Mr. Oldham has been actively advising Gateway Royalty II LLC and Gateway Royalty I LLC since 2014 and 2012, respectively. Additionally, Mr. Oldham has served as Manager of Oldham Properties, Ltd. since 1990.</w:t>
      </w:r>
    </w:p>
    <w:p>
      <w:pPr>
        <w:spacing w:after="0" w:line="18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Mr. Oldham currently serves as an Operating Partner in Mountain Capital LLC, a private equity firm located in Houston, Texas since 2015 and serves on the board of directors of Hannathon Petroleum II, a private oil and gas company headquartered in Midland, Texas since 2023. Mr. Oldham has served on the board of directors of Saddleback Exploration Inc., a private oil and gas company headquartered in Tulsa, Oklahoma from 2015 until it was sold in 2023. Mr. Oldham is also a member of the board of directors of the West Texas A&amp;M University Foundation.</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1979, Mr. Oldham founded Parallel Petroleum Corporation (“Parallel”), an independent energy company headquartered in Midland, Texas, which engaged in the acquisition, development and production of long-lived oil and gas properties, primarily in the Permian Basin. Parallel completed its initial public offering in 1980 and in December 2009 was acquired by an affiliate of Apollo Global Management, Inc. (formerly known as Apollo Global Management, LLC), which was sold to Samsung C&amp;T Corporation in December of 2011. Prior to the sale to Apollo Global Management, Inc., Mr. Oldham served as Parallel’s President from 1994 to 2009, Chief Executive Officer from 2004 to 2009 and director from 1979 until 2009. During Mr. Oldham’s years at Parallel, some of the most notable property acquisitions were the Fullerton Property in Andrews County, Diamond M Canyon Reef Field in Scurry County and the acquisition of all of Fina’s West Texas assets in July 1999. In 1992, Parallel was an early adopter of 3D seismic and drilled several Canyon Reef discoveries in Howard County, Texas and several discoveries in the Yegua/Frio Trend onshore the Gulf Coast of Texas. In 2005, horizontal drilling was successfully implemented in the Wolfcamp formation in New Mexico and the Barnett Shale in Tarrant County, Texas. In 2014, Parallel drilled the first of several horizontal wells in the Harris Field, which were large producing wells completed with engineered fracs. Parallel was the forerunner of this highly successful completion technique.</w:t>
      </w:r>
    </w:p>
    <w:p>
      <w:pPr>
        <w:spacing w:after="0" w:line="19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Prior to Parallel’s formation, Mr. Oldham was employed by Dorchester Gas Corporation from 1976 to 1979 and KPMG Peat Marwick, LLP from 1975 to 1976.</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Mr. Oldham earned a Bachelor of Business Administration in Accounting from West Texas State University (now West Texas A&amp;M University) in 1975 and was a 2012 Distinguished Alumni Award recipient. Mr. Oldham is a certified public accountant and is a member of the Permian Basin Landman’s Association and the Permian Basin Producers Association.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There are many factors that may affect our business, financial condition and results of operations and investments in us. Security holders and potential investors in our securities should carefully consider the risk factors set forth below, as well as the discussion of other factors that could affect us or investments in us included elsewhere in this Annual Report. If one or more of these risks were to materialize, our business, financial condition or results of operations could be materially and adversely affected. These known material risks could cause our actual results to differ materially from those contained in any written or oral forward-looking statements made by us or on our behalf.</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Annual Report to enhance the readability and accessibility of our risk factor disclosures. We encourage our stockholders to carefully review the full risk factors contained in this Annual Report in their entirety for additional information regarding the risks and uncertainties that could cause our actual results to vary materially from recent results or from our anticipated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natural gas prices are volatile. Sustained volatility, or declines in, crude oil, NGL and natural gas prices could adversely affect HighPeak Energy’s business, financial condition and results of operations and its ability to meet its capital expenditure obligations and other financial commitments.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trade environment, including the imposition of tariffs, could adversely affect our business.</w:t>
      </w:r>
    </w:p>
    <w:p>
      <w:pPr>
        <w:spacing w:after="0" w:line="1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estimates depend on many assumptions that may turn out to be inaccurate. Any material inaccuracies in reserve estimates or underlying assumptions will materially affect the quantities and present value of reserves.</w:t>
      </w:r>
    </w:p>
    <w:p>
      <w:pPr>
        <w:ind w:left="660" w:right="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development projects and acquisitions will require substantial capital expenditures. HighPeak Energy may be unable to obtain required capital or financing on satisfactory terms, including as a result of increases in cost of capital resulting from Federal Reserve policies or otherwise, which could reduce its ability to access or increase production and reserves.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Term Loan Credit Agreement, the Senior Credit Facility Agreement and any future debt agreements could limit HighPeak Energy’s growth and ability to engage in certain activities. A failure to comply with the obligations contained in such agreements governing our indebtedness could result in an event of default under such agreement, which could permit acceleration of the related debt, enforcement against any liens securing the related debt and acceleration of debt under other instruments that contain cross acceleration or cross default provisions. We may not have, or may not be able to obtain, sufficient funds to make any required accelerated payments.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indebtedness may adversely affect our cash flows and ability to operate our business, remain in compliance and repay our debt.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cash flows vary significantly from year to year due to the cyclical nature of the crude oil and natural gas industry.</w:t>
      </w:r>
    </w:p>
    <w:p>
      <w:pPr>
        <w:spacing w:after="0" w:line="17"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experiences periods of higher costs when commodity prices rise and inflation may adversely affect our operating results, which negatively impacts our profitability, cash flow and ability to complete development activities as planned. Continuing or worsening inflationary issues and associated changes in monetary policy, including tariffs, have resulted in and may result in additional increases to the cost of our goods, services and personnel, which in turn could cause our capital expenditures and operating costs to rise.</w:t>
      </w:r>
    </w:p>
    <w:p>
      <w:pPr>
        <w:spacing w:after="0" w:line="2"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political, legal and regulatory environment as a result of the U.S. presidential administration and political instability or armed conflict in crude oil or natural gas producing regions, such as the ongoing war between Russia and Ukraine, conflicts in the Middle East, U.S. intervention in Venezuela and OPEC+ policy decisions could have a material adverse impact on our business, financial condition or future results.</w:t>
      </w:r>
    </w:p>
    <w:p>
      <w:pPr>
        <w:ind w:left="660" w:right="360" w:hanging="328"/>
        <w:spacing w:after="0" w:line="265"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marketability of HighPeak Energy’s production is dependent upon transportation, storage and other facilities, certain of which it does not control. If these facilities are unavailable, in whole or in part, HighPeak Energy’s operations could be interrupted, and its revenues reduced.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could require HighPeak Energy to shut-in production or cease its capital expenditure program.</w:t>
      </w:r>
    </w:p>
    <w:p>
      <w:pPr>
        <w:spacing w:after="0" w:line="1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undeveloped leasehold acreage of HighPeak Energy’s assets is subject to leases that will expire over the next several years unless production is established on units containing the acreage or the leases are extended or renewed.</w:t>
      </w:r>
    </w:p>
    <w:p>
      <w:pPr>
        <w:ind w:left="660" w:right="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ind w:left="660" w:right="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for and producing crude oil and natural gas are high risk activities with many uncertainties that could adversely affect HighPeak Energy’s business, financial condition or results of operations.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 expose HighPeak Energy to counterparty credit risk and may become more costly or unavailable.</w:t>
      </w:r>
    </w:p>
    <w:p>
      <w:pPr>
        <w:spacing w:after="0" w:line="17" w:lineRule="exact"/>
        <w:rPr>
          <w:rFonts w:ascii="Times New Roman" w:cs="Times New Roman" w:eastAsia="Times New Roman" w:hAnsi="Times New Roman"/>
          <w:sz w:val="18"/>
          <w:szCs w:val="18"/>
          <w:color w:val="auto"/>
        </w:rPr>
      </w:pPr>
    </w:p>
    <w:p>
      <w:pPr>
        <w:ind w:left="660" w:right="82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derivatives legislation could have an adverse effect on our ability to use derivative instruments to reduce the effect of commodity price, interest rate and other risks associated with our business.</w:t>
      </w:r>
    </w:p>
    <w:p>
      <w:pPr>
        <w:ind w:left="660" w:right="2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standardized measure of estimated reserves may not be an accurate estimate of the current fair value of estimated crude oil and natural gas reserves.</w:t>
      </w:r>
    </w:p>
    <w:p>
      <w:pPr>
        <w:ind w:left="660" w:right="38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may negatively affect HighPeak Energy’s operating results and ability to conduct drilling activities.</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operations are substantially dependent on the availability of sand and water. Restrictions on its ability to obtain sand and water may have an adverse effect on its financial condition, results of operations and cash flows.</w:t>
      </w:r>
    </w:p>
    <w:p>
      <w:pPr>
        <w:ind w:left="660" w:right="10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located in the northeastern Midland Basin, making HighPeak Energy vulnerable to risks associated with operating in a limited geographic area.</w:t>
      </w:r>
    </w:p>
    <w:p>
      <w:pPr>
        <w:ind w:left="660" w:right="8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HighPeak Energy replaces its reserves with new reserves and develops those new reserves, its reserves and production will decline, which would adversely affect future cash flows and results of operations.</w:t>
      </w:r>
    </w:p>
    <w:p>
      <w:pPr>
        <w:ind w:left="660" w:right="4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095" w:gutter="0" w:footer="0" w:header="0"/>
        </w:sectPr>
      </w:pPr>
    </w:p>
    <w:bookmarkStart w:id="33" w:name="page34"/>
    <w:bookmarkEnd w:id="33"/>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may be unable to make additional attractive acquisitions or successfully integrate acquired businesses with its current assets, and any inability to do so may disrupt its business and hinder its ability to grow.</w:t>
      </w:r>
    </w:p>
    <w:p>
      <w:pPr>
        <w:ind w:left="660" w:right="200" w:hanging="328"/>
        <w:spacing w:after="0" w:line="265"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unavailability or high cost of drilling rigs, equipment, supplies, personnel, frac crews and oilfield services due to commodity price volatility or supply constraints as a result of the war between Russia and Ukraine, conflicts in the Middle East, U.S. intervention in Venezuela, elevated interest rates and associated policies of the Federal Reserve could adversely affect HighPeak Energy’s ability to execute its development plans within its budget and on a timely basis and consequently could materially and adversely affect our cash flows and results of operations.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may be involved in legal proceedings that could result in substantial liabilities.</w:t>
      </w:r>
    </w:p>
    <w:p>
      <w:pPr>
        <w:spacing w:after="0" w:line="1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our operators fail to comply with all applicable regulatory agency administered statutes, rules, regulations and orders, our operators could be subject to substantial penalties and fines.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HighPeak Energy are subject to a variety of risks arising from climate change.</w:t>
      </w:r>
    </w:p>
    <w:p>
      <w:pPr>
        <w:spacing w:after="0" w:line="1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Energy’s production.</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could adversely affect HighPeak Energy’s business.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business could be adversely affected by security threats, including cybersecurity threats, and related disruptions.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229" w:lineRule="exact"/>
        <w:rPr>
          <w:sz w:val="20"/>
          <w:szCs w:val="20"/>
          <w:color w:val="auto"/>
        </w:rPr>
      </w:pPr>
    </w:p>
    <w:p>
      <w:pPr>
        <w:ind w:left="660" w:right="26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is a “controlled company”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effective tax rates or laws or adverse outcomes resulting from examination of HighPeak Energy’s income or other tax returns could adversely affect HighPeak Energy’s financial condition, results of operations and cash flow.</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Crude oil, NGL and natural gas prices are volatile. Sustained volatility, or declines in, crude oil, NGL and natural gas prices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and results of operations and its ability to meet its capital expenditure obligations and other financial commitments.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prices HighPeak Energy receives for its crude oil, NGL and natural gas production heavily influence its revenue, profitability, access to capital, future rate of growth and the carrying value of its properties. The markets for crude oil and natural gas have been volatile historically, including periods of rapid and material decline in recent years, and are likely to remain volatile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line="266"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spacing w:after="0" w:line="176" w:lineRule="exact"/>
        <w:rPr>
          <w:sz w:val="20"/>
          <w:szCs w:val="20"/>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including elevated interest rates and associated policies of the Federal Reserve, impacting the global supply and demand for crude oil, NGL and natural gas;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of crude oil, NGL and natural gas;</w:t>
      </w:r>
    </w:p>
    <w:p>
      <w:pPr>
        <w:spacing w:after="0" w:line="17" w:lineRule="exact"/>
        <w:rPr>
          <w:rFonts w:ascii="Times New Roman" w:cs="Times New Roman" w:eastAsia="Times New Roman" w:hAnsi="Times New Roman"/>
          <w:sz w:val="18"/>
          <w:szCs w:val="18"/>
          <w:color w:val="auto"/>
        </w:rPr>
      </w:pPr>
    </w:p>
    <w:p>
      <w:pPr>
        <w:jc w:val="both"/>
        <w:ind w:left="660" w:right="440" w:hanging="328"/>
        <w:spacing w:after="0" w:line="25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global political and economic conditions, such as changes in U.S. energy policy, the ongoing war between Russia and Ukraine, conflicts in the Middle East, U.S. intervention in Venezuela, socio-political unrest and instability, terrorism or hostilities in or affecting other producing regions or countries, including the Middle East, Africa, South America and Russia;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threat of epidemic or pandemic diseases, or any government response to such occurrence or threat;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OPEC, its members and other state-controlled crude oil companies relating to crude oil price and production controls;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exploration, development and production;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inventories;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prices, and expectations regarding future prices, on local price indexes in the areas in which HighPeak Energy operates;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capacity, cost and availability of gathering and transportation facilities;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localized and global supply and demand fundamentals and transportation availability;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developing, producing and transporting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including the potential acceleration of the development of alternative fuels;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future commodity prices;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and non-U.S. governmental regulation and taxes.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Lower commodity prices may reduce HighPeak Energy’s cash flow and access to capital markets.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global trade environment, including the imposition of tariffs, could adversely affect our business.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Escalating trade tensions, particularly between the U.S. and Canada, Mexico, China and other countries, may lead to the imposition of tariffs and trade restrictions. We may be materially adversely impacted by tariffs if we are not able to adapt our supply chain strategy. We may also face unanticipated costs in developing our domestic supply chain and increased competition for materials and components in the United States, which also would impact our business and results of operations. The imposition of tariffs may also create uncertainty in our industry. Increases in costs to drill and develop reserves as a result of tariffs coupled with lower commodity prices from increased domestic production could make producing such reserves no longer economically viable or technically feasible. Additionally, existing or future tariffs may negatively affect our customers, suppliers, and manufacturing partners. Such outcomes could adversely affect the amount or timing of our revenues, results of operations or cash flows, and continuing uncertainty could cause sales volatility and price fluctuations.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Tariffs, the adoption and expansion of trade restrictions, the occurrence of a trade war, or other governmental action related to tariffs, trade agreements or related policies have the potential to adversely impact our supply chain and access to equipment, and our costs and ability to economically serve certain markets. Any such cost increases or decreases in availability could slow our growth and cause our financial results and operational metrics to suffer. There is current uncertainty about the future relationship between the United States and other countries with respect to trade policies, taxes, government regulations, and tariffs and we cannot predict whether, and to what extent, U.S. trade policies will change in the future, including as a result of changes by the U.S. presidential administration.</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Reserve estimates depend on many assumptions that may turn out to be inaccurate. Any material inaccuracies in reserve estimates or underlying assumptions will materially affect the quantities and present value of reserves.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Numerous uncertainties are inherent in estimating quantities of crude oil and natural gas reserves. Our estimates of our SEC reserves are based upon average commodity prices over the prior 12 months, which may not reflect actual prices received for our production. For example, our reserve volumes and PV-10 as disclosed in this Annual Report are based on assumed commodity prices of $65.34 per Bbl of crude oil and NGL and $3.387 per MMBtu of natural gas as of December 31, 2025, which are somewhat higher for crude oil and lower for natural gas than the December 31, 2025 front-month forward pricing of $57.42 per Bbl of crude oil and $3.686 per Mcf of natural gas. Accordingly, you are cautioned not to place undue weight on our reserve volumes or PV-10 based on such pricing when evaluating our financial condition or an investment in our securities. The process of estimating crude oil and natural gas reserves is complex. It requires interpretations of available technical data and many assumptions, including assumptions relating to current and future economic conditions and commodity prices. Any significant inaccuracies in these interpretations or assumptions could materially affect the estimated quantities and present value of reserves. To prepare the reserve estimates included in this Annual Report, CG&amp;A analyzed available geological, geophysical, production and engineering data and projected the production rates and timing of development expenditures. The extent, quality and reliability of this data can vary. The process also requires economic assumptions about matters such as crude oil and natural gas prices, drilling and operating expenses, capital expenditures, taxes and availability of funds.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636" w:gutter="0" w:footer="0" w:header="0"/>
        </w:sectPr>
      </w:pPr>
    </w:p>
    <w:bookmarkStart w:id="35" w:name="page36"/>
    <w:bookmarkEnd w:id="35"/>
    <w:p>
      <w:pPr>
        <w:spacing w:after="0" w:line="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Actual future production, crude oil, NGL and natural gas prices, revenues, taxes, development expenditures, operating expenses and quantities of recoverable crude oil and natural gas reserves may vary from the estimates included in this Annual Report. For instance, initial production rates reported by HighPeak Energy or other operators may not be indicative of future or long-term production rates, and recovery efficiencies may be worse than expected and production declines may be greater than estimated and may be more rapid and irregular compared with initial production rates. In addition, estimates of proved reserves may be adjusted to reflect additional production history, results of development activities, current commodity prices and other existing factors. Any significant variance could materially affect the estimated quantities and present value of reserves. Moreover, there can be no assurance that reserves will ultimately be produced or that proved undeveloped reserves will be developed within the periods anticipated.</w:t>
      </w:r>
    </w:p>
    <w:p>
      <w:pPr>
        <w:spacing w:after="0" w:line="18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development projects and acquisitions will require substantial capital expenditures. HighPeak Energy may be unable to obtain required capital or financing on satisfactory terms, including as a result of increases in the cost of capital resulting from Federal Reserve policies or otherwise, which could reduce its ability to access or increase production and reserves.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crude oil and natural gas industry is capital-intensive. HighPeak Energy has evaluated multiple development scenarios under multiple potential commodity price assumptions. Under its current 2026 development program, HighPeak Energy would expect to incur approximately $255 to $285 million of capital expenditures for drilling, completion, facilities and equipping costs, field infrastructure and other costs, excluding acquisitions. The ability to make these capital expenditures will be highly dependent on the price of crude oil and available funding of HighPeak Energy. Commodity prices have fallen, with the calendar month average NYMEX WTI price of $57.87 per Bbl and last trading day NYMEX natural gas price of $4.424 per MMBtu for the month of December 2025. HighPeak Energy ran a one to two-rig, one frac crew program for the majority of 2025. HighPeak Energy expects to average one</w:t>
      </w:r>
    </w:p>
    <w:p>
      <w:pPr>
        <w:spacing w:after="0" w:line="5" w:lineRule="exact"/>
        <w:rPr>
          <w:sz w:val="20"/>
          <w:szCs w:val="20"/>
          <w:color w:val="auto"/>
        </w:rPr>
      </w:pPr>
    </w:p>
    <w:p>
      <w:pPr>
        <w:ind w:right="24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rig and one (1) frac crew during 2026 depending on certain market conditions. However, HighPeak Energy recognizes that commodity prices remain highly volatile and that its liquidity is limited, and as a result, there is no certainty that HighPeak Energy will operate a one (1) rig development program in the future.</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HighPeak Energy expects to fund its forecasted capital expenditures with cash on its balance sheet, cash generated by operations, through borrowings under the Senior Credit Facility Agreement if needed and, depending on market circumstances, potential future debt or equity offerings. For terms of the Term Loan Credit Agreement and Senior Credit Facility Agreement, see Note 7 of Notes to Consolidated Financial Statements included in “Item 8. Financial Statements and Supplementary Data.”</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flows from operations are subject to significant uncertainty. As a result, the amount of liquidity that HighPeak Energy will have in the future is uncertain.</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HighPeak Energy’s financing needs may require it to alter or increase its capitalization substantially through the issuance of debt or equity securities or the sale of assets. The availability and cost of these capital sources is cyclical, and these capital sources may not remain available, or we may not be able to obtain financing at a reasonable cost in the future. For example, due to the high levels of inflation in the U.S., the Federal Reserve and other central banks increased interest rates multiple times in 2022 and 2023, and began decreasing rates with three rate cuts toward the end of 2024 followed by three rate cuts in 2025 and although the Federal Reserve has indicated that such decreases should continue in 2026, uncertainty remains as to when or if such elevated rates may be decreased further. Such increased interest rates have increased the cost of capital and may prevent us from being able to obtain debt financing at favorable rates, or at all, which would materially impact our operations. In addition, conditions in the global capital markets have been volatile due to the conflict in Ukraine, the Israel-Hamas conflict or otherwise, making terms for certain types of financing difficult to predict, and in certain cases, resulting in certain types of financing being unavailable. Further,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HighPeak Energy’s ability to increase production.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cash flow from operations and access to capital are subject to several variables,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HighPeak Energy’s production is sold;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hydrocarbons HighPeak Energy is able to produce from its wells;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acquire, locate and produce new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HighPeak Energy’s operating expenses;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settlements from HighPeak Energy’s derivative activities;</w:t>
      </w:r>
    </w:p>
    <w:p>
      <w:pPr>
        <w:spacing w:after="0" w:line="36"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interruptions or curtailments from time-to-time related to third-party infrastructure downtime or delays in third-party installation of infrastructure, including electrical power supply, that affects our ability to produce our crude oil and natural gas;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capital expenditures in certain circumstances under the Term Loan Credit Agreement or the Senior Credit Facility Agreement;</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obtain additional debt financing, including increases to the Term Loan Credit Agreement or the Senior Credit Facility Agreement;</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ongoing war between Russia and Ukraine, conflicts in the Middle East and U.S. intervention in Venezuela;</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obtain storage capacity for the crude oil it produces;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instruments governing HighPeak Energy’s debt on HighPeak Energy’s ability to incur additional indebtedness;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access the public or private capital markets.</w:t>
      </w:r>
    </w:p>
    <w:p>
      <w:pPr>
        <w:spacing w:after="0" w:line="25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Should HighPeak Energy’s revenues decrease as a result of lower crude oil, NGL and natural gas prices, operational difficulties, declines in reserves or for any other reason, HighPeak Energy may have limited ability to obtain the capital necessary to sustain operations at expected levels. If additional capital is needed, HighPeak Energy may not be able to obtain debt or equity financing on terms acceptable to it, if at all, due to elevated interest rates and associated policies of the Federal reserve, or otherwise. If cash flow generated by HighPeak Energy’s operations or available debt financing, including borrowings under the Credit Agreements, are insufficient to meet its capital requirements, the failure to obtain additional financing could result in a curtailment of the development of HighPeak Energy’s properties, which in turn could lead to a decline in reserves and production and could materially and adversely affect HighPeak Energy’s business, financial condition and results of operations. If HighPeak Energy seeks and obtains additional financing, subject to the restrictions in the instruments governing its existing debt, the addition of new debt to existing debt levels could intensify the operational risks that HighPeak Energy will face. Further, adding new debt could limit HighPeak Energy’s ability to service existing debt service obligations.</w:t>
      </w:r>
    </w:p>
    <w:p>
      <w:pPr>
        <w:sectPr>
          <w:pgSz w:w="11900" w:h="16888" w:orient="portrait"/>
          <w:cols w:equalWidth="0" w:num="1">
            <w:col w:w="11240"/>
          </w:cols>
          <w:pgMar w:left="320" w:top="580" w:right="339" w:bottom="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Term Loan Credit Agreement, the Senior Credit Facility Agreement and any future debt agreements could limit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growth and ability to engage in certain activities. A failure to comply with the obligations contained in such agreements governing our indebtedness could result in an event of default under such agreement, which could permit acceleration of the related debt, enforcement against any liens securing the related debt and acceleration of debt under other instruments that contain cross acceleration or cross default provisions. We may not have, or may not be able to obtain, sufficient funds to make any required accelerated payments.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terms and conditions governing the Term Loan Credit Agreement, the Senior Credit Facility Agreement and any future additional indebtedness are expected to:</w:t>
      </w:r>
    </w:p>
    <w:p>
      <w:pPr>
        <w:spacing w:after="0" w:line="162" w:lineRule="exact"/>
        <w:rPr>
          <w:sz w:val="20"/>
          <w:szCs w:val="20"/>
          <w:color w:val="auto"/>
        </w:rPr>
      </w:pPr>
    </w:p>
    <w:p>
      <w:pPr>
        <w:jc w:val="both"/>
        <w:ind w:left="660" w:right="400" w:hanging="328"/>
        <w:spacing w:after="0" w:line="25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HighPeak Energy to dedicate a portion of cash flow from operations to service its debt, thereby reducing the cash available to finance operations and other business activities and could limit its flexibility in planning for or reacting to changes in its business and the industry in which it operates;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vulnerability to economic downturns and adverse developments in HighPeak Energy’s business;</w:t>
      </w:r>
    </w:p>
    <w:p>
      <w:pPr>
        <w:spacing w:after="0" w:line="17"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HighPeak Energy’s ability to engage in certain business activities, including without limitation, to raise capital, obtain additional financing (whether for working capital, capital expenditures or acquisitions) or to refinance indebtedness, grant or incur liens on assets, pay dividends or make distributions in respect of its capital stock, make investments, amend or repay subordinated indebtedness, sell or otherwise dispose of assets, businesses or operations and engage in business combinations or other fundamental changes;</w:t>
      </w:r>
    </w:p>
    <w:p>
      <w:pPr>
        <w:spacing w:after="0" w:line="2"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place HighPeak Energy at a competitive disadvantage relative to competitors with lower levels of indebtedness in relation to their overall size or less restrictive terms governing their indebtedness; and</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management’s discretion in operating HighPeak Energy’s business.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debt instruments also contain provisions that could have the effect of making it more difficult for a third party to acquire control of us. The Term Loan Credit Agreement and the Senior Credit Facility Agreement provide that a change of control constitutes an event of default and would permit the lenders to declare the indebtedness thereunder to be immediately due and payable. Our future credit facilities may contain similar provisions. The need to repay all such indebtedness may deter potential third parties from acquiring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ability to meet its expenses and its current and future debt obligations and comply with the covenants and restrictions contained therein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depend on its future performance, which will be affected by financial, business, economic, industry, regulatory and other factors, many of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HighPeak Energy’s control. If market or other economic conditions deteriorate, HighPeak Energy’s ability to comply with these covenants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impaired. Effective as of December 30, 2025, in order to ensure continued compliance with the financial covenants under the Term Loan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Senior Credit Facility Agreement, the Company has entered into the Second Term Loan Amendment and the Third Facility Amendment whereby,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(i) the Company will be required to maintain an asset coverage ratio of not less than 1.00 to 1.00 for the Fourth Quarter of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of 2026, representing a 0.25x decrease in the required ratio levels for such quarters, (ii) the Company will be required to maintain a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leverage ratio of not greater than 2.50 to 1.00 for the Fourth Quarter of 2025 and the First Quarter of 2026, representing a 0.50x increase in the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levels for such quarters, (iii) the Company’s hedging obligations will be increased requiring it to maintain hedging agreements with respect to 75%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proved developed producing oil production for the period from April 1, 2026 to March 31, 2027 and 60% of its proved developed producing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for the period from April 1, 2027 to September 30, 2027, in each case as provided in the January 1, 2026 reserve report and (iv)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prohibited from making quarterly dividends on its common stock until September 30, 2026. For the Second Quarter of 2026 and quarterly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thereafter, the required asset coverage ratio and total net leverage ratio levels will reset to the levels in effect for such quarters prior to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It is uncertain whether the Company will be able to comply with these covenants, in particular beginning in the Second Quarter of 2026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asset coverage ratio and total net leverage ratio levels will reset to the prior more stringent levels. The Company has already taken steps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 these ratios, including, but not limited to, suspending the payment of dividends and reducing capital expenditures, and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or anticipated covenant shortfalls, the Company may seek to take other action such as raising additional capital through debt or equity offerings,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assets, reducing capital expenditures further, obtaining additional amendments or waivers from its lenders, or pursuing other strategic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alternatives. There can be no assurance that any such measures will be available on acceptable terms, or at all, or that they will be sufficient to address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compliance issues. Any failure of the Company to comply with its financial covenants would result in an event of default under the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and Senior Credit Facility Agreement, entitling the lenders to accelerate amounts outstanding thereunder.</w:t>
      </w:r>
    </w:p>
    <w:p>
      <w:pPr>
        <w:spacing w:after="0" w:line="20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HighPeak Energy cannot be certain that its cash flow will be sufficient to enable it to pay the principal and interest on its debt and meet its other obligations. If HighPeak Energy does not have enough money, HighPeak Energy may be required to refinance all or part of its debt, sell assets, borrow more money or raise equity. HighPeak Energy may not be able to refinance its debt, sell assets, borrow more money or raise equity on terms acceptable to it, or at all. For example, HighPeak Energy’s future debt agreements may require the satisfaction of certain conditions, including coverage and leverage ratios, to borrow money. HighPeak Energy’s future debt agreements may also restrict the payment of dividends and distributions by certain of its subsidiaries to it, which could affect its access to cash. In addition, HighPeak Energy’s ability to comply with the financial and other restrictive covenants in the agreements governing its indebtedness will be affected by the levels of cash flow from operations and future events and circumstances beyond HighPeak Energy’s control. Breach of these covenants or restrictions could result in an event of default under HighPeak Energy’s existing and/or future financing arrangements, which, if not cured or waived, could permit the lenders to accelerate all indebtedness outstanding thereunder. Upon acceleration, the debt would become immediately due and payable, together with accrued and unpaid interest, and any lenders’ commitment to make further loans to HighPeak Energy may terminate. Even if new financing were then available, it may not be on terms that are acceptable to HighPeak Energy. Additionally, upon the occurrence of an event of default under HighPeak Energy’s financing agreements, the affected lenders may exercise remedies, including through foreclosure, on the collateral, if any, securing any such secured financing arrangements. Moreover, any subsequent replacement of HighPeak Energy’s financing arrangements may require it to comply with more restrictive covenants which could further restrict business operations.</w:t>
      </w:r>
    </w:p>
    <w:p>
      <w:pPr>
        <w:spacing w:after="0" w:line="19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had an aggregate maximum commitment amount and actual commitment amount of $100.0 million with respect to the Senior Credit Facility Agreement as of December 31, 2025. The Term Loan Credit Agreement also limits the amounts HighPeak Energy can borrow under the Senior Credit Facility Agreement to $100.0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future indebtedness may adversely affect our cash flows and ability to operate our business, remain in compliance and repay our debt.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we had $1.2 billion of total indebtedness, including $1.2 billion outstanding of our Term Loan Credit Agreement and no indebtedness outstanding under our Senior Credit Facility Agreement, and available capacity under our Senior Credit Facility Agreement of approximately $93.1 million. The entirety of our $1.2 billion of total indebtedness is maturing in 2028.</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576" w:right="359" w:bottom="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t>Among other events of default, an event of default will occur under the Term Loan Credit Agreement and the Senior Credit Facility Agreement if HighPeak Energy should fail to make any payment (whether of principal or interest and regardless of amount) in respect of any material debt, when and as the same shall become due and payable and such failure to pay continues beyond any applicable grace period, or any event or condition occurs that results in any material debt becoming due prior to its scheduled maturity or that enables or permits (with or without the giving of notice, the lapse of time or both) the holder or holders of any material debt or any trustee or agent on its or their behalf to cause any material debt to become due, or to require the redemption thereof or any offer to redeem to be made in respect thereof, prior to its scheduled maturity or require HighPeak Energy to make an offer in respect thereof and such event or condition continues beyond any applicable grace period. In the event of a default under these circumstances, lenders could terminate their commitments to lend or accelerate the loans and declare all amounts borrowed due and payable.</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be unable to repay amounts due when they become due, and our ability to refinance our indebtedness on reasonable terms may be limited. Although our debt agreements contain restrictions on the incurrence of additional indebtedness, these restrictions are subject to several significant qualifications and exceptions, and any indebtedness incurred in compliance with these restrictions could be substantial, and some of which may be secured by our assets. Our current level of indebtedness could have important consequences, such as:</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satisfy our obligations under our indebtedness and contractual and commercial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36"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availability of our cash flow to fund working capital, capital expenditures and other general corporate purposes;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 the industry in which we operate;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exploiting business opportunities;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our ability to compete effectively or operate successfully under adverse economic and industry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cash flows vary significantly from year to year due to the cyclical nature of the crude oil and natural gas industry.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Any insufficiency could negatively impact our business. A range of economic, competitive, business and industry factors will affect our future financial performance, and as a result, our ability to generate cash flows from operations and to pay our debt.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spacing w:after="0" w:line="18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or restructuring our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investments;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raise additional capital.</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However, any alternative financing plans that we undertake, if necessary, may not allow us to meet our debt obligations. We cannot assure you that any refinancing or debt restructuring would be possible, that any assets could be sold or that, if sold, the timing of the sales and the amount of proceeds realized from those sales would be favorable to us or that additional financing could be obtained on acceptable terms. Our inability to generate sufficient cash flows to satisfy our debt obligations, or to obtain alternative financing, could materially and adversely affect our business, financial condition, results of operations and prospects.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if we fail to comply with the covenants or other terms of our Credit Agreements, our lenders will have the right to accelerate the maturity of that debt and foreclose upon the collateral, if any, securing that debt. Realization of any of these factors could adversely affect our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HighPeak Energy experiences periods of higher costs when commodity prices rise and inflation may adversely affect our operating results, which could negatively impact our profitability, cash flow and ability to complete development activities as planned. Continuing or worsening inflationary issues and associated changes in monetary policy, including tariffs, have resulted in and may result in additional increases to the cost of our goods, services and personnel, which in turn could cause our capital expenditures and operating costs to rise.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may have an adverse effect on HighPeak Energy’s operating results and this impact may be magnified to the extent that HighPeak Energy’s ability to participate in the commodity price increases is limited by its derivative activities, if any.</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Elevated inflation rates throughout 2023 and 2024 and inflationary pressures have resulted in and may continue to result in additional increases to the costs of our oilfield goods, services and personnel, which would in turn cause our capital expenditures and operating costs to rise. Due to the high levels of inflation in the U.S., the Federal Reserve and other central banks increased interest rates multiple times in 2022 and 2023, and began decreasing rates with three rate cuts toward the end of 2024 followed by three rates cuts in 2025. Although the Federal Reserve has paused rate cuts beginning in 2026, uncertainty remains as to when or if such elevated rates may be decreased further. To the extent rates remain high, this could have the effects of raising the cost of capital and depressing economic growth, either of which—or the combination thereof—could hurt the financial and operating results of our business. To the extent elevated inflation remains, we may experience further cost increases for our operations, including oilfield services, labor costs and equipment if our drilling activity increases.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Higher crude oil and natural gas prices, continued inflation and supply chain issues as well as an increase in demand for services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1" w:name="page42"/>
    <w:bookmarkEnd w:id="41"/>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political, legal and regulatory environments as a result of the U.S. presidential administration and political instability or armed conflict in crude oil or natural gas producing regions, such as the ongoing war between Russia and Ukraine, conflicts in the Middle East, U.S. intervention in Venezuela and OPEC+ policy decisions could have a material adverse impact on our business, financial condition or future results.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future results are subject to political and economic risks and uncertainties, including volatility in the political, legal and regulatory environments as a result of the U.S. presidential administration and instability resulting from civil unrest, political demonstrations, mass strikes or armed conflict or other crises in crude oil or natural gas producing areas such as the ongoing war between Russia and Ukraine, conflicts in the Middle East and U.S. intervention in Venezuela.</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States and other countries and certain international organizations have imposed broad-ranging and severe economic sanctions on Russia and certain Russian individuals, banking entities and corporations as a response, and additional sanctions may be imposed in the future. This conflict and the resulting sanctions and concerns regarding global energy security have contributed to increases and volatility in the prices for crude oil and natural gas. The length, impact, and outcome of the ongoing war between Russia and Ukraine is highly unpredictable, and such events or any further hostilities in Ukraine or elsewhere could severely impact the world economy and may adversely affect our financial condition. Furthermore, conflicts in the Middle East may result in heightened geopolitical risks for crude oil and natural gas markets, given the significant share of global oil supply in the Middle East. While the Company does not have operations overseas, these conflicts elevate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Currently, it is believed that many OPEC+ countries will be unable to increase their production levels or even produce at expected levels due to their lack of capital investments in developing incremental crude oil supplies over the past few years. In the first quarter of 2026, OPEC+ agreed to slight production increases to help mitigate the impact on crude oil prices of disrupted shipments in the Middle East, after pausing production increases due to a slowdown in global demand and rising output surrounding the global economic and crude oil market outlooks. Furthermore, sanctions and import bans on Russian crude oil have been implemented by various countries in response to the war in Ukraine, further impacting global crude oil supply. Still, crude oil and natural gas prices have declined from the highs experienced in second quarter of 2022 and could decrease or increase with any changes in demand due to, among other things, uncertainty and volatility from global supply chain disruptions attributable to the pandemic, the ongoing conflict in Ukraine, the Israel-Hamas conflict, U.S. intervention in Venezuela, international sanctions, speculation as to future actions by OPEC+,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which are not within our control and cannot be accurately predicted.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marketability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production is dependent upon transportation, storage and other facilities, certain of which it does not control.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these facilities are unavailable, in whole or in part,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could be interrupted, and its revenues reduced.</w:t>
      </w:r>
    </w:p>
    <w:p>
      <w:pPr>
        <w:spacing w:after="0" w:line="20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marketability of HighPeak Energy’s crude oil and natural gas production depends in part upon the availability, proximity and capacity of transportation, processing and storage facilities owned and operated by third parties. Any significant interruption in service from, damage to, or lack of available capacity in these systems and facilities may result in the shutting-in of producing wells or the delay or discontinuance of development plans for our properties. Federal and state regulation of crude oil, NGL and natural gas production and transportation, tax and energy policies, changes in supply and demand, pipeline pressures, damage to or destruction of pipelines or processing facilities, infrastructure or capacity constraints, and general economic conditions could adversely affect our ability to produce, gather, process, transport or market crude oil, NGLs and natural gas. In addition, even if these systems and facilities remain open generally, certain quality specifications implemented thereby may restrict our ability to utilize such systems and facilities. Further, insufficient production from wells to support the construction of pipeline facilities by purchasers or a significant disruption in the availability of HighPeak Energy’s or third-party transportation facilities or other production facilities could adversely impact HighPeak Energy’s ability to deliver to market or produce crude oil and natural gas and thereby cause a significant interruption in HighPeak Energy’s operations. If, in the future, HighPeak Energy is unable, for any sustained period, to implement acceptable delivery or transportation arrangements or encounters production related difficulties, it may be required to shut-in or curtail production. Any such shut-in or curtailment, or an inability to obtain favorable terms for delivery of the crude oil and natural gas produced from HighPeak Energy’s fields, would materially and adversely affect its financial condition and results of operations.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Production may be interrupted, or shut-in, from time to time for numerous reasons, including as a result of weather conditions, accidents, loss of pipeline, gathering, processing or transportation system access or capacity, various contaminants, field labor issues or strikes, or we might voluntarily curtail production in response to market or other conditions. Some of these risks may be exacerbated by other risks that we face. For instance, the potential exists for some of our wells to produce high levels of hydrogen sulfide, a highly toxic, naturally-occurring gas frequently associated with crude oil and natural gas production. Safe handling of hydrogen sulfide gas requires highly skilled operations and field personnel as well as specialized infrastructure, treating facilities, disposal facilities, and/or third-party sour gas takeaway. If we are unable to successfully secure adequate treatment and/or sour gas takeaway capacity from third parties when and if necessary, our production may be adversely impacted. If a substantial amount of our production is interrupted at the same time, it could adversely affect our cash flows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could require HighPeak Energy to shut-in production or cease its capital expenditure program.</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2020, a reduction in global demand, coupled with the actions of foreign crude oil producers such as Saudi Arabia and Russia, materially decreased global crude oil prices and generated a surplus of crude oil. This significant surplus created a saturation of storage and caused imminent crude storage constraints, which led to, and in the future may further lead to the shut-in of production of our wells due to the lack of sufficient markets or the lack of availability and capacity of processing, gathering, storing and transportation systems. Additionally, several state crude oil and natural gas authorities, including the TRRC, implemented or considered implementing crude oil and natural gas production limits in an effort to stabilize declining commodity prices. To the extent adopted, such production limits could not only reduce our revenue, but also, if wells are required to be shut-in for extended periods of time due to such production limits, result in expenditures related to well plugging and abandonment. Cost increases necessary to bring wells back online may be significant enough that such wells would become uneconomic at low commodity price levels, which may lead to decreases in HighPeak Energy’s proved reserve estimates and potential impairments and associated charges to its earnings. As of December 31, 2025, HighPeak Energy was running a two-rig program and expects to average one (1) drilling rig and one (1) frac crew during 2026 under our current development plan depending on certain market conditions. HighPeak Energy will continue to monitor the extent by which prices continue to increase and/or stabilize as we execute our capital expenditure program. Any shut-in or curtailment of the crude oil, NGL and natural gas produced from HighPeak Energy’s fields could adversely affect its financial condition and results of operations.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undeveloped leasehold acreage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assets is subject to leases that will expire over the next several years unless production is established on units containing the acreage or the leases are extended or renewed.</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of December 31, 2025, approximately 72% of HighPeak Energy’s acreage was held by production. Generally, the leases for net acreage not held by production will expire at the end of their primary term unless production is established in paying quantities under the units containing these leases or the leases are extended or renewed. From 2026 through 2028, approximately 49%, 43% and 4%, respectively, of the net undeveloped acreage associated with the leases are set to expire. In particular, if the Company is unable to comply with the financial covenants under its Term Loan Credit Agreement and Senior Credit Facility Agreement and is required to reduce its capital expenditures as a result, it may be unable to pursue the drilling and development activities necessary to maintain these leases, which could result in the loss of a significant portion of its undeveloped acreage, including the proved undeveloped reserves associated therewith. If the leases expire and HighPeak Energy is unable to extend or renew the leases, HighPeak Energy will lose its right to develop the related properties. Although HighPeak Energy intends to hold substantially all these leases through its development drilling program or extend substantially all the net acreage associated with identified drilling locations through a combination of exploratory and development drilling, a portion of such leases may be extended or renewed. Additionally, any payments related to such extensions or renewals may be more than anticipated. Please see “Items 1 and 2: Business and Properties—Reserve Data—Undeveloped Acreage Expirations” for more information regarding acreage expirations and our plans for extending our acreage. HighPeak Energy’s ability to drill and develop its acreage and establish production to maintain its leases depends on a number of uncertainties, including crude oil, NGL and natural gas prices, the availability and cost of capital, drilling and production costs, availability of drilling services and equipment, drilling results, lease expirations, gathering system and pipeline transportation constraints, access to and availability of water sourcing, frac sand and distribution systems, regulatory approvals and other factors.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Accounting rules require that HighPeak Energy periodically review the carrying value of its properties for possible impairment, whenever changes in events or circumstances indicate that the carrying value of its properties may not be recoverable. If there is an indication the carrying value of the assets may not be recovered, an impairment loss is recognized if the sum of the expected future cash flows is less than the carrying amount of the assets. Based on prevailing commodity prices and specific market factors and circumstances at the time of prospective impairment reviews, and the continuing evaluation of development plans, production data, economics and other factors, HighPeak Energy may be required to write-down the carrying value of its properties. A write-down constitutes a non-cash impairment charge to earnings. Historically, crude oil, NGL and natural gas prices have been volatile. For example, during the period from January 1, 2021 through December 31, 2025, the calendar month average NYMEX WTI crude oil price per Bbl ranged from a low of $52.10 to a high of $114.34, and the last trading day NYMEX natural gas price per MMBtu ranged from a low of $1.58 to a high of $9.35.</w:t>
      </w:r>
    </w:p>
    <w:p>
      <w:pPr>
        <w:spacing w:after="0" w:line="1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Sustained levels of depressed commodity prices, or further decreases, in the future could result in impairments of HighPeak Energy’s properties, which could have a material adverse effect on results of operations for the periods in which such charges are taken. HighPeak Energy could experience material write-downs as a result of lower commodity prices or other factors, including low production results or high lease operating expenses, capital expenditures or transportation fees.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strategy involves using some of the latest available horizontal drilling and completion techniques, which involve risks and uncertainties in their application.</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HighPeak Energy’s operations involve utilizing some of the latest drilling and completion techniques as developed by HighPeak Energy and its service providers. The difficulties HighPeak Energy may face drilling horizontal wells may include, among others:</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its wellbore in the desired drilling zone;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staying in the desired drilling zone while drilling horizontally through the formation;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and cementing casing throughout the wellbore;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able to run tools and other equipment consistently through the horizontal wellbore.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Difficulties that HighPeak Energy may face while completing its wells include the following, among others: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fracture stimulate the planned number of stages;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run tools the entire length of the wellbore during completion operations;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clean out the wellbore after completion of the final fracture stimulation stage.</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Use of new technologies may not prove successful and could result in significant cost overruns or delays or reductions in production, and, in extreme cases, the sidetracking or abandonment of a well. In addition, certain of the new techniques HighPeak Energy adopts may cause irregularities or interruptions in production due to offset wells being shut-in and the time required to drill and complete multiple wells before any such wells begin producing. Furthermore, the results of drilling in new or emerging formations are more uncertain initially than drilling results in areas that are more developed and have a longer history of established production. Newer and emerging formations and areas have limited or no production history and, consequently, HighPeak Energy may be more limited in assessing future drilling results in these areas. If its drilling results are less than anticipated, the return on investment for a particular project may not be as attractive as anticipated, and HighPeak Energy could incur material write downs of unevaluated properties and the value of undeveloped acreage could decline in the future.</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example, potential complications associated with the new drilling and completion techniques that HighPeak Energy intends to utilize may cause HighPeak Energy to be unable to develop its assets in line with current expectations and projections. Further, recent well results may not be indicative of HighPeak Energy’s future well results.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Drilling for and producing crude oil and natural gas are high risk activities with many uncertainties that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or results of operations.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HighPeak Energy’s future financial condition and results of operations will depend on the success of its development, production and acquisition activities, which are subject to numerous risks beyond its control, including the risk that drilling will not result in commercially viable crude oil and natural gas production.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HighPeak Energy’s decisions to develop or purchase prospects or properties will depend, in part, on the evaluation of data obtained through geophysical and geological analyses, production data and engineering studies, which are often inconclusive or subject to varying interpretations. For a discussion of the uncertainty involved in these processes, see “—Reserve estimates depend on many assumptions that may turn out to be inaccurate. Any material inaccuracies in reserve estimates or underlying assumptions will materially affect the quantities and present value of reserves.” In addition, the cost of drilling, completing and operating wells will often be uncertain.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Further, many factors may curtail, delay or cancel scheduled drilling operations, including:</w:t>
      </w:r>
    </w:p>
    <w:p>
      <w:pPr>
        <w:spacing w:after="0" w:line="225" w:lineRule="exact"/>
        <w:rPr>
          <w:sz w:val="20"/>
          <w:szCs w:val="20"/>
          <w:color w:val="auto"/>
        </w:rPr>
      </w:pPr>
    </w:p>
    <w:p>
      <w:pPr>
        <w:ind w:left="660" w:right="52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imposed by, or resulting from, compliance with regulatory requirements, limitations on wastewater disposal, emission of GHGs and hydraulic fracturing;</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irregularities in geological formations;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obtaining equipment and qualified personnel or in obtaining water for hydraulic fracturing activities;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accidents or other unexpected operational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gathering facilities or delays in construction of gathering facilities;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capacity on interconnecting transmission pipelines;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water and electricity;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compliance with environmental regulations;</w:t>
      </w:r>
    </w:p>
    <w:p>
      <w:pPr>
        <w:spacing w:after="0" w:line="36"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crude oil and natural gas leaks, crude oil spills, pipeline and tank ruptures and unauthorized discharges of brine, well stimulation and completion fluids, toxic gases or other pollutants into the surface and subsurface environment;</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crude oil and natural gas prices;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financing on acceptable terms;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issues;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limitations in HighPeak Energy’s industry.</w:t>
      </w:r>
    </w:p>
    <w:p>
      <w:pPr>
        <w:spacing w:after="0" w:line="24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time to time, HighPeak Energy has entered into and may in the future enter into certain crude oil, natural gas or produced water gathering or transportation agreements, natural gas processing agreements, NGL transportation agreements, produced water disposal agreements or similar commercial arrangements with midstream companies and contracts to provide sand or other drilling and completion or operating supplies. Certain of these agreements require HighPeak Energy to meet minimum volume commitments, often regardless of actual throughput.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2024, the Company entered into an amended and restated crude oil marketing contract with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2025, the Company has delivered approximately 31,594 Bopd under the contract. The remaining monetary commitment as of December 31, 2025, if the Company never delivers any additional volumes under the agreement, is approximately $115.9 million.</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HighPeak Energy has insufficient production to meet the minimum volume commitments under this agreement, HighPeak Energy’s cash flow from operations will be reduced, which may require HighPeak Energy to reduce or delay its planned investments and capital expenditures, or seek alternative means of financing, all of which may have a material adverse effect on HighPeak Energy’s results of operation.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 expose HighPeak Energy to counterparty credit risk and may become more costly or unavailable.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HighPeak is required under the Term Loan Credit Agreement and Senior Credit Facility Agreement to hedge certain quantities of its projected crude oil production. Hedging transactions expose HighPeak Energy to risk of financial loss if a counterparty fails to perform under a derivative contract. Disruptions in the financial markets could lead to sudden decreases in a counterparty’s liquidity, which could make them unable to perform under the terms of the derivative contract and HighPeak Energy may not be able to realize the benefit of the derivative contract. Derivative instruments also expose HighPeak Energy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use of derivatives may, in some cases, require the posting of cash collateral with counterparties. If HighPeak Energy enters into derivative instruments that require cash collateral and commodity prices or interest rates change in an adverse manner, our cash otherwise available for use in operations would be reduced which could limit HighPeak Energy’s ability to make future capital expenditures and make payments on indebtedness. Future collateral requirements will depend on arrangements with counterparties, highly volatile crude oil, NGL and natural gas prices and interest rates.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derivative arrangements could limit the benefits to be received from increases in the prices for natural gas, NGL and crude oil, which could also have an adverse effect on HighPeak Energy’s financial condition. If natural gas, NGL or crude oil prices upon settlement of derivative swap contracts exceed the price at which commodities have been hedged, HighPeak Energy will be obligated to make cash payments to counterparties, which could, in certain circumstances, be significant.</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derivatives legislation could have an adverse effect on our ability to use derivative instruments to reduce the effect of commodity price, interest rate and other risks associated with our business.</w:t>
      </w:r>
    </w:p>
    <w:p>
      <w:pPr>
        <w:spacing w:after="0" w:line="118"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18"/>
          <w:szCs w:val="18"/>
          <w:color w:val="auto"/>
        </w:rPr>
        <w:t>On July 21, 2010, new comprehensive financial reform legislation, known as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“Act”), was enacted that establishes federal oversight and regulation of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derivatives market and entities, such as us, that participate in that market. The Act requires the CFTC, the SEC and other regulators to promulgate rules and regulations implementing the new legislation.</w:t>
      </w:r>
    </w:p>
    <w:p>
      <w:pPr>
        <w:spacing w:after="0" w:line="198"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exchange trading. To the extent we engage in such transactions or transactions that become subject to such rules in the future, we will be required to comply or take steps to qualify for an exemption to such requirements. Although we expect to qualify for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to the mandatory clearing requirements for swaps entered to hedge our commercial risks, the application of the mandatory clearing and trade execution requirements to other market participants, such as swap dealers, may change the cost and availability of the swaps that we use for hedging. If our swaps do not qualify for the commercial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or the cost of entering into uncleared swaps becomes prohibitive, we may be required to clear such transactions. The ultimate effect of the rules and any additional regulations on our businesses is uncertain at this time.</w:t>
      </w:r>
    </w:p>
    <w:p>
      <w:pPr>
        <w:spacing w:after="0" w:line="20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addition, the Act requires that regulators establish margin rules for uncleared swaps. Banking regulators and the CFTC have adopted final rules establishing minimum margin requirements for uncleared swaps. Although we expect to qualify for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from such margin requirements for swaps entered into to hedge our commercial risks, the application of such requirements to other market participants, such as swap dealers, may change the cost and availability of the swaps that we use for hedging. If any of our swaps do not qualify for the commercial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posting of initial or variation margin could impact our liquidity and reduce cash available for capital expenditures, therefore reducing our ability to execute hedges to reduce risk and protect cash flows.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CFTC has finalized rules that place limits on positions in certain core futures and equivalent swaps contracts for, or linked to, certain physical commodities, subject to exceptions for certain bona fide hedging transactions. We currently do not expect such rules will have a material impact on us. The CFTC has also adopted a final rule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from various conditions and requirements in the final aggregation rules until the effective date of any codifying rulemaking. With the implementation of the final aggregation rules and upon the effectiveness of the final CFTC position limits rule, our ability to execute our hedging strategies described above could be limited.</w:t>
      </w:r>
    </w:p>
    <w:p>
      <w:pPr>
        <w:spacing w:after="0" w:line="1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full impact of the Act and related regulatory requirements upon our businesses will not be known until all of the related regulations are implemented. The Act and any new regulations could significantly increase the cost of derivative contracts (including from swap recordkeeping and reporting requirements and through requirements to post collateral which could adversely affect our available liquidity), materially alter the terms of derivative contracts, reduce the availability of some derivatives to protect against risks we encounter and reduce our ability to monetize or restructure our existing derivative contracts. If we reduce our use of derivatives as a result of the Act and regulations, our results of operations may become more volatile and our cash flows may be less predictable, which could adversely affect our ability to plan for and fund capital expenditures. Any of these consequences could have material adverse effect on our financial condition, results of operations and cash available for distribution.</w:t>
      </w:r>
    </w:p>
    <w:p>
      <w:pPr>
        <w:spacing w:after="0" w:line="148" w:lineRule="exact"/>
        <w:rPr>
          <w:sz w:val="20"/>
          <w:szCs w:val="20"/>
          <w:color w:val="auto"/>
        </w:rPr>
      </w:pPr>
    </w:p>
    <w:p>
      <w:pPr>
        <w:ind w:right="360"/>
        <w:spacing w:after="0" w:line="245" w:lineRule="exact"/>
        <w:rPr>
          <w:sz w:val="20"/>
          <w:szCs w:val="20"/>
          <w:color w:val="auto"/>
        </w:rPr>
      </w:pPr>
      <w:r>
        <w:rPr>
          <w:rFonts w:ascii="Times New Roman" w:cs="Times New Roman" w:eastAsia="Times New Roman" w:hAnsi="Times New Roman"/>
          <w:sz w:val="18"/>
          <w:szCs w:val="18"/>
          <w:color w:val="auto"/>
        </w:rPr>
        <w:t>In addition, the European Union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jurisdictions are implementing regulations with respect to the derivatives market. To the extent we transact with counterparties in foreign jurisdictions, we may become subject to such regulations.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standardized measure of estimated reserves may not be an accurate estimate of the current fair value of estimated crude oil and natural gas reserves.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Standardized measure is a reporting convention that provides a common basis for comparing crude oil and natural gas companies subject to the rules and regulations of the SEC. Standardized measure requires historical twelve-month pricing as required by the SEC as well as operating and development costs prevailing as of the date of computation. For example, our reserve volumes and PV-10 as disclosed in this Annual Report are based on assumed commodity prices of $65.34 per Bbl of crude oil and NGL and $3.387 per MMBtu of natural gas as of December 31, 2025, which are higher for crude oil and lower for natural gas than December 31, 2025 front-month forward pricing of $57.42 per Bbl of crude oil and $3.686 per Mcf of natural gas. Consequently, it may not reflect the prices ordinarily received or that will be received for crude oil and natural gas production because of varying market conditions, nor may it reflect the actual costs that will be required to produce or develop the crude oil and natural gas properties. As a result, estimates included in this Annual Report of future net cash flow may be materially different from the future net cash flows that are ultimately received. Therefore, the standardized measure of estimated reserves included in this Annual Report should not be construed as an accurate estimate of the current fair value of such proved reserves. Accordingly, you are cautioned not to place undue weight on our reserve volumes or PV-10 based on such pricing when evaluating our financial condition or an investment in our securities.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not assume the present value of future net revenues from the reserves presented in this Annual Report is the current market value of the estimated reserves of our assets. Actual future prices and costs may differ materially from those used in the present value estimate. If spot prices are below such calculated amounts, using more recent prices in estimating proved reserves may result in a reduction in proved reserve volumes due to economic limits.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HighPeak Energy enters into agreements to effect certain acquisitions, whereby it acquires crude oil and natural gas producing properties and undeveloped acreage. To the extent these acquisitions include producing crude oil and natural gas properties, acquiring crude oil and natural gas properties requires HighPeak Energy to assess reservoir and infrastructure characteristics, including such assets and/or other recoverable reserves, future crude oil and natural gas prices and their applicable differentials, development and operating costs, and potential liabilities, including environmental liabilities. In connection with these assessments, HighPeak Energy performs a review of the subject properties that it believes to be generally consistent with industry practices. Such assessments are inexact and inherently uncertain. For these reasons, the properties that HighPeak Energy acquires, or may acquire in the future, may not produce as expected. In connection with the assessments, HighPeak Energy performs a review of the subject properties, but such a review may not reveal all existing or potential problems. In the course of due diligence, HighPeak Energy may not review every well, pipeline or associated facility. HighPeak Energy cannot necessarily observe structural and environmental problems, such as groundwater contamination, when a review is performed. HighPeak Energy may be unable to obtain contractual indemnities from the seller for liabilities created prior to HighPeak Energy’s purchase of the property. HighPeak Energy may be required to assume the risk of the physical condition of the properties in addition to the risk that the properties may not perform in accordance with its expectations. Additionally, the success of future acquisitions will depend on HighPeak Energy’s ability to integrate effectively the then-acquired business into its then-existing operations. The process of integrating acquired assets may involve unforeseen difficulties and may require a disproportionate amount of managerial and financial resources. HighPeak Energy’s failure to achieve consolidation savings, to incorporate the additionally acquired assets into its then-existing operations successfully, or to minimize any unforeseen operational difficulties, or the failure to acquire future assets at all, could have a material adverse effect on its financial condition and results of operations.</w:t>
      </w:r>
    </w:p>
    <w:p>
      <w:pPr>
        <w:spacing w:after="0" w:line="191"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is not the operator on all its acreage or drilling locations, and, therefore, HighPeak Energy is not able to control the timing of exploration or development efforts, associated costs or the rate of production of any non-operated assets, and could be liable for certain financial obligations of the operators or any of its contractors, to the extent such operator or contractor is unable to satisfy such obligations.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HighPeak Energy is not the operator on all its acreage or drilling locations, and there is no assurance that it will operate all HighPeak Energy’s other future drilling locations. As a result, HighPeak Energy will have limited ability to exercise influence over the operations of the drilling locations operated by its partners and there is the risk that HighPeak Energy’s partners may at any time have economic, business or legal interests or goals that are inconsistent with ours. Furthermore, the success and timing of development activities operated by its partners will depend on several factors that will be largely outside of HighPeak Energy’s control, including:</w:t>
      </w:r>
    </w:p>
    <w:p>
      <w:pPr>
        <w:spacing w:after="0" w:line="18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expertise and financial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participants in drilling wells;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technology;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production of reserves, if 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right="120"/>
        <w:spacing w:after="0" w:line="255" w:lineRule="auto"/>
        <w:rPr>
          <w:sz w:val="20"/>
          <w:szCs w:val="20"/>
          <w:color w:val="auto"/>
        </w:rPr>
      </w:pPr>
      <w:r>
        <w:rPr>
          <w:rFonts w:ascii="Times New Roman" w:cs="Times New Roman" w:eastAsia="Times New Roman" w:hAnsi="Times New Roman"/>
          <w:sz w:val="18"/>
          <w:szCs w:val="18"/>
          <w:color w:val="auto"/>
        </w:rPr>
        <w:t>This limited ability to exercise control over the operations and associated costs of some of HighPeak Energy’s drilling locations could prevent the realization of targeted returns on capital in drilling or acquisition activities. Further, HighPeak Energy may be liable for certain financial obligations of the operator of a well in which it owns a working interest to the extent such operator becomes insolvent and cannot satisfy such obligations. Similarly, HighPeak Energy may be liable for certain obligations of contractors to the extent such contractor becomes insolvent and cannot satisfy their obligations. The satisfaction of such obligations could have a material adverse effect on HighPeak Energy’s financial condition. For more information about certain of HighPeak Energy’s assets, see the sections entitled “Items 1 and 2. Business and Properties” and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may negatively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ability to conduct drilling activities.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Adverse weather conditions may cause, among other things, increases in the costs of, and delays in, drilling or completing new wells, power failures, temporary shut-in of production and difficulties in the transportation of crude oil, NGL and natural gas. Any decreases in production due to poor weather conditions will have an adverse effect on revenues, which will in turn negatively affect cash flow from operations. Climate change may also increase the frequency or intensity of such adverse weather conditions; for more information, see our risk factor titled “The operations of HighPeak Energy are subject to a variety of risks arising from climate change.”</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are substantially dependent on the availability of frac sand and water. Restrictions on its ability to obtain frac sand and water may have an adverse effect on its financial condition, results of operations and cash flows.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Water and sand are an essential component of crude oil and natural gas production during the hydraulic fracturing process, and to a lesser extent, drilling operations. Drought conditions have persisted in the areas where the Company’s assets are located in past years. Such drought conditions can lead governmental authorities to restrict the use of water, subject to their jurisdiction, for hydraulic fracturing to protect local water supplies. Although HighPeak Energy may enter into a long-term contract for the supply of water, it currently procures local water for drilling on a well-to-well basis and currently recycles a significant portion of its produced water for completion operations. If HighPeak Energy is unable to obtain water to use in operations, it may need to be obtained from non-local sources and transported to drilling sites, resulting in increased costs, or HighPeak Energy may be unable to economically produce crude oil and natural gas, which could have a material and adverse effect on its financial condition,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assets are located in the northeastern Midland Basin, making HighPeak Energy vulnerable to risks associated with operating in a limited geographic area.</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HighPeak Energy’s producing properties are geographically concentrated in the northeastern Midland Basin. As a result, HighPeak Energy may be disproportionately exposed to various factors, including, among others: (i) the impact of regional supply and demand factors, (ii) delays or interruptions of production from wells in such areas caused by governmental regulation, (iii) processing or transportation capacity constraints, (iv) market limitations, (v) availability of equipment and personnel, (vi) water shortages or other drought related conditions or (vii) interruption of the processing or transportation of crude oil, NGL or natural gas. The concentration of the Company’s assets in a limited geographic area also increases its exposure to changes in local laws and regulations, certain lease stipulations designed to protect wildlife and unexpected events that may occur in the regions such as natural disasters, adverse weather, seismic events, industrial accidents or labor difficulties. Any one of these factors has the potential to cause producing wells to be shut-in, delay operations, decrease cash flows, increase operating and capital costs and prevent development of lease inventory before expirations. Any of the risks described above could have a material adverse effect on HighPeak Energy’s business, financial condition, results of operations and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incur losses as a result of title defects in the properties in which it invests.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existence of a material title deficiency can render a lease worthless and adversely affect HighPeak Energy’s results of operations and financial condition. While HighPeak Energy typically obtains title opinions prior to commencing drilling operations on a lease or in a unit, the failure of title may not be discovered until after a well is drilled, in which case HighPeak Energy may lose the lease and the right to produce all or a portion of the minerals under the property. Additionally, if an examination of the title history of a property reveals that a crude oil or natural gas lease or other developed right has been purchased in error from a person who is not the owner of the mineral interest desired, HighPeak Energy’s interest would substantially decline in value. In such cases, the amount paid for such crude oil or natural gas lease or leases would be lost.</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estimated PUDs may take longer and may require higher levels of capital expenditures than anticipated. Therefore, estimated PUDs may not be ultimately developed or produced.</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Company’s assets contained 77,764 MBoe of proved undeveloped reserves, or PUDs, consisting of 59,106 MBbls of crude oil, 9,503 MBbls of NGL and 54,928 MMcf of natural gas. Development of these proved undeveloped reserves may take longer and require higher levels of capital expenditures than anticipated. Estimated future development costs relating to the development of such PUDs at December 31, 2025 are approximately $1.3 billion over the next five (5) years. HighPeak Energy’s ability to fund these expenditures is subject to several risks. See “—HighPeak Energy’s development projects and acquisitions will require substantial capital expenditures. HighPeak Energy may be unable to obtain required capital or financing on satisfactory terms, which could reduce its ability to access or increase production and reserves.” Delays in the development of reserves, increases in costs to drill and develop such reserves or decreases in commodity prices will reduce the value of the estimated PUDs and future net revenues estimated for such reserves and may result in some projects becoming uneconomic. In addition, delays in the development of reserves could cause HighPeak Energy to have to reclassify PUDs as unproved reserves. Furthermore, there is no certainty that HighPeak Energy will be able to convert PUDs to developed reserves or that undeveloped reserves will be economically viable or technically feasible to produce.</w:t>
      </w:r>
    </w:p>
    <w:p>
      <w:pPr>
        <w:spacing w:after="0" w:line="194"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Further, SEC rules require that, subject to limited exceptions, PUDs may only be booked if they relate to wells scheduled to be drilled within five years after the date of booking. This requirement may limit HighPeak Energy’s ability to book additional PUDs as it pursues its future drilling programs. As a result, HighPeak Energy may be required to write-down its PUDs if it does not drill those wells within the required timeframe. If actual reserves prove to be less than current reserve estimates, or if HighPeak Energy is required to write-down some of its PUDs, such reductions could have a material adverse effect on HighPeak Energy’s financial condition, results of operations and future cash flows.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HighPeak Energy replaces its reserves with new reserves and develops those new reserves, its reserves and production will decline, which would adversely affect future cash flows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Producing crude oil and natural gas reservoirs generally are characterized by declining production rates that vary depending upon reservoir characteristics and other factors. Unless HighPeak Energy conducts successful ongoing exploration and development activities or continually acquires properties containing proved reserves, proved reserves will decline as those reserves are produced. HighPeak Energy’s future reserves and production, and therefore future cash flows and results of operations, are highly dependent on HighPeak Energy’s success in efficiently developing current reserves and economically finding or acquiring additional recoverable reserves. HighPeak Energy may not be able to develop, find or acquire sufficient additional reserves to replace future production. If HighPeak Energy is unable to replace such production, the value of its reserves will decrease, and its business, financial condition and results of operations would be materially and adversely affected.</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depends upon a small number of significant purchasers for the sale of most of its crude oil, NGL and natural gas production. The loss of one or more of such purchasers could, among other factors, limit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access to suitable markets for the crude oil, NGL and natural gas it produces.</w:t>
      </w:r>
    </w:p>
    <w:p>
      <w:pPr>
        <w:spacing w:after="0" w:line="17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HighPeak Energy expects to sell its production to a relatively small number of customers, as is customary in the crude oil and natural gas business. For the years ended December 31, 2025, 2024 and 2023, there were two purchasers that accounted for approximately 90%, 94% and 96% of our revenue, respectively (one at approximately 82%, 76% and 82%, respectively, and one at approximately 8%, 18% and 14%, respectively). No other purchaser accounted for 10% or more of such revenues during such period. The loss of any such greater than 10% purchaser could adversely affect HighPeak Energy’s revenues in the short term. See the section entitled “Items 1 and 2: Business and Properties—Operations—Marketing and Customers” for additional information. HighPeak Energy expects to depend upon these or other significant purchasers for the sale of most of its crude oil and natural gas production. HighPeak Energy cannot ensure that it will continue to have ready access to suitable markets for its future crude oil and natural gas production.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9" w:name="page50"/>
    <w:bookmarkEnd w:id="49"/>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may be exposed to significant delays, costs and liabilities as a result of environmental and occupational health and safety requirements applicable to its business activities.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HighPeak Energy’s operations will be subject to stringent and complex federal, state and local laws and regulations governing the discharge of materials into the environment, the occupational health and safety aspects of its operations or otherwise relating to the protection of the environment and natural resources. These laws and regulations may impose numerous obligations applicable to HighPeak Energy’s operations, including the acquisition of a permit or other approval before conducting regulated activities; the restriction of types, quantities and concentration of materials that can be released into the environment; the limitation or prohibition of drilling activities on certain lands lying within wilderness, wetlands, seismically active areas and other protected areas; the application of specific health and safety criteria addressing worker protection; and the imposition of substantial liabilities for pollution resulting from HighPeak Energy’s operations. Numerous governmental authorities, such as the EPA and analogous state agencies, have the power to enforce compliance with these laws and regulations and the permits issued under them. Such enforcement actions often involve difficult and costly compliance measures or corrective actions. Failure to comply with these laws and regulations may result in the assessment of sanctions, including administrative, civil or criminal penalties, natural resource damages, the imposition of investigatory or remedial obligations, and the issuance of orders limiting or prohibiting some or all HighPeak Energy’s operations. In addition, HighPeak Energy may experience delays in obtaining, or be unable to obtain, required permits, which may delay or interrupt its operations and limit growth and revenue.</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environmental laws impose strict liability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showing of “fault” is required) as well as joint and several liability for costs required to remediate and restore sites where hazardous substances, hydrocarbons or solid wastes have been stored or released. HighPeak Energy may be required to remediate contaminated properties owned or operated by it or facilities of third parties that received waste generated by operations regardless of whether such contamination resulted from the conduct of others or from consequences of its own actions that were in compliance with all applicable laws at the time those actions were taken. In connection with certain acquisitions, HighPeak Energy could acquire, or be required to provide indemnification against, environmental liabilities that could expose HighPeak Energy to material losses. In certain instances, citizen groups also have the ability to bring legal proceedings against HighPeak Energy if it is not in compliance with environmental laws, or to challenge its ability to receive environmental permits needed to operate. In addition, claims for damages to persons or property, including natural resources, may result from the environmental, health and safety impacts of its operations. HighPeak Energy’s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example, HighPeak Energy may incur significant costs and liabilities as a result of environmental requirements applicable to the operation of its wells, gathering systems and other facilities. These costs and liabilities could arise under a wide range of federal, state and local environmental laws and regulations, including the following federal laws and their state counterparts, as amended from time to time, among others:</w:t>
      </w:r>
    </w:p>
    <w:p>
      <w:pPr>
        <w:spacing w:after="0" w:line="176" w:lineRule="exact"/>
        <w:rPr>
          <w:sz w:val="20"/>
          <w:szCs w:val="20"/>
          <w:color w:val="auto"/>
        </w:rPr>
      </w:pPr>
    </w:p>
    <w:p>
      <w:pPr>
        <w:ind w:left="660" w:right="84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CAA, which restricts the emission of air pollutants from many sources, imposes various pre-construction, monitoring and reporting requirements;</w:t>
      </w:r>
    </w:p>
    <w:p>
      <w:pPr>
        <w:ind w:left="660" w:right="10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CWA, which regulates discharges of pollutants from facilities and sources to federal waters and establishes the extent to which waterways are subject to federal jurisdiction and rulemaking as protected waters of the United States;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OPA, which imposes liabilities for removal costs and damages arising from a crude oil spill into waters of the United States;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0" w:name="page51"/>
    <w:bookmarkEnd w:id="50"/>
    <w:p>
      <w:pPr>
        <w:ind w:left="660" w:right="44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SDWA, which ensures the quality of the nations’ public drinking water through adoption of drinking water standards and control over the subsurface injection of fluids into belowground formations;</w:t>
      </w:r>
    </w:p>
    <w:p>
      <w:pPr>
        <w:ind w:left="660" w:right="24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RCRA, which imposes requirements for the generation, treatment, storage, transport, disposal and cleanup of non-hazardous, hazardous and solid wastes;</w:t>
      </w:r>
    </w:p>
    <w:p>
      <w:pPr>
        <w:ind w:left="660" w:right="2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CERCLA, which imposes liability on generators, transporters and those who arrange for transportation or disposal of hazardous substances at sites where hazardous substance releases have occurred or are threatening to occur, as well as imposes liability on present and certain past owners and operations of sites where hazardous substance releases have occurred or are threatening to occur;</w:t>
      </w:r>
    </w:p>
    <w:p>
      <w:pPr>
        <w:spacing w:after="0" w:line="1" w:lineRule="exact"/>
        <w:rPr>
          <w:rFonts w:ascii="Times New Roman" w:cs="Times New Roman" w:eastAsia="Times New Roman" w:hAnsi="Times New Roman"/>
          <w:sz w:val="18"/>
          <w:szCs w:val="18"/>
          <w:color w:val="auto"/>
        </w:rPr>
      </w:pPr>
    </w:p>
    <w:p>
      <w:pPr>
        <w:jc w:val="both"/>
        <w:ind w:left="660" w:right="1000" w:hanging="328"/>
        <w:spacing w:after="0" w:line="265"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ESA, which restricts activities that may affect federally identified endangered and threatened species or their habitats through the implementation of operating limitations or restrictions or a temporary, seasonal or permanent ban on operations in affected areas; and</w:t>
      </w:r>
    </w:p>
    <w:p>
      <w:pPr>
        <w:ind w:left="660" w:right="400" w:hanging="328"/>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OSHA, under which federal Occupational Safety and Health Administration and similar state agencies have promulgated regulations limiting exposures to hazardous substances in the workplace and imposing various worker safety requirements.</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Failure to comply with these laws and regulations may result in the assessment of sanctions, including administrative, civil and criminal penalties, the imposition of investigatory, remedial and corrective actions, the incurrence of capital expenditures, the occurrence of delays in the permitting, development or expansion of projects and the issuance of orders enjoining some or all HighPeak Energy’s future operations in a particular area. It is not uncommon for neighboring landowners, employees and other third parties to file claims for personal injury and property damage allegedly caused by the release of hazardous substances, wastes or other materials into the environment. While from time to time there have been periods of deregulation under certain U.S. presidential administrations, the trend in environmental regulation is to place more restrictions and limitations on activities that may affect the environment and more stringent laws and regulations may be adopted in the future.</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To the extent HighPeak Energy’s operations are affected by national, regional, local and other laws, and to the extent such laws are enacted or other governmental action is taken that restricts drilling or imposes more stringent and costly operating, waste handling, disposal and cleanup requirements, HighPeak Energy’s business, prospects, financial condition or results of operations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incur increased attention to ESG matters that may impact its business.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Businesses across all industries are facing increasing scrutiny from investors, customers, employees, regulatory bodies and other stakeholders related to their ESG practices. Businesses that do not adapt to or comply with such stakeholder expectations and standards, which are evolving, or which are perceived to have not responded appropriately to the growing concern for ESG related issues, regardless of whether there is a legal requirement to do so, may suffer from reputational damage and the business, financial condition and/or stock price of such business entity could be adversely affected. Increasing attention to climate change, increasing societal expectations on businesses to address climate change, changes in regulation relating to climate change, and potential consumer use of substitutes to energy commodities may result in increased costs, reduced demand for HighPeak Energy’s hydrocarbon products, reduced profits, increased investigations and litigation and negative impacts on its stock price and access to capital markets. Increasing attention to climate change, for example, may result in demand shifts for HighPeak Energy’s hydrocarbon products and additional governmental investigations and private litigation.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while we may create and publish mandatory or voluntary disclosures regarding ESG matters from time to time, certain statements in those disclosures may be based on expectations and assumptions or hypothetical scenarios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approach to identifying, measuring and reporting on many ESG matters. We may also announce participation in, or certification under, various third-party ESG frameworks in an attempt to improve our ESG profile, but such participation or certification may be costly and may not achieve the desired results. Additionally, while we may announce various ESG targets, such targets are often aspirational. We may not be able to meet such targets in the manner or on such a timeline as initially contemplated, including but not limited to as a result of unforeseen costs or technical difficulties associated with achieving such results. To the extent we meet such targets, it may be achieved through various contractual arrangements, including the purchase of various credits or offsets that may be deemed to mitigate our ESG impact instead of actual changes in our business operations. Some of these arrangements may receive scrutiny from certain constituencies. Also, despite these aspirational goals and any other actions taken, we may receive pressure from investors, lenders, or other groups to adopt more aggressive climate or other ESG-related goals, but we cannot guarantee that we will be able to pursue, implement or make progress against such goals because of potential costs or technical, inaccurate assumptions or operational obstacles.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or initiatives with respect to ESG matters that we may pursue or assert are increasingly subject to heightened scrutiny from the public and governmental authorities, as well as other parties. For example, the SEC and various state agencies have taken enforcement action against companies for ESG-related misconduct, including alleged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process of conveying misleading information or making false claims that overstate potential ESG benefits). Such regulators, as well as non-governmental organizations and other private actors, have filed lawsuits under various securities and consumer protection laws alleging that certain ESG statements, goals or standards were misleading, false or otherwise deceptive. Certain employment or business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More recent political developments could mean that the Company faces increasing criticism or litigation risks from certain “anti-ESG” parties, including various government agencies. Such sentiment may focus on the Company’s environmental or social commitments (such as reducing GHG emissions) or its pursuit of certain employment or business practices or social initiatives that are alleged to be political or polarizing in nature or are alleged to violate laws based, in part, on changing priorities of, or interpretations by, federal agencies or state governments. Consideration of ESG-related factors in the Company’s decision-making could be subject to increasing scrutiny and objection from such anti-ESG parties. As a result, the Company may be subject to pressure in the media or through other means, such as governmental investigations, enforcement actions, or other proceedings, all of which could adversely affect our reputation, business, financial performance, market access and growth. Accordingly, there may be increased costs related to reviewing, implementing and managing such policies, as well as compliance and litigation risks based both on positions we do or do not take, or work we do or do not perform.</w:t>
      </w:r>
    </w:p>
    <w:p>
      <w:pPr>
        <w:spacing w:after="0" w:line="19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organizations that provided information and ratings to investors on ESG and related matters have developed processes for evaluating business entities on their approach to ESG matters. Currently, there are no universal standards for such scores or ratings, but the importance of sustainability evaluations has become more broadly accepted by investors and shareholders. Such assessments are used by some investors to inform their investment and voting decisions. Additionally, certain investors use these assessments to benchmark businesses against their peers and if a business entity is perceived as lagging, these investors may engage with such entities to require improved ESG disclosure or performance. Moreover, certain members of the broader investment community may consider a business entity’s sustainability score as a reputational or other factor in making an investment decision. Consequently, a low sustainability score could result in exclusion of HighPeak Energy’s stock from consideration by certain investment funds, restrictions on our ability to obtain insurance, and engagement by investors seeking to improve such assessments and a negative perception of HighPeak Energy’s</w:t>
      </w:r>
    </w:p>
    <w:p>
      <w:pPr>
        <w:sectPr>
          <w:pgSz w:w="11900" w:h="16838" w:orient="portrait"/>
          <w:cols w:equalWidth="0" w:num="1">
            <w:col w:w="11240"/>
          </w:cols>
          <w:pgMar w:left="320" w:top="580" w:right="339" w:bottom="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operation by certain investors. Additionally, to the extent ESG matters negatively impact our reputation, we may not be able to compete as effectively to recruit or retain employees, which may adversely affect our operations. ESG matters may also impact our suppliers and customers, which may ultimately have adverse impacts on our operations.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2" w:name="page53"/>
    <w:bookmarkEnd w:id="52"/>
    <w:p>
      <w:pPr>
        <w:ind w:right="40"/>
        <w:spacing w:after="0" w:line="266" w:lineRule="auto"/>
        <w:rPr>
          <w:sz w:val="20"/>
          <w:szCs w:val="20"/>
          <w:color w:val="auto"/>
        </w:rPr>
      </w:pPr>
      <w:r>
        <w:rPr>
          <w:rFonts w:ascii="Times New Roman" w:cs="Times New Roman" w:eastAsia="Times New Roman" w:hAnsi="Times New Roman"/>
          <w:sz w:val="18"/>
          <w:szCs w:val="18"/>
          <w:color w:val="auto"/>
        </w:rPr>
        <w:t>The complex regulatory and legal frameworks applicable to such initiatives continue to evolve. We cannot be certain of the impact of such regulatory, legal and other developments on our business. To the extent any enforcement actions or other litigation is brought against us as a result of emerging viewpoints and legal interpretations, our business, financial condition and access to financing may be materially and adversely affected.</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incur substantial losses and be subject to substantial liability claims as a result of operations. Additionally, HighPeak Energy may not be insured for, or insurance may be inadequate to protect HighPeak Energy against, these risks.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HighPeak Energy will not be insured against all risks. Losses and liabilities arising from uninsured and underinsured events could materially and adversely affect its business, financial condition or results of operations.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HighPeak Energy’s development activities will be subject to all the operating risks associated with drilling for and producing crude oil and natural gas, including the possibility of:</w:t>
      </w:r>
    </w:p>
    <w:p>
      <w:pPr>
        <w:spacing w:after="0" w:line="162" w:lineRule="exact"/>
        <w:rPr>
          <w:sz w:val="20"/>
          <w:szCs w:val="20"/>
          <w:color w:val="auto"/>
        </w:rPr>
      </w:pPr>
    </w:p>
    <w:p>
      <w:pPr>
        <w:ind w:left="660" w:right="220" w:hanging="328"/>
        <w:spacing w:after="0" w:line="25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uncontrollable releases of crude oil, natural gas, brine, well fluids, toxic gas or other pollution into the environment, including groundwater, air and shoreline contamination, damage to natural resources or wildlife, or the presence of endangered or threatened species;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abnormally pressured formations;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difficulties, such as stuck oilfield drilling and service tools and casing collapse;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and ruptures of pipelines;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 and death;</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targeting crude oil and natural gas related facilities and infrastructure.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adversely affect HighPeak Energy’s ability to conduct operations or result in substantial loss as a result of claims for:</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or loss of life;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and destruction of property, natural resources and equipment;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environmental or natural resource damage;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and penalties;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remediation costs.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HighPeak Energy may elect not to obtain insurance for any or all of these risks if it believes that the cost of available insurance is excessive relative to the risks presented. In addition, pollution and environmental risks generally are not fully insurable. The occurrence of an event that is not fully covered by insurance could have a material adverse effect 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that HighPeak Energy decides to drill may not yield crude oil or natural gas in commercially viable quantities.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Properties that HighPeak Energy decides to drill that do not yield crude oil or natural gas in commercially viable quantities will adversely affect its results of operations and financial condition. There is no way to predict in advance of drilling and testing whether any particular prospect will yield crude oil or natural gas in sufficient quantities to recover drilling or completion costs or to be economically viable. The use of micro-seismic data and other technologies and the study of producing fields in the same area will not enable HighPeak Energy to know conclusively prior to drilling whether crude oil or natural gas will be present or, if present, whether crude oil or natural gas will be present in commercial quantities. HighPeak Energy cannot assure you that the analogies drawn from available data from other wells, more fully explored prospects or producing fields will be applicable to its drilling prospects. Further, HighPeak Energy’s drilling operations may be curtailed, delayed or cancelled as a result of numerous factors, including:</w:t>
      </w:r>
    </w:p>
    <w:p>
      <w:pPr>
        <w:spacing w:after="0" w:line="18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lost circulation in formations;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environmental and other governmental or contractual requirements; and</w:t>
      </w:r>
    </w:p>
    <w:p>
      <w:pPr>
        <w:spacing w:after="0" w:line="36"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and shortages or delays in the availability of, electricity, supplies, materials, drilling or workover rigs, equipment and services.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3" w:name="page54"/>
    <w:bookmarkEnd w:id="53"/>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be unable to make additional attractive acquisitions or successfully integrate acquired businesses with its current assets, and any inability to do so may disrupt its business and hinder its ability to grow.</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HighPeak Energy may not be able to identify attractive acquisition opportunities that complement the Company’s assets or expand its business. In the event it identifies attractive acquisition opportunities, HighPeak Energy may not be able to complete the acquisition or do so on commercially acceptable terms. Competition for acquisitions may also increase the cost of, or cause HighPeak Energy to refrain from, completing acquisitions.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success of completed acquisitions will depend on HighPeak Energy’s ability to integrate effectively the acquired business into its then-existing operations. The process of integrating acquired businesses may involve unforeseen difficulties and may require a disproportionate amount of its managerial and financial resources. In addition, possible future acquisitions may be larger and for purchase prices significantly higher than those paid for earlier acquisitions. No assurance can be given that it will be able to identify additional suitable acquisition opportunities, negotiate acceptable terms, obtain financing for acquisitions on acceptable terms or successfully acquire identified targets. HighPeak Energy’s failure to achieve consolidation savings, to integrate the acquired businesses and assets into its then-existing operations successfully or to minimize any unforeseen operational difficulties could have a material adverse effect on its financial condition and results of operations.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the Term Loan Credit Agreement and Senior Credit Facility Agreement impose certain limitations on HighPeak Energy’s ability to enter into mergers or combination transactions and on HighPeak Energy’s and its restricted subsidiaries’ ability to incur certain indebtedness, which could indirectly limit its ability to acquire assets and businesses.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properties are subject to land use restrictions, which could limit the manner in which HighPeak Energy conducts business.</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Certain of HighPeak Energy’s properties are subject to land use restrictions, which could limit the manner in which HighPeak Energy conducts business. Such restrictions could affect, among other things, access to and the permissible uses of facilities as well as the manner in which HighPeak Energy produces crude oil and natural gas and may restrict or prohibit drilling in general. The costs incurred to comply with such restrictions may be significant, and HighPeak Energy may experience delays or curtailment in the pursuit of development activities and perhaps even be precluded from the drilling of wells.</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or high cost of drilling rigs, equipment, supplies, personnel, frac crews and oilfield services due to commodity price volatility or supply constraints as a result of the conflict in Ukraine and the Middle East and U.S. intervention in Venezuela, elevated interest rates and associated policies of the Federal Reserve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execute its development plans within its budget and on a timely basis and consequently could materially and adversely affect our cash flows and results of operations.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demand for drilling rigs, pipe and other equipment and supplies, as well as for qualified and experienced field personnel to drill wells and conduct field operations, geologists, geophysicists, engineers and other professionals in the crude oil and natural gas industry, can fluctuate significantly, often in correlation with crude oil, NGL and natural gas prices, causing periodic shortages of equipment, supplies and needed personnel. The current U.S. presidential administration has signaled it will encourage increased domestic exploration and production activity, which could lead to a reduction in crude oil, NGL and natural gas prices. Additionally, supply constraints due to the conflict in Ukraine and the Middle East and U.S. intervention in Venezuela, elevated interest rates and associated policies of the Federal Reserve has increased the cost of oilfield services. HighPeak Energy’s operations are concentrated in areas in which oilfield activity levels have previously increased rapidly. If that were to happen again, demand for drilling rigs, equipment, supplies and personnel may increase the costs for these services. Access to transportation, processing and refining facilities in these areas may become constrained resulting in higher costs and reduced access for those items. Historically, crude oil, NGL and natural gas prices have been volatile. For example, during the period from January 1, 2021 through December 31, 2025, the calendar month average NYMEX WTI crude oil price per Bbl ranged from a low of $52.10 to a high of $114.34, and the last trading day NYMEX natural gas price per MMBtu ranged from a low of $1.58 to a high of $9.35. To the extent commodity prices improve in the future, the demand for and prices of these goods and services are likely to increase and HighPeak Energy could encounter delays in or an inability to secure the personnel, equipment, power, services, resources and facilities access necessary for it to resume or increase HighPeak Energy’s development activities, which could result in production volumes being below its forecasted volumes. In addition, any such negative effect on production volumes, or significant increases in costs, could have a material adverse effect on cash flow and profitability. Furthermore, if it is unable to secure a sufficient number of drilling rigs at reasonable costs, HighPeak Energy may not be able to drill all its acreage before its leases expire.</w:t>
      </w:r>
    </w:p>
    <w:p>
      <w:pPr>
        <w:spacing w:after="0" w:line="18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could experience periods of higher costs if commodity prices rise and inflation may adversely affect our operating results. These increases in cost could reduce profitability, cash flow and ability to complete development activities as planned.</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including a continuation of inflation at the current rate, may have an adverse effect on HighPeak Energy’s operating results. This impact may be magnified to the extent that HighPeak Energy’s ability to participate in the commodity price increases is limited by its derivative activities, if 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be involved in legal proceedings that could result in substantial liabilities.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Like many crude oil and natural gas companies, HighPeak Energy may be involved from time to time in various legal and other proceedings, such as title, royalty or contractual disputes, regulatory compliance matters and personal injury or property damage matters, in the ordinary course of its business. Such proceedings are inherently uncertain, and their results cannot be predicted. Regardless of the outcome, such proceedings could have an adverse impact on HighPeak Energy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its business practices, which could materially and adversely affect its business, operating results and financial condition. Accruals for such liability, penalties or sanctions may be insufficient, and judgments and estimates to determine accruals or range of losses related to legal and other proceedings could change from one period to the next, and such changes could be material.</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our operators fail to comply with all applicable regulatory agency administered statutes, rules, regulations and orders, our operators could be subject to substantial penalties and fines.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Energy Policy Act of 2005, FERC has civil penalty authority under the Natural Gas Act of 1938 to impose penalties for current violations of up to $1,584,648 per day for each violation (annually adjusted for inflation) for 2025 soon to be adjusted for 2026 and disgorgement of profits associated with any violation. While our operators’ operations have not been regulated by the FERC as a natural gas company under this law, the FERC has adopted regulations that may subject certain of our operators’ otherwise non-FERC jurisdictional facilities to the FERC annual reporting requirements. Our operators also must comply with the anti-market manipulation rules enforced by the FERC. Additional rules and legislation pertaining to those and other matters may be considered or adopted by the FERC from time to time. Additionally, the FTC has regulations intended to prohibit market manipulation in the petroleum industry with authority to fine violators of the regulations civil penalties of up to $1,510,803 per day (annually adjusted for inflation) for 2025 soon to be adjusted for 2026 and the CFTC prohibits market manipulation in the markets regulated by the CFTC, including similar anti-manipulation authority with respect to crude oil swaps and futures contracts as that granted to the CFTC with respect to crude oil purchases and sales. The CFTC rules subject violators to a civil penalty of up to the greater of $1,487,712 per day (annually adjusted for inflation) for 2025 soon to be adjusted for 2026 or triple the monetary gain to the person for each violation. Failure to comply with those regulations in the future could subject our operators to civil penalty liability, as described in “Items 1 and 2: Business and Properties—Regulation of the Crude Oil and Natural Gas Industry.”</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operations of HighPeak Energy are subject to a variety of risks arising from climate change.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in foreign countries. Numerous proposals have been made and could continue to be made at the international, national, regional and state levels of government to monitor and limit existing emissions of GHGs as well as to restrict or eliminate such future emissions. As a result, crude oil and natural gas exploration and production operations are subject to a series of regulatory, political, litigation and financial risks associated with the production and processing of fossil fuels and emission of GHGs.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no comprehensive climate change legislation has been implemented. Under previous presidential administrations, the EPA adopted rules that, among other things, established construction and operating permit reviews for GHG emissions from certain large stationary sources, required the monitoring and annual reporting of GHG emissions from certain petroleum and natural gas system sources in the United States, and together with the DOT, implemented GHG emissions limits on vehicles manufactured for operation in the United States. However, following the change in presidential administration, in February 2026, the EPA formally rescinded its “Endangerment Finding”, which provided the support underpinning the majority of the agency’s GHG-related regulations. At this time, it remains uncertain what impacts the rescission will have upon current regulations and whether any further actions will be taken by President Trump. For more information, see the section entitled “Items 1 and 2. Business and Properties—Regulation of Environmental and Occupational Safety and Health Matters— Regulation of Greenhouse Gas Emissions.” Separately, various states and groups of states have adopted or are considering adopting legislation, regulations or other regulatory initiatives that are focused on such areas as GHG cap and trade programs, carbon taxes, reporting and tracking programs, and restriction of emissions.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Governmental, scientific and public concern over the threat of climate change arising from GHG emissions has resulted in increasing political risks in the United States. Litigation risks are also increasing, as a number of entities have sought to bring suit against crude oil and natural gas companies in state or federal court, alleging, among other things, that such companies created public nuisances by producing fuels that contributed to climate change or that such companies have been aware of the adverse effects of climate change for some time but defrauded their investors or customers by failing to adequately disclose those impacts.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6" w:name="page57"/>
    <w:bookmarkEnd w:id="56"/>
    <w:p>
      <w:pPr>
        <w:ind w:right="60"/>
        <w:spacing w:after="0" w:line="256" w:lineRule="auto"/>
        <w:rPr>
          <w:sz w:val="20"/>
          <w:szCs w:val="20"/>
          <w:color w:val="auto"/>
        </w:rPr>
      </w:pPr>
      <w:r>
        <w:rPr>
          <w:rFonts w:ascii="Times New Roman" w:cs="Times New Roman" w:eastAsia="Times New Roman" w:hAnsi="Times New Roman"/>
          <w:sz w:val="18"/>
          <w:szCs w:val="18"/>
          <w:color w:val="auto"/>
        </w:rPr>
        <w:t>There have also recently been increasing financial risks for fossil fuel producers as certain shareholders currently invested in fossil-fuel energy companies concerned about the potential effects of climate change may elect in the future to shift some or all their investments into other sectors. Institutional lenders who provide financing to fossil-fuel energy companies also have become more attentive to sustainable lending practices and some of them may elect not to provide funding for fossil fuel energy companies or seek to require more aggressive action with respect to climate-related risks, although this trend has been declining. For more information, see the section entitled “Items 1 and 2. Business and Properties—Regulation of Environmental and Occupational Safety and Health Matters— Regulation of Greenhouse Gas Emissions.”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adoption and implementation of new or more stringent international, federal or state legislation, regulations or other regulatory initiatives that impose more stringent standards for GHG emissions from crude oil and natural gas producers such as HighPeak Energy or otherwise restrict the areas in which HighPeak Energy may produce crude oil and natural gas or generate GHG emissions could result in increased costs of compliance or costs of consuming, and thereby reduce demand for or erode value for, the crude oil and natural gas that HighPeak Energy produces. Additionally, political, litigation and financial risks may result in HighPeak Energy’s restricting or cancelling crude oil and natural gas production activities, incurring liability for infrastructure damages as a result of climatic changes, or having an impaired ability to continue to operate in an economic manner. One or more of these developments could have a material adverse effect on HighPeak Energy’s business, financial condition and results of operations.</w:t>
      </w:r>
    </w:p>
    <w:p>
      <w:pPr>
        <w:spacing w:after="0" w:line="18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Finally, increasing concentrations of GHG in the atmosphere may produce climate changes that have significant physical effects, such as increased frequency and severity of storms, droughts, floods and other climate events that could have an adverse effect on HighPeak Energy’s operations. If such effects were to occur, our development and production operations have the potential to be adversely affected. Potential adverse effects could include damages to our facilities from powerful winds or rising waters in low lying areas, disruption of our production activities either because of climate related damages to our facilities or in our costs of operation potentially arising from such climatic effects, less efficient or non-routine operating practices necessitated by climate effects or increased costs for insurance coverage in the aftermath of such effects. Significant physical effects of climate change could also have an indirect effect on our financing and operations by disrupting the transportation or process-related services provided by midstream companies, service companies or suppliers with whom we have a business relationship or by reducing demand for fossil fuels we provide, such as to the extent warmer winters reduce the demand for energy for heating purposes. We may not be able to recover through insurance some or any of the damages, losses or costs that may result from potential physical effects of climate change. At this time, we have not developed a comprehensive plan to address the legal, economic, social or physical impacts of climate change on our operations. If we are forced to shut-in production, we will likely incur greater costs to bring the associated production back online. Cost increases necessary to bring the associated wells back online may be significant enough that such wells would become uneconomic at low commodity price levels, which may lead to decreases in our proved reserve estimates and potential impairments and associated charges to our earnings.</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crude oil and natural gas from dense subsurface rock formations. The hydraulic fracturing process involves the injection of water, proppants and chemicals under pressure into targeted subsurface formations to fracture the surrounding rock and stimulate production. HighPeak Energy expects to regularly use hydraulic fracturing as part of HighPeak Energy’s operations. Hydraulic fracturing is typically regulated by state crude oil and natural gas commissions, but certain federal agencies have asserted regulatory authority over certain aspects of the process. Congress has, from time to time, considered legislation to provide for federal regulation of hydraulic fracturing under the SDWA and to require disclosure of the chemicals used in the hydraulic fracturing process. It is unclear how any additional federal regulation of hydraulic fracturing activities may affect HighPeak Energy’s operations, but such additional federal regulation could have an adverse effect on its business, financial condition and results of operations.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some states and local governments have adopted, and other governmental entities are considering adopting, regulations that could impose more stringent permitting, disclosure and well-construction requirements on hydraulic fracturing operations, including states in which our properties are located. For example, Texas, among others, has adopted regulations that impose new or more stringent permitting, disclosure, disposal and well construction requirements on hydraulic fracturing operations. States could also elect to prohibit high volume hydraulic fracturing altogether. In addition to state laws, local land use restrictions, such as city ordinances may restrict drilling in general and/or hydraulic fracturing in particular. If new or more stringent federal, state or local legal restrictions relating to the hydraulic fracturing process are adopted in areas where HighPeak Energy will operate, it could incur potentially significant added costs to comply with such requirements, experience delays or curtailment in the pursuit of development activities, and perhaps even be precluded from drilling wells. For more information, see the section entitled “Items 1 and 2. Business and Properties—Regulation of Environmental and Occupational Safety and Health Matters— Hydraulic Fracturing Activities.”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or regulatory initiatives intended to address seismic activity could restrict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drilling and production activities, as well as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dispose of produced water gathered from such activities, which could have a material adverse effect on its future business.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State and federal regulatory agencies have at times focused on a possible connection between the hydraulic fracturing related activities, particularly the underground injection of wastewater into disposal wells, and the increased occurrence of seismic activity, and regulatory agencies at all levels are continuing to study the possible linkage between crude oil and natural gas activity and induced seismicity. For example, in 2015, the United States Geological Study identified eight states, including Texas, with areas of increased rates of induced seismicity that could be attributed to fluid injection or crude oil and natural gas extraction.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a number of lawsuits have been filed in some states, including Texas, alleging that disposal well operations have caused damage to neighboring properties or otherwise violated state and federal rules regulating waste disposal. In response to these concerns, regulators in some states have imposed additional requirements, including requirements in the permitting of produced water disposal wells or otherwise to assess the relationship between seismicity and the use of such wells. For example, Texas has imposed certain limits on the permitting or operation of disposal wells in areas with increased instances of induced seismic events. In some instances, regulators may also order that disposal wells be shut-in. For example, in December 2023, the TRRC issued a notice to suspend the permits of all deep disposal wells within the Northern Culberson-Reeves Seismic Response Area and in May 2024, the TRRC released a seismicity response plan curtailing permitted injection volumes for certain wells in the Stanton Seismic Response Area. Most recently, in May 2025, the TRRC released updated guidance for disposal well permits in the Permian Basin that placed new limits on maximum injection pressure and volumes to ensure safety.</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HighPeak Energy will likely dispose of large volumes of produced water gathered from its drilling and production operations by injecting it into wells pursuant to permits issued by governmental authorities overseeing such disposal activities. While these permits will be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HighPeak Energy’s ability to use hydraulic fracturing or dispose of produced water gathered from its drilling and production activities by limiting volumes, disposal rates, disposal well locations or otherwise, or requiring HighPeak Energy to shut down disposal wells, could have a material adverse effect on its business, financial condition and results of operations.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crude oil and natural gas industry is intense, which will make it more difficult for HighPeak Energy to acquire properties, market crude oil or natural gas and secure trained personnel.</w:t>
      </w:r>
    </w:p>
    <w:p>
      <w:pPr>
        <w:spacing w:after="0" w:line="15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HighPeak Energy’s ability to acquire additional prospects and to find and develop reserves in the future will depend on its ability to evaluate and select suitable properties for acquisitions and to consummate transactions in a highly competitive environment for acquiring properties, marketing crude oil and natural gas and securing trained personnel. Also, there is substantial competition for capital available for investment in the crude oil and natural gas industry. Many other crude oil and natural gas companies possess and employ greater financial, technical and personnel resources than HighPeak Energy. Those companies may be able to pay more for productive properties and exploratory prospects and to evaluate, bid for and purchase a greater number of properties and prospects than HighPeak Energy’s financial or personnel resources permit. In addition, other companies may be able to offer better compensation packages to attract and retain qualified personnel than HighPeak Energy will be able to offer. The cost to attract and retain qualified personnel has historically continually increased due to competition and may increase substantially in the future. HighPeak Energy may not be able to compete successfully in the future in acquiring prospective reserves, developing reserves, marketing hydrocarbons, attracting and retaining quality personnel and raising additional capital, which could have a material adverse effect on its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senior management or technical personnel could adversely affect operations.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HighPeak Energy will depend on the services of its senior management and technical personnel. HighPeak Energy does not plan to obtain any insurance against the loss of any of these individuals. The loss of the services of its senior management could have a material adverse effect on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management changes could disrupt our operations and impair our ability to attract and retain key personnel.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experienced recent changes to our senior management team, including the September 2025 departure of our Chief Executive Officer and Chairman of our Board of Directors, Jack Hightower. Our President, Michael Hollis, was named Interim Chief Executive Officer upon Mr. Hightower’s retirement and resignation, and on November 4, 2025, the Board named Michael Hollis as the Company’s President and Chief Executive Officer. Changes in our senior management and uncertainty regarding any future changes may disrupt our operations, impact customer and partner relationships, and impair our ability to recruit and retain other needed personnel. Any such disruption or impairment could have an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HighPeak Energy will require continued access to capital and its business and operating results could be harmed by factors such as the availability, terms of and cost of capital, increases in interest rates or a reduction in credit rating. HighPeak Energy uses, and expects to continue to use debt financing, including borrowings under the Credit Agreements, to finance a portion of its future growth, and these changes could cause its cost of doing business to increase, limit its ability to pursue acquisition opportunities, reduce cash flow used for drilling and place HighPeak Energy at a competitive disadvantage. Recent and continuing disruptions and volatility in the global financial markets may lead to a contraction in credit availability impacting its ability to finance its operations. A significant reduction in cash flows from operations or the availability of credit could materially and adversely affect its ability to achieve its planned growth and operating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use of seismic data is subject to interpretation and may not accurately identify the presence of crude oil and natural gas, which could adversely affect the results of its drilling operations.</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Even when properly used and interpreted, seismic data and visualization techniques are only tools used to assist geoscientists in identifying subsurface structures and hydrocarbon indicators and do not enable the interpreter to know whether hydrocarbons are, in fact, present in those structures. As a result, HighPeak Energy’s drilling activities may not be successful or economical. In addition, the use of advanced technologies, such as 3-D seismic data, requires greater pre-drilling expenditures than traditional drilling strategies, and it could incur losses as a result of such expenditures.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drilling activities intended to protect certain species of wildlife may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conduct drilling activities in areas where it operates.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Crude oil and natural gas operations in HighPeak Energy’s operating areas may be adversely affected by seasonal or permanent restrictions on drilling activities designed to protect various wildlife. Such restrictions may limit HighPeak Energy’s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HighPeak Energy’s operations or materially increase its operating and capital costs. Permanent restrictions imposed to protect threatened or endangered species, other protected species (such as migratory birds), or their habitat could prohibit drilling in certain areas or require the implementation of expensive mitigation measures. The designation of previously unprotected species in areas where HighPeak Energy operates as threatened or endangered could cause it to incur increased costs arising from species protection measures or could result in limitations on its activities that could have a material and adverse impact on its ability to develop and produce reserves. For example, in May 2024, the dunes sagebrush lizard was listed, although this decision has been challenged. And, in November 2022, the FWS listed two distinct population segments of the lesser prairie-chicken under the ESA, although in March 2025, the U.S. District Court for the Western District of Texas vacated the rule for the northern distinct population segment. If these species or others are listed, the FWS and similar state agencies may designate critical or suitable habitat areas that they believe are necessary for the survival of threatened or endangered species. Such a designation could materially restrict use of or access to federal, state and private lands. To the extent species are listed under the ESA or similar state laws, or previously unprotected species are designated as threatened or endangered in areas where our properties are located, operations on those properties could incur increased costs arising from species protection measures and face delays or limitations with respect to production activities thereon. For more information, see the section entitled “Items 1 and 2. Business and Properties—Regulation of Environmental and Occupational Safety and Health Matters— Endangered Species Act and Migratory Birds.”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not be able to keep pace with technological developments in its industry.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crude oil and natural gas industry is characterized by rapid and significant technological advancement and the introduction of new products and services using new technologies. As others use or develop new technologies, HighPeak Energy may be placed at a competitive disadvantage or may be forced by competitive pressures to implement those new technologies at substantial costs. In addition, other crude oil and natural gas companies may have greater financial, technical and personnel resources that allow them to enjoy technological advantages and that may, in the future, allow them to implement new technologies before HighPeak Energy. HighPeak Energy may not be able to respond to these competitive pressures or implement new technologies on a timely basis or at an acceptable cost. If one or more of the technologies it expects to use were to become obsolete, HighPeak Energy’s business, financial condition or results of operations could be materially and adversely affected.</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limitations in all control systems, and misstatements due to error or fraud that could seriously harm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may occur and not be detected.</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HighPeak Energy’s management does not expect that HighPeak Energy’s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at HighPeak Energy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could be adversely affected by security threats, including cybersecurity threats, and related disruptions.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HighPeak Energy relies heavily on its information systems, and the availability and integrity of these systems is essential to conducting HighPeak Energy’s business and operations. As a producer of crude oil and natural gas, HighPeak Energy faces various security threats, including cybersecurity threats, such as attempts to gain unauthorized access to its sensitive information or to render its information or systems unusable, and threats to the security of its facilities and infrastructure or third-party facilities and infrastructure, such as gathering and processing and other facilities, refineries and pipelines. This risk may be heightened as a result of an increased remote working environment, similar to the one created by the COVID-19 outbreak in 2020. The potential for such security threats subjects its operations to increased risks that could have a material adverse effect on its business, financial condition, results of operations and cash flows.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Cybersecurity attacks in particular are becoming more sophisticated and include, but are not limited to, installation of malicious software, attempts to gain unauthorized access to data and systems, and other electronic security breaches that could lead to disruptions in critical systems, unauthorized release of confidential or otherwise protected information and corruption of data. For example, in May 2021, Colonial Pipeline’s digital systems were infected by a ransomware attack that caused the shutdown of the pipeline for several days and the payment of an approximate $4.4 million ransom. The U.S. government also has issued public warnings that indicate that energy assets might be specific targets of cybersecurity threats. These events could damage our reputation and lead to financial losses from remedial actions, loss of business or potential liability.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regulatory environment surrounding data privacy and protection is constantly evolving and can be subject to significant change. New laws and regulations governing data privacy and the unauthorized disclosure of personal or confidential information pose increasingly complex compliance challenges and could potentially elevate our costs. Any failure to comply with these laws and regulations could result in significant penalties and legal liability. We continue to monitor and assess the impact of these laws, which in addition to penalties and legal liability, could impose significant costs for investigations and compliance, require us to change our business practices and carry significant potential liability for our business should we fail to comply with any such applicable laws.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HighPeak Energy’s implementation of various procedures and controls to identify, monitor and mitigate such security threats and to increase security for its information, systems, facilities and infrastructure may result in increased costs. Moreover, there can be no assurance that such procedures and controls will be sufficient to prevent security breaches from occurring. If any of these security breaches were to occur, they could lead to losses of, or damage to, sensitive information or facilities, infrastructure and systems essential to its business and operations, as well as data corruption, communication interruptions or other disruptions to its operations, which, in turn, could have a material adverse effect on its business,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continues to evaluate a range of strategic alternative transactions to maximize shareholder value, including a potential sale of the Company. These transactions could include, but are not limited to, acquisitions, debt refinancing transactions, asset divestitures, monetization of intellectual property, and mergers, reverse mergers or other business combinations. Because we have publicly approved the undertaking of this process, the market price of our common stock may reflect an expectation that shares of our common stock may be acquired at a premium in the near future.</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review of strategic alternative transactions will result in the identification or consummation of any transaction. Our Board may also determine that our most effective strategy is to continue to effectuate our current business plan. The process of reviewing strategic alternative transactions may be time consuming and disruptive to our business operations and, if we are unable to effectively manage the process, our business, financial condition and results of operations could be adversely affected. We could incur substantial expenses associated with identifying and evaluating potential strategic alternative transactions. No decision has been made with respect to any transaction and we cannot assure you that we will be able to identify and undertake any transaction that allows our shareholders to realize an increase in the value of their common stock or provide any guidance on the timing of such action, if any.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also cannot assure you that any potential transaction or other strategic alternatives, if identified, evaluated and consummated, will provide greater value to our shareholders than that reflected in the current price of our common stock. Any potential transaction would be dependent upon a number of factors that may be beyond our control, including, but not limited to, market conditions, industry trends, the interest of third parties in our business and the availability of financing to potential buyers on reasonable terms. We do not intend to comment regarding the evaluation of strategic alternative transactions until such time as our Board has determined the outcome of the process or otherwise has deemed that disclosure is appropriate or required by applicable law. As a consequence,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has suspended the payment of dividends on our common stock and may not resume paying dividends in the future.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Beginning in the first quarter of 2026, we suspended the payment of quarterly dividends on our common stock. There can be no assurance that we will resume paying dividends, and any decision to resume paying dividends will be solely within the discretion of, and subject to approval by, our Board of Directors. Our Board of Directors may elect to declare cash dividends on our common stock, subject to our compliance with applicable law and the Credit Agreements. The decision to pay any future dividends is solely within the discretion of, and subject to approval by, our Board of Directors, and we have no obligation to pay any dividends at any time.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of Directors deems relevant at the time of such determination. We may determine not to resume paying dividends, or to pay dividends at reduced levels, depending on prevailing market conditions, our financial performance and liquidity needs, and other considerations.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366" w:gutter="0" w:footer="0" w:header="0"/>
        </w:sectPr>
      </w:pPr>
    </w:p>
    <w:bookmarkStart w:id="60" w:name="page61"/>
    <w:bookmarkEnd w:id="6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operational and financial performance does not meet the expectations of investors, stockholders or financial analysts, the market price of our securities may decline.</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HighPeak Energy’s operational and financial performance does not meet the expectations of investors or securities analysts, the market price of our securities may decline. The market values of our securities may vary significantly from time to time.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results or the financial results of companies perceived to be similar to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HighPeak Energy common stock available for public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ind w:left="660" w:right="78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HighPeak Energy common stock by the Principal Stockholder Group, our directors, executive officers or significant stockholders, or the perception that such sales could occur; and</w:t>
      </w:r>
    </w:p>
    <w:p>
      <w:pPr>
        <w:ind w:left="660" w:right="340" w:hanging="328"/>
        <w:spacing w:after="0" w:line="26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OPEC+’s ability to continue to agree to limit production among its members and acts of war or terrorism.</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Principal Stockholder Group has significant influence over HighPeak Energy. We are currently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within the meaning of Nasdaq rules and qualify for exemptions from certain corporate governance requirements. As a result, stockholders do not have the same protections afforded to stockholders of companies that are not exempt from such corporate governance requirements. If one or both of the HighPeak Funds are dissolved and their shares distributed, it is possible that we will cease to be a controlled company. There can be no assurance as to when either or both of those distributions will take place, if at all. However, if one or both of those distributions do take place, over a majority of our shares will still be held by a combination of the HighPeak Funds, the John Paul DeJoria Family Trust and the John Paul DeJoria Dynasty Trust. The HighPeak Funds have and, following one or both of the HighPeak Funds Distributions, the John Paul DeJoria Family Trust and John Paul DeJoria Dynasty Trust, will have significant influence over us.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Principal Stockholder Group owns approximately 64% of our common stock as of December 31, 2025. Therefore, HighPeak Energy is a controlled company within the meaning of Nasdaq corporate governance standards. Following Mr. Jack Hightower’s retirement, the HighPeak Funds are managed by a committee comprised of Mr. Hollis, Daniel Silver and William R. Hightower, each of whom also serve as President and Chief Executive Officer, Executive Vice President and Executive Vice President of the Company,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HighPeak Funds are now set to expire at the end of 2026, unless extended. Therefore, it is possible that the shares of HighPeak Energy common stock owned by the HighPeak Funds could be distributed to limited partners in early 2027 (the “HighPeak Funds Distributions”), at which time HighPeak Energy could potentially cease to be a controlled company. However, if both HighPeak Funds are distributed simultaneously, it is likely that HighPeak Energy could potentially remain a controlled company, with the controlling party becoming the John Paul DeJoria Family Trust and the John Paul DeJoria Dynasty Trust.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long as the HighPeak Funds and, following the HighPeak Funds Distributions, the John Paul DeJoria Family Trust and John Paul DeJoria Dynasty Trust continue to own or control a significant percentage of outstanding voting power, subject to the terms of the Stockholders’ Agreement,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 For more information about the Stockholders’ Agreement, see the section entitled “Certain Relationships and Related Transactions, and Director Independence.” For so long as the Principal Stockholder Group collectively owns 35% or more of our common stock, the Principal Stockholder Group may designate up to four directors, none of whom are required to be independent if the Principal Stockholder Group owns more than 50% of our common stock. They may have the ability to strongly influence all corporate actions requiring stockholder approval, including the election and removal of directors and the size of our board of directors, any amendment of our Second Amended and Restated Certificate of Incorporation (the “A&amp;R Charter”) or our Amended and Restated Bylaws, or the approval of any merger or other significant corporate transaction, including a sale of substantially all of our assets. Moreover, this concentration of stock ownership by our significant stockholders may also adversely affect the trading price of our common stock to the extent investors perceive a disadvantage in owning stock of a company with stockholders who own such a significant percentage of our voting securities</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until the HighPeak Funds Distributions are completed, we are currently a “controlled company” within the meaning of Nasdaq rules and qualify for exemptions from certain corporate governance requirements. Under Nasdaq rules, a company of which more than 50% of the voting power is held by an individual, company or group of persons acting together is a controlled company and may elect not to comply with certain Nasdaq corporate governance requirements, including the requirements that:</w:t>
      </w:r>
    </w:p>
    <w:p>
      <w:pPr>
        <w:spacing w:after="0" w:line="18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consist of independent directors under Nasdaq rules;</w:t>
      </w:r>
    </w:p>
    <w:p>
      <w:pPr>
        <w:spacing w:after="0" w:line="36" w:lineRule="exact"/>
        <w:rPr>
          <w:rFonts w:ascii="Times New Roman" w:cs="Times New Roman" w:eastAsia="Times New Roman" w:hAnsi="Times New Roman"/>
          <w:sz w:val="18"/>
          <w:szCs w:val="18"/>
          <w:color w:val="auto"/>
        </w:rPr>
      </w:pPr>
    </w:p>
    <w:p>
      <w:pPr>
        <w:ind w:left="660" w:right="54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ind w:left="660" w:right="620" w:hanging="328"/>
        <w:spacing w:after="0" w:line="26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requirements will not apply to HighPeak Energy as long as it remains a controlled company. However, a majority of the HighPeak Energy board members are independent and both the Nominating and Governance Committee and Compensation Committees are composed solely of independent members of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Further, following the one or both of the HighPeak Funds Distributions, because HighPeak Energy could potentially cease to be a controlled company, any action required or permitted to be taken by the stockholders of the Company could potentially be required to be taken at a duly held annual or special meeting of stockholders and may not be taken by any consent in writing of such stockholders.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former executive officer was forced to sell shares of our common stock that he has pledged to secure certain personal loan obligations, such sales could cause our stock price to decline.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banking institutions have made extensions of credit to Jack Hightower, our former Chief Executive Officer, a portion of which was used to purchase shares of common stock in the public market and in certain of our public offerings and private placements at the same prices offered to third-party participants in such offerings and placements. We are not a party to these loans, which are primarily secured by pledges of shares of our common stock currently owned directly by Mr. Jack Hightower and shares of HighPeak common stock held indirectly by Mr. Jack Hightower via his interests in the HighPeak Funds and HPK GP. If the price of our common stock were to decline or such loans were to reach maturity without renewal, Mr. Jack Hightower may be forced by one or more of the banking institutions to sell, or the applicable banking institution may elect to sell, shares of HighPeak common stock or interests in the HighPeak Funds to satisfy his applicable loan obligations if he could not do so through other means. Any such sales could adversely affect the trading market and trading price of our common stock, as well as significantly reduce Mr. Jack Hightower’s ownership in the Company.</w:t>
      </w:r>
    </w:p>
    <w:p>
      <w:pPr>
        <w:spacing w:after="0" w:line="188"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be required to take write-downs or write-offs, restructuring and impairment or other charges that could have a significant negative effect on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results of operations and stock price, which could cause you to lose some or all of your investment.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HighPeak Energy conducted due diligence on the Company’s assets in connection with their acquisitions, HighPeak Energy cannot assure you that this diligence revealed all material issues that may be present in the businesses of the Company’s assets, that it would be possible to uncover all material issues through a customary amount of due diligence, or that factors outside of HighPeak Energy’s control will not later arise. As a result, HighPeak Energy may be forced to later write-down or write-off assets, restructure HighPeak Energy’s operations, or incur impairment or other charges that could result in losses. Even if HighPeak Energy’s due diligence successfully identifies certain risks, unexpected risks may arise, and previously known risks may materialize in a manner not consistent with HighPeak Energy’s preliminary risk analysis. Even though these charges may be non-cash items and may not have an immediate impact on HighPeak Energy’s liquidity, the fact that HighPeak Energy reports charges of this nature could contribute to negative market perceptions about HighPeak Energy’s securities. In addition, charges of this nature may cause HighPeak Energy to be unable to obtain future financing on favorable terms or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HighPeak Energy,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or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market, or if they change their recommendations regarding HighPeak Energy common stock adversely, the price and trading volume of HighPeak Energy common stock could decline. Furthermore, negative publicity or sentiments shared on social media platforms can also influence the perception of HighPeak Energy and its stock price, potentially leading to volatility.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trading market for HighPeak Energy common stock will be influenced by the research and reports that industry or securities analysts may publish about HighPeak Energy, HighPeak Energy’s business, HighPeak Energy’s market, or HighPeak Energy’s competitors. Additionally, the sentiments and discussions on social media platforms can significantly impact investor perceptions and trading behaviors. If any of the analysts who may cover HighPeak Energy change their recommendation regarding HighPeak Energy common stock adversely, or provide more favorable relative recommendations about its competitors, the price of HighPeak Energy common stock would likely decline. Similarly, unfavorable social media trends or negative comments about HighPeak Energy could drive down the stock price. If any analyst who may cover HighPeak Energy were to cease their coverage or fail to regularly publish reports on HighPeak Energy, HighPeak Energy could lose visibility in the financial markets, which could cause HighPeak Energy’s stock price or trading volume to decline. Social media also plays a role in maintaining visibility; a lack of positive social media engagement could further decrease investor interest and trading volume.</w:t>
      </w:r>
    </w:p>
    <w:p>
      <w:pPr>
        <w:spacing w:after="0" w:line="1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Second Amended and Restated Certificate of Incorporation designates the Court of Chancery of the State of Delaware as the sole and exclusive forum for certain types of actions and proceedings that may be initiated by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A&amp;R Charter provides that, unless HighPeak Energy consents in writing to the selection of an alternative forum, the Court of Chancery of the State of Delaware (“Court of Chancery”) will, to the fullest extent permitted by applicable law and subject to applicable jurisdictional requirements, be the sole and exclusive forum for (i) any derivative action or proceeding as to which the Delaware General Corporation Law (“DGCL”) confers jurisdiction upon the Court of Chancery, (ii) any action asserting a claim of breach of a fiduciary duty owed by any director, officer or other employee of HighPeak Energy to HighPeak Energy or its stockholders, (iii) any action asserting a claim against HighPeak Energy, its directors, officers or employees arising pursuant to any provision of the DGCL, the A&amp;R Charter or HighPeak Energy’s bylaws or (iv) any action asserting a claim against HighPeak Energy, its directors, officers or employees that is governed by the internal affairs doctrine, in each case except for such claims as to which (a) the Court of Chancery determines that it does not have personal jurisdiction over an indispensable party, (b) exclusive jurisdiction is vested in a court or forum other than the Court of Chancery or</w:t>
      </w:r>
    </w:p>
    <w:p>
      <w:pPr>
        <w:ind w:right="60" w:firstLine="8"/>
        <w:spacing w:after="0" w:line="253"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does not have subject matter jurisdiction. The forum selection provision is not intended to apply to claims arising under the Securities Act or the Exchange Act. To the extent the provision could be construed to apply to such claims, there is uncertainty as to whether a court would enforce such provision in connection with such claims. Stockholders will not be deemed, by operation of Article 8 of the A&amp;R Charter alone, to have waived claims arising under the federal securities laws and the rules and regulations promulgated thereunder.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ind w:right="18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HighPeak Energy’s capital stock will be deemed to have notice of, and consented to, the provisions of our A&amp;R Charter described in the preceding paragraph. This exclusive forum provision may limit a stockholder’s ability to bring a claim in a judicial forum that it finds favorable for disputes with HighPeak Energy or its directors, officers or other employees, which may discourage such lawsuits against HighPeak Energy and such persons.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 If a court were to find these provisions of the A&amp;R Charter inapplicable to, or unenforceable in respect of, one or more of the specified types of actions or proceedings, HighPeak Energy may incur additional costs associated with resolving such matters in other jurisdictions, which could adversely affect its business, financial condition or results of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or regulations, may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investments and results of operations.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HighPeak Energy is subject to laws, regulations and rules enacted by national, regional and local governments and the Nasdaq. In particular, HighPeak Energy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HighPeak Energy’s business, investments and results of operations. In addition, a failure to comply with applicable laws, regulations and rules, as interpreted and applied, could have a material adverse effect on HighPeak Energy’s business and results of operations.</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HighPeak Energy common stock issued will remain listed on the Nasdaq, or that HighPeak Energy will be able to comply with the continued listing standards of the Nasdaq.</w:t>
      </w:r>
    </w:p>
    <w:p>
      <w:pPr>
        <w:spacing w:after="0" w:line="15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HighPeak Energy’s common stock is currently listed on the Nasdaq. If the Nasdaq delists HighPeak Energy’s common stock from trading on its exchange for failure to meet the listing standards, HighPeak Energy and its security holders could face significant material adverse consequences, such as:</w:t>
      </w:r>
    </w:p>
    <w:p>
      <w:pPr>
        <w:spacing w:after="0" w:line="14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HighPeak Energy’s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HighPeak Energy’s securities;</w:t>
      </w:r>
    </w:p>
    <w:p>
      <w:pPr>
        <w:spacing w:after="0" w:line="36"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HighPeak Energy common stock is a “penny stock,” which will require brokers trading in HighPeak Energy common stock to adhere to more stringent rules and possibly result in a reduced level of trading activity in the secondary trading market for HighPeak Energy’s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HighPeak Energy’s securities are listed on the Nasdaq, they are covered securities. Although the states are preempted from regulating the sale of HighPeak Energy’s securities, the federal statute does allow the states to investigate companies if there is a suspicion of fraud, and, if there is a finding of fraudulent activity, then the states can regulate or bar the sale of covered securities in a particular case. Further, if HighPeak Energy were no longer listed on the Nasdaq, its securities would not be covered securities and HighPeak Energy would be subject to regulation in each state in which HighPeak Energy offers its securities.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5" w:name="page66"/>
    <w:bookmarkEnd w:id="65"/>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laws or adverse outcomes resulting from examination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income or other tax returns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results of operations and cash flows.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HighPeak Energy is subject to tax by U.S. federal, state and local tax authorities. HighPeak Energy’s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HighPeak Energy’s deferred tax assets and liabilities;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in previous years, legislation has been proposed to eliminate or defer certain key U.S. federal income tax deductions historically available to crude oil and natural gas exploration and production companies. Such proposed changes have included: (i) a repeal of the percentage depletion allowance for crude oil and natural gas properties; (ii) the elimination of deductions for intangible drilling and exploration and development costs; (iii) the elimination of the deduction for certain production activities; and (iv) an extension of the amortization period for certain geological and geophysical expenditures. The passage of any legislation as a result of these proposals or other similar changes in U.S. federal income tax laws that alter, eliminate or defer these or other tax deductions utilized within the industry could adversely affect HighPeak Energy’s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HighPeak Energy may be subject to audits of its income, sales and other transaction taxes by U.S. federal, state and local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HighPeak Energy’s financial condition and results of operations.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not be able to use certain of its net operating loss carryforwards and other tax attributes to reduce its future U.S. federal income tax obligations, which could adversely affect HighPeak Energy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financial condition, results of operations and cash flows.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HighPeak Energy currently has significant U.S. federal net operating loss (“NOL”) carryforwards. HighPeak Energy’s ability to use these tax attributes to reduce its future U.S. federal income tax obligations depends on many factors, including HighPeak Energy’s future taxable income, which cannot be assured. In addition, HighPeak’s ability to use NOL carryforwards and other tax attributes may be subject to significant limitations under Section 382 and Section 383 of the Internal Revenue Code of 1986, as amended (the “Code”). Under those sections of the Code, if a corporation undergoes an “ownership change” (as defined in Section 382 of the Code), the corporation’s ability to use its pre-change NOL carryforwards and other tax attributes may be substantially limited.</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Determining the limitations under Section 382 of the Code is technical and highly complex. A corporation generally will experience an ownership change if one or more stockholders (or groups of stockholders) who are each deemed to own at least 5% of the corporation’s stock increase their ownership by more than 50 percentage points over their lowest ownership percentage within a rolling three-year period. If an ownership change occurs or has occurred, HighPeak Energy’s ability to use its NOL carryforwards and other tax attributes to reduce HighPeak Energy’s future U.S. federal and state income tax obligations may be materially limited, which could adversely affect HighPeak Energy’s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has incurred and will continue to incur increased costs as a result of operating as a public company.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which we expect to further increase now that we are no longer an “emerging growth company.” Compliance with these reporting requirements and other rules of the SEC and Nasdaq have and will continue to increase our legal and financial compliance costs and make some activities more time-consuming and costly. We cannot predict or estimate the amount or timing of additional costs we have incurred and will continue to incur to respond to these requirements.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HighPeak Energy maintains a cybersecurity program that aims to protect the confidentiality, integrity, and availability of data required by our business to be stored, analyzed, transported, and/or processed. The Company has implemented various internal and external controls and processes, including internal risk assessment and policy implementation, to incorporate a risk-based cybersecurity framework to identify, monitor and mitigate security threats and other strategies to increase security for our information, facilities, and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the risk that cybersecurity threats pose to our operations, and cybersecurity is an important component of our overall risk management strategy. HighPeak Energy’s cybersecurity team consists of certain of our executive officers, as well as internal and third-party cybersecurity personnel, with cybersecurity expertise across multiple industries. The cybersecurity team takes a cross-functional approach to addressing these risks and engages in discussions with the Board and our executive management team on an as-needed basis.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implemented a monitoring and detection system to help promptly identify cybersecurity incidents. We also require our employees and contractors to receive annual cybersecurity awareness training. We perform cybersecurity tabletop exercises to test the effectiveness of our incidence response plan (“IRP”) and implement post-incident “lessons learned” to enhance our response. We provide our system users with access consistent with the principle of least privilege, which requires that such users be given no more access than necessary to complete their job functions. We have also implemented a multi-factor authentication process for employees accessing company information. We use encryption methods to protect sensitive data. This includes the encryption of our customer data, financial information, and other confidential data. We have programs in place to monitor our retained data with the goal of identifying personal identifiable information and taking appropriate actions to secure the data.</w:t>
      </w:r>
    </w:p>
    <w:p>
      <w:pPr>
        <w:spacing w:after="0" w:line="18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Third parties also play a role in the Company’s approach to cybersecurity and its associated risk management framework. HighPeak Energy leverages technological tools and partners with the goal of augmenting and enabling the efforts of its internal cybersecurity team. Separately, our internal auditing processes include processes to identify, manage and oversee the risks from cybersecurity threats associated with our engagement of third-party service providers. In connection with and pursuant to the IRP, our incident response team, made up of management, employees and third-party cybersecurity personnel, works collaboratively across HighPeak Energy to carry out a program that has been designed to protect our information systems from cybersecurity threats, assess and manage risks arising from any such threats, and to respond to potential cybersecurity incidents.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an IRP that delineates the procedures to be followed for handling a variety of cybersecurity incidents; categorizes potential cybersecurity incidents and the required timeframe for reporting each; establishes cybersecurity incident response levels; provides for investigations designed to help us to meet applicable legal obligations, including possible notification requirements; and outlines the roles and responsibilities for various personnel in the event of a cybersecurity incident.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in coordination with the Audit Committee, is responsible for the oversight of risks from cybersecurity threats. The responsibilities of the Audit Committee include overseeing policies and management systems for cybersecurity matters and reviewing HighPeak Energy’s strategy, objectives, and policies relative to cybersecurity. In addition, the Board and the Audit Committee receive regular presentations and reports on cybersecurity risks that address a range of topics, including developments, technological trends or tools, third party updates, and regulatory standards. The HighPeak Energy IRP calls for prompt and timely direct notifications and updates to the Board (or its committees) as necessary in connection with cybersecurity incidents deemed to have a moderate or higher business impact, even if immaterial. On a periodic basis, the Board and the Audit Committee discuss our approach to cybersecurity with our executive officers and cybersecurity personnel.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plays a role in assessing and managing our material risks from cybersecurity threats through membership on our cybersecurity team, as well as by making final materiality determinations and disclosures and other compliance decisions, as reflected in the HighPeak Energy IRP. Our cybersecurity team is made up of experienced professionals, both employees and third parties with extensive backgrounds in information security, risk management, and incident response. This team is lead by an officer of the Company, bringing over a decade of experience in IT leadership, policy development, and technology strategy. With a strong background in overseeing IT departments and driving digital transformation, the team plays a critical role in ensuring the security, efficiency, and innovation of our technology infrastructure. Cybersecurity remains a top priority, with a focus on risk management, regulatory compliance, and safeguarding company data. Our cybersecurity team regularly interacts with the Board of Directors and the Audit Committee, providing insights on IT governance, cybersecurity initiatives, and emerging technology trends.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Risks from Cybersecurity Threats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As of the date of this Report, though the Company and our service providers have experienced certain cybersecurity incidents, we are not aware of any previous cybersecurity threats that have materially affected, or are reasonably likely to materially affect, the Company, including our business strategy, results of operations or financial condition. Despite the implementation of our cybersecurity processes, we may not be successful in preventing or mitigating a cybersecurity incident that could have a material adverse effect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cybersecurity related risks, see “Item 1A. Risk Factors”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may be a party to various proceedings and claims incidental to its business from time to time. While many of these matters involve inherent uncertainty, the Company believes the amount of the liability, if any, ultimately incurred with respect to these proceedings and claims will not have a material adverse effect on the Company’s consolidated financial position as a whole or on its liquidity, capital resources or future annual results of operations. See “Item 8. Financial Statements and Supplementary Data – Note 10”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common stock is listed and traded on the Nasdaq under the symbol “HPK.”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6, 2026, there were 43 holders of record of HighPeak Energy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July 6, 2021, the Company announced the initiation of a quarterly cash dividend in the amount of $0.025 per share of our common stock payable quarterly which began with the third quarter of 2021 and continued quarterly through the fourth quarter of 2023. The Company also approved a special dividend of $0.075 per share of common stock that was paid in July 2021. During the first quarter of 2024, the Company announced an increase in its quarterly cash dividends to $0.04 per share of our common stock which has continued through the fourth quarter of 2025 thus far. However, in the first quarter of 2026, the Board elected not to declare a quarterly dividend and suspended the payment of dividends by the Company for the foreseeable future. There can be no assurance that we will resume paying dividends following the expiration of this restriction, and any decision to pay any future dividends is solely within the discretion of, and subject to approval by, our Board. Our Board’s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In addition, the Term Loan Credit Agreement and the Senior Credit Facility Agreement place certain restrictions on our ability to pay cash dividends.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December 31, 2025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22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7"/>
              </w:rPr>
              <w:t>May Yet to Be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38"/>
        </w:trPr>
        <w:tc>
          <w:tcPr>
            <w:tcW w:w="33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line="239"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4"/>
                <w:szCs w:val="24"/>
                <w:b w:val="1"/>
                <w:bCs w:val="1"/>
                <w:color w:val="auto"/>
                <w:w w:val="96"/>
                <w:vertAlign w:val="superscript"/>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line="239" w:lineRule="exact"/>
              <w:rPr>
                <w:sz w:val="20"/>
                <w:szCs w:val="20"/>
                <w:color w:val="auto"/>
              </w:rPr>
            </w:pPr>
            <w:r>
              <w:rPr>
                <w:rFonts w:ascii="Times New Roman" w:cs="Times New Roman" w:eastAsia="Times New Roman" w:hAnsi="Times New Roman"/>
                <w:sz w:val="18"/>
                <w:szCs w:val="18"/>
                <w:b w:val="1"/>
                <w:bCs w:val="1"/>
                <w:color w:val="auto"/>
                <w:w w:val="94"/>
              </w:rPr>
              <w:t>Share</w:t>
            </w:r>
            <w:r>
              <w:rPr>
                <w:rFonts w:ascii="Times New Roman" w:cs="Times New Roman" w:eastAsia="Times New Roman" w:hAnsi="Times New Roman"/>
                <w:sz w:val="24"/>
                <w:szCs w:val="24"/>
                <w:b w:val="1"/>
                <w:bCs w:val="1"/>
                <w:color w:val="auto"/>
                <w:w w:val="94"/>
                <w:vertAlign w:val="superscript"/>
              </w:rPr>
              <w:t>(2)</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6"/>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Plan</w:t>
            </w:r>
            <w:r>
              <w:rPr>
                <w:rFonts w:ascii="Times New Roman" w:cs="Times New Roman" w:eastAsia="Times New Roman" w:hAnsi="Times New Roman"/>
                <w:sz w:val="11"/>
                <w:szCs w:val="11"/>
                <w:b w:val="1"/>
                <w:bCs w:val="1"/>
                <w:color w:val="auto"/>
              </w:rPr>
              <w:t>(3)(4)</w:t>
            </w:r>
          </w:p>
        </w:tc>
      </w:tr>
      <w:tr>
        <w:trPr>
          <w:trHeight w:val="210"/>
        </w:trPr>
        <w:tc>
          <w:tcPr>
            <w:tcW w:w="3340" w:type="dxa"/>
            <w:vAlign w:val="bottom"/>
          </w:tcPr>
          <w:p>
            <w:pPr>
              <w:spacing w:after="0"/>
              <w:rPr>
                <w:sz w:val="18"/>
                <w:szCs w:val="18"/>
                <w:color w:val="auto"/>
              </w:rPr>
            </w:pPr>
          </w:p>
        </w:tc>
        <w:tc>
          <w:tcPr>
            <w:tcW w:w="5260" w:type="dxa"/>
            <w:vAlign w:val="bottom"/>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shares)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39,907</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39,907</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26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256,989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39,907</w:t>
            </w:r>
          </w:p>
        </w:tc>
      </w:tr>
      <w:tr>
        <w:trPr>
          <w:trHeight w:val="20"/>
        </w:trPr>
        <w:tc>
          <w:tcPr>
            <w:tcW w:w="33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256,989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57"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256,989 shares of common stock repurchased from officers of the Company in order to satisfy tax withholding requirements. Such shares have been cancelled and retired. These shares also do not count toward the dollar value that may yet to be purchased under the plan nor are they subject to the 1% excise tax discussed below.</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approved a stock repurchase program for up to $75.0 million, excluding excise taxes and other expenses. The stock repurchase program expired on December 31, 2024. However, on March 6, 2025, our Board extended the program in its entirety to December 31, 2025. The program has not been extended beyond December 31, 2025 and if it is, it may be suspended, modified, or discontinued by the Board at any time.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nondeductible 1% excise tax is imposed on the net value of certain stock repurchases. All dollar amounts presented exclude such excise taxes, as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 nor shall the information be incorporated by reference into any future filing under the Securities Act or Exchange Act except to the extent that the Company specifically incorporates it by reference 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spacing w:after="0" w:line="26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Company’s common stock during the period from December 31, 2020 through December 31, 2025, with cumulative total returns during the same period for the Standard &amp; Poor’s (“S&amp;P”) 500 Index and the S&amp;P Oil and Gas Exploration &amp; Production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123190</wp:posOffset>
            </wp:positionV>
            <wp:extent cx="5417820" cy="4723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17820"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should be read in conjunction with the other sections of this Annual Report, including but not limited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Items 1 and</w:t>
      </w:r>
    </w:p>
    <w:p>
      <w:pPr>
        <w:spacing w:after="0" w:line="29" w:lineRule="exact"/>
        <w:rPr>
          <w:sz w:val="20"/>
          <w:szCs w:val="20"/>
          <w:color w:val="auto"/>
        </w:rPr>
      </w:pPr>
    </w:p>
    <w:p>
      <w:pPr>
        <w:ind w:firstLine="8"/>
        <w:spacing w:after="0" w:line="251" w:lineRule="auto"/>
        <w:tabs>
          <w:tab w:leader="none" w:pos="18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and Properties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of the Crude Oil and Natural Gas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Historical financial statements and related notes included elsewhere in this Annual Report. This discussion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 due to a number of factors. Factors that could cause or contribute to such differences include, but are not limited to, market prices for crude oil and natural gas, capital expenditures, economic and competitive conditions, regulatory changes and other uncertainties, as well as those factors discussed below and elsewhere in this Annual Report. Please read Cautionary Statement Concerning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Looking Statements. Also, please read the risk factors and other cautionary statements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assume no obligation to update any of these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 except as required by applicable law. See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2024 filed with the SEC on March 10, 2025 for a discussion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2024 results of operations compared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2023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December 31, 2025, the assets consisted of two highly contiguous leasehold positions of approximately 154,472 gross (142,560 net) acres, approximately 72% of which were held by production, with an average working interest of 92%.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year ended December 31, 2025, approximately 85% and 15% of sales volumes from the assets were attributable to liquids (both crude oil and NGL) and natural gas, respectively. As of December 31, 2025, HighPeak Energy was developing its properties using two (2) drilling rigs and one (1) frac crew and expects to average one (1) drilling rig and one (1) frac crew during 2026 under our current development plan, depending on certain market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management changes. </w:t>
      </w:r>
      <w:r>
        <w:rPr>
          <w:rFonts w:ascii="Times New Roman" w:cs="Times New Roman" w:eastAsia="Times New Roman" w:hAnsi="Times New Roman"/>
          <w:sz w:val="18"/>
          <w:szCs w:val="18"/>
          <w:color w:val="auto"/>
        </w:rPr>
        <w:t>In September 2025, Mr. Jack Hightower, the Company’s Chief Executive Officer and Chairman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retired and resigned from our Board of Directors, and on November 4, 2025, our President, Mr. Michael Hollis, was named President and Chief Executive Officer.</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Concurrent with these changes, Mr. Jack Hightower also retired from managing HighPeak Energy Partners, LP and HighPeak Energy Partners II, LP (collectively, the “HighPeak Funds”), which collectively own approximately 64% of the shares of common stock of the Company. In connection with Mr. Jack Hightower’s retirement, HighPeak Pure Acquisition, LLC (“Pure”), a wholly owned subsidiary of HighPeak Energy Partners, LP distributed 1,532,478 shares of common stock in full and complete redemption of Mr. Jack Hightower’s interest in Pure. Following Mr. Jack Hightower’s retirement, the HighPeak Funds are managed by a committee comprised of Mr. Hollis, Daniel Silver and William R. Hightower, each of whom also serve as President and Chief Executive Officer, Executive Vice President and Executive Vice President of the Company, respectively. In addition, pursuant to the Stockholder’s Agreement, dated August 21, 2020, the HighPeak Funds have designated Mr. Silver to serve as their board appointee under the Stockholder’s Agreement, and Mr. Silver was appointed to serve as a director of the Board effective immediately.</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amendments and actions taken to bolster covenant compliance. </w:t>
      </w:r>
      <w:r>
        <w:rPr>
          <w:rFonts w:ascii="Times New Roman" w:cs="Times New Roman" w:eastAsia="Times New Roman" w:hAnsi="Times New Roman"/>
          <w:sz w:val="18"/>
          <w:szCs w:val="18"/>
          <w:color w:val="auto"/>
        </w:rPr>
        <w:t>In August 2025, the Company entered into the First Term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and the Second Facility Amendment which amended the Term Loan Credit Agreement and the Senior Credit Facility Agreement whereby, among other things, (i) the maturity date was extended two years to September 2028, (ii) Term Loan Credit Agreement was upsized to $1.2 billion, providing additional liquidity, and (iii) the Term Loan Credit Agreement quarterly amortization payments of $30.0 million were deferred for one year such that they begin again in September 2026.</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Effective as of December 30, 2025, in order to ensure continued compliance with the financial covenants under the Term Loan Credit Agreement and the Senior Credit Facility Agreement, the Company has entered into the Second Term Loan Amendment and the Third Facility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currently in effect for such quarters prior to these amendments. It is uncertain whether the Company will be able to comply with these covenants, in particular beginning in the Second Quarter of 2026 when the required asset coverage ratio and total net leverage ratio levels will reset to the prior more stringent levels. The Company has already taken steps to improve these ratios, including, but not limited to, suspending the payment of dividends and reducing capital expenditures, and in connection with any potential or anticipated covenant shortfalls, the Company may seek to take other action such as raising additional capital through debt or equity offerings, selling assets, reducing capital expenditures further, obtaining additional amendments or waivers from its lenders, or pursuing other strategic alternatives. There can be no assurance that any such measures will be available on acceptable terms, or at all, or that they will be sufficient to address any covenant compliance issues. Any failure of the Company to comply with its financial covenants would result in an event of default under the Term Loan Credit Agreement and Senior Credit Facility Agreement, entitling the lenders to accelerate amounts outstanding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82" w:gutter="0" w:footer="0" w:header="0"/>
        </w:sectPr>
      </w:pPr>
    </w:p>
    <w:bookmarkStart w:id="72" w:name="page73"/>
    <w:bookmarkEnd w:id="72"/>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February, May, August and November 2025, the Board declared a quarterly dividend of $0.04 per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outstanding which resulted in a total of $5.0 million, $5.0 million, $5.0 million and $5.0 million, respectively, in dividends being paid on March 25, 2025, June 25, 2025, September 25, 2025 and December 23, 2025, respectively. In addition, under the terms of the LTIP, the Company paid a dividend equivalent per share to all vested stock option holders of $531,000 in March 2025, $531,000 in June 2025, $531,000 in September 2025 and $502,000 in December 2025. In addition, the Company accrued an additional combined $86,000 in March 2025, $84,000 in June 2025, $31,000 in September 2025 and $3,000 in December 2025 in dividends on the restricted stock issued to directors, management directors and certain employees that was paid or will be payable upon vesting, assuming no forfeitures.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year ended December 31, 2025, the Company incurred a total of $6.7 million in acquisition costs related to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extensions and to acquire additional crude oil and natural gas leases covering additional contiguous bolt-on undeveloped acreage to its Flat Top and Signal Peak operating areas.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Our operating results, and those of the crude oil and natural gas industry as a whole,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heavily influenced by commodity prices. Crude oil, NGL and natural gas prices and basis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crude oil prices may materially affect the quantities of crude oil, NGL and natural gas reserves we can economically produce over the longer term.</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early 2025, OPEC and its non-OPEC allies, known collectively as OPEC+, began unwinding prior voluntary production cuts and subsequent to quarter end announced that they agreed to increase oil production by another 548,000 bopd starting in September 2025, completing the reversal of its prior 2.2 million bopd cutback from 2023, but paused production increases in early 2026. This substantial supply boost contributed to a decline in global crude oil prices during the year ended December 31, 2025. OPEC+ also emphasized that the production increases could continue or be reversed depending on how market conditions evolve, maintaining flexibility to support price stability. Concurrently, the U.S. imposed tariffs on energy imports from Canada and Mexico, set at 10% and 25%, respectively, and expanded tariffs to include all steel and aluminum imports, aiming to bolster domestic production. In addition, the current U.S. presidential administration began announcing a substantial number of trade tariffs, including a new universal baseline reciprocal tariff, plus an additional country-specific reciprocal tariff for select trading partners, on all U.S. imports, although imports of crude oil, natural gas and refined products received exemptions from the tariffs. Furthermore, the administration announced additional sector-specific tariffs, including on copper imports. Although the Supreme Court recently invalidated the reciprocal tariffs, the administration has indicated that it will continue seeking to implement tariffs through other means, and concerns that the measures could cause inflation, slow economic growth and intensify trade disputes have also placed further downward pressure on oil prices. The situation remains fluid, with certain tariff rates and obligations established through trade agreements that were negotiated while the reciprocal tariffs were in effect, and we expect price volatility to continue. Collectively, these policy changes—OPEC+'s production increase and the U.S. tariffs—are introducing significant volatility to the crude oil and natural gas sector. In addition, tariffs have the potential to significantly increase our operating and capital costs, which could negatively impact our ability to carry out our planned drilling program and future growth projects.</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addition, since being sworn into office, President Trump has issued numerous Executive Orders that aim to increase crude oil production and decrease commodity prices. For example, President Trump declared a “national energy emergency” in January 2025, and gave the executive branch more power to expedite approvals for energy resource infrastructure (including crude oil and natural gas). Additionally, President Trump’s “Unleashing American Energy” Executive Order incorporated numerous provisions aimed at unburdening and removing impediments to the development of various domestic energy resources, such as crude oil and natural gas. More recently, in March 2025, President Trump signed an Executive Order that, among other matters, directed the U.S. Attorney General to investigate certain state laws that may adversely impact the development of energy resources, including state laws relating to climate change, environmental, social and governance initiatives, and funds collecting carbon penalties and/or taxes. We cannot predict what impact these Executive Orders or others may ultimately have on commodity prices or our operations. These and other factors make it difficult to predict realized prices reliably. We may respond to economic conditions by adjusting the amount and allocation of our capital program while continuing to identify efficiencies and cost savings and maintain our hedging program. Volatility in crude oil prices may materially affect the quantities of crude oil, NGL and natural gas reserves we can economically produce over the longer term. Refer to Prices and Realizations below for information on our realized price.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The ongoing war between Russia and Ukraine, conflicts in the Middle East, and U.S. intervention in Venezuela have resulted in global supply chain disruptions, which has led to significant cost inflation. Such impacts may also be exacerbated by the tariffs and proposed tariffs by the current administration. Specifically, the Company’s 2023, 2024 and 2025 capital program has been and continues to be impacted by higher prices for steel, diesel, chemicals and services, among other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0" w:lineRule="auto"/>
        <w:tabs>
          <w:tab w:leader="none" w:pos="2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conflicts in the Middle East and U.S. intervention in Venezuela, (iv) the timing and supply impact of any Iranian or Venezuelan sanction relief on their ability to export crude oil, (v) the global supply chain constraints associated with manufacturing and distribution delays,</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oilfield service demand and cost inflation, and (vii) political stability of crude oil consuming countries. The Company continues to assess and monitor the impact of these factors and consequences on the Company and its operations.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2021 through December 31, 2025, the calendar month average NYMEX WTI crude oil price per Bbl ranged from a low of $52.10 to a high of $114.34, and the last trading day NYMEX natural gas price per MMBtu ranged from a low of $1.58 to a high of $9.35.</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continuing into 2023. However, they began declining in 2024 and continued to decline in 2025 and early 2026 due to concerns over trade wars and energy tariffs, among other factors, and has decreased from 2022 levels overall, as a result of increased supply outpacing increased demand for each of the commodities we produce. This decline in commodity prices through 2025 and into 2026 contributed to the Company's need to enter into amendments to its Term Loan Credit Agreement and Senior Credit Facility Agreement to address potential financial covenant compliance issues. There can be no assurance that commodity prices will improve sufficiently to enable the Company to comply with the financial covenants under its credit facilities when the required asset coverage ratio and total net leverage ratio levels reset to more stringent levels in the Second Quarter of 2026. There are many factors beyond the Company’s control, including commodity markets, unavailability or high cost of drilling rigs, equipment, supplies, personnel, frac crews and oilfield services or supply constraints remain subject to heightened levels of uncertainty as a result of commodity-specific tariffs and the possibility of trade wars, the ongoing war between Russia and Ukraine, conflicts in the Middle East, U.S. intervention in Venezuela, and elevated interest rates and associated policies of the Federal Reserve, which could adversely affect HighPeak Energy. For additional information on the risks, see “Part I. Item 1A. Risk Factors.”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plan to maintain a one (1) drilling rig program for 2026 depending on certain market conditions. The Company will continue to evaluate drilling and completion activity on an economic basis, with future activity levels assessed monthly. If the Company is unable to maintain compliance with its financial covenants or obtain further amendments or waivers from its lenders, it may be required to reduce its capital expenditures, which could adversely impact its ability to develop its acreage, maintain its leasehold positions and grow its production.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was retained as a financial advisor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and operating performance for the year ended December 31, 2025 included the following highlights:</w:t>
      </w:r>
    </w:p>
    <w:p>
      <w:pPr>
        <w:spacing w:after="0" w:line="225"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2025 was $19.0 million ($0.14 per diluted share) compared with $95.1 million for the year ended December 31, 2024. The primary components of the $76.1 million decrease in net income include: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$253.8 million decrease in crude oil, NGL and natural gas revenues due to a 20% decrease in average realized commodity prices per Boe and a 4% decrease in daily sales volumes resulting from natural decline and a decrease in the Company’s drilling and completion activities with the lower commodity price environment, excluding the effects of derivatives;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$25.4 million increase in loss on extinguishment of debt related to the Company amending its long-term debt in September 2025, extending the maturity and deferring mandatory amortization payments, among other things;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$20.6 million increase in the Company’s gathering, processing and transportation expense primarily as a result of connecting natural gas in the Signal Peak area to processing and treating facilities, thereby increasing sales volumes as well;</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$15.2 million increase in exploration and abandonment expense primarily due to unsuccessful exploratory well costs, plugging and abandonment expenses and certain abandoned leasehold that the Company chose not to extend;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$7.2 million increase in crude oil and natural gas production costs related primarily to increased expense workover activities related to our aging well inventory;</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the Company’s general and administrative expense, primarily as a result of the resignation and retirement of our former Chief Executive Officer in September 2025; and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$4.8 million decrease in interest income related to the Company’s lower cash balance throughout 2025 compared with 2024;</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980" w:right="2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$91.4 million increase in the Company’s derivative instruments gain from a loss of $46.5 million in 2024 to a gain of $44.9 million in 2025 primarily as a result of declining commodity prices during 2025;</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$79.0 million decrease in DD&amp;A expense due to a 13% decrease in the DD&amp;A rate from $27.39 to $23.93 per Boe primarily as a result of increased reserves at year end 2024, however the DD&amp;A rate for the three months ended December 31, 2025 was $27.52 due to lower commodity prices at year end 2025 which contributed to lower reserve volumes, in addition to a 4% decrease in daily sales volumes primarily due to natural decline and a decrease in the Company’s drilling and completion activities;</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$28.6 million decrease in the Company’s income tax expense primarily due to the net income realized during 2025 being less than the net income realized during 2024;</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$22.5 million decrease in production and ad valorem taxes primarily attributable to a 20% decrease in operating revenues and a $10.0 million natural gas severance tax refund realized;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$21.6 million decrease in interest expense primarily related to overall lower rates than 2024 in addition to less amortization of discounts and debt issuance costs;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 million decrease in the Company’s stock-based compensation expense as a result of fewer restricted stock and stock options being issued relative to the prior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average daily sales volumes totaled 48,297 Boepd, a decrease of 3% from 2024, due to natural decline and decreased drilling and completion activities given the lower commodity price environment.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decreased during the year ended December 31, 2025 to $65.43, excluding the effects of derivatives, compared with $76.42 for 2024. Weighted average realized NGL prices per Bbl decreased during the year ended December 31, 2025 to $19.69, compared with $22.06 for 2024. Weighted average realized natural gas prices per Mcf increased to $1.25 during the year ended December 31, 2025, excluding the effects of derivatives, compared with $0.49 during 2024.</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$511.6 million for the year ended December 31, 2025, compared with $690.4 million for the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 exposure. </w:t>
      </w:r>
      <w:r>
        <w:rPr>
          <w:rFonts w:ascii="Times New Roman" w:cs="Times New Roman" w:eastAsia="Times New Roman" w:hAnsi="Times New Roman"/>
          <w:sz w:val="18"/>
          <w:szCs w:val="18"/>
          <w:color w:val="auto"/>
        </w:rPr>
        <w:t>As of December 31, 2025 and factoring in derivative instruments entered into subsequent to year 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was a party to the following open crude oil derivative 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Costless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Costless</w:t>
            </w:r>
          </w:p>
        </w:tc>
      </w:t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Collar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Collar</w:t>
            </w:r>
          </w:p>
        </w:tc>
      </w:t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Swap</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Floor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Ceiling</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09"/>
        </w:trPr>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198"/>
        </w:trPr>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Costless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14,350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69.62</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0.92</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Costless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66.82</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Costless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Costless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65.31</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Costless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Costless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8,950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WTI Cushing</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4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factoring in derivative instruments entered into subsequent to year end, the Company was a party to the following open natural gas derivative financial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 w:type="dxa"/>
            <w:vAlign w:val="bottom"/>
          </w:tcPr>
          <w:p>
            <w:pPr>
              <w:spacing w:after="0"/>
              <w:rPr>
                <w:sz w:val="18"/>
                <w:szCs w:val="18"/>
                <w:color w:val="auto"/>
              </w:rPr>
            </w:pP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00" w:type="dxa"/>
            <w:vAlign w:val="bottom"/>
          </w:tcPr>
          <w:p>
            <w:pPr>
              <w:spacing w:after="0"/>
              <w:rPr>
                <w:sz w:val="20"/>
                <w:szCs w:val="20"/>
                <w:color w:val="auto"/>
              </w:rPr>
            </w:pPr>
          </w:p>
        </w:tc>
        <w:tc>
          <w:tcPr>
            <w:tcW w:w="20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MMBtu</w:t>
            </w:r>
          </w:p>
        </w:tc>
      </w:tr>
      <w:tr>
        <w:trPr>
          <w:trHeight w:val="209"/>
        </w:trPr>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2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9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31,556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9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9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9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9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2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19,667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December 31, 2025, excluding those contracts entered into subsequent to December 31, 2025, was a net asset of $33.0 million which is included in current and noncurrent assets and current and noncurrent liabilities on the Company’s consolidated balance sheet as of December 31, 2025. During the year ended December 31, 2025, the Company recognized a net derivative gain of $44.9 million, including a $30.8 million mark-to-market gain and $14.1 million in net monthly settlement receipts.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1560" w:type="dxa"/>
            <w:vAlign w:val="bottom"/>
          </w:tcPr>
          <w:p>
            <w:pPr>
              <w:spacing w:after="0"/>
              <w:rPr>
                <w:sz w:val="20"/>
                <w:szCs w:val="20"/>
                <w:color w:val="auto"/>
              </w:rPr>
            </w:pPr>
          </w:p>
        </w:tc>
      </w:tr>
      <w:tr>
        <w:trPr>
          <w:trHeight w:val="43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1560" w:type="dxa"/>
            <w:vAlign w:val="bottom"/>
          </w:tcPr>
          <w:p>
            <w:pPr>
              <w:spacing w:after="0"/>
              <w:rPr>
                <w:sz w:val="24"/>
                <w:szCs w:val="24"/>
                <w:color w:val="auto"/>
              </w:rPr>
            </w:pPr>
          </w:p>
        </w:tc>
      </w:tr>
      <w:tr>
        <w:trPr>
          <w:trHeight w:val="410"/>
        </w:trPr>
        <w:tc>
          <w:tcPr>
            <w:tcW w:w="9680" w:type="dxa"/>
            <w:vAlign w:val="bottom"/>
          </w:tcPr>
          <w:p>
            <w:pPr>
              <w:spacing w:after="0"/>
              <w:rPr>
                <w:sz w:val="24"/>
                <w:szCs w:val="24"/>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968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32,911</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7,931</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44,733</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48,297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liquids production was 85% of total production on a Boe basis for the year ended December 31, 2025.</w:t>
      </w:r>
    </w:p>
    <w:p>
      <w:pPr>
        <w:sectPr>
          <w:pgSz w:w="11900" w:h="16838" w:orient="portrait"/>
          <w:cols w:equalWidth="0" w:num="1">
            <w:col w:w="11240"/>
          </w:cols>
          <w:pgMar w:left="320" w:top="576" w:right="339" w:bottom="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acquisitions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145,679</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518,487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incurred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522,310</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Development/service and exploration/extension drilling activity is as follows:</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5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Exploration/</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wells in progress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 spud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Successful wells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Unsuccessful wells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wells in progress</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Results of operations should be read together with the Company’s consolidated financial statements and related notes included in “Item 8. Financial Statements and Supplementary Data” of this Annual Report. See the Company’s Annual Report on Form 10-K for the year ended December 31, 2024 filed with the SEC on March 10, 2025 for a discussion of the Company’s 2024 results of operations compared with the Company’s 2023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revenues, which are entirely originated in the continental United States, are derived from the sale of crude oil and natural gas production and the sale of NGL that are extracted from natural gas during processing. For the years ended December 31, 2025, 2024 and 2023, revenues from our assets were derived approximately 91%, 95% and 96%, respectively, from crude oil sales and 9%, 5% and 4%, respectively, from NGL and natural gas sales.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resulting from the concentration of its crude oil and natural gas receivables with significant purchasers. For the year ended December 31, 2025, sales to the Company’s largest purchaser accounted for approximately 82%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revenues are presented net of certain gathering, transportation and processing expenses incurred to deliver production of its assets’ crude oil, NGL and natural gas to the market. Cost levels of these expenses can vary based on the volume of crude oil, NGL and natural gas produced as well as the cost of commodity processing. Crude oil, NGL and natural gas prices are inherently volatile and are influenced by many factors outside the Company’s control. To reduce the impact of fluctuations in crude oil, NGL and natural gas prices on revenues, the Company may periodically enter into derivative contracts with respect to a portion of its estimated crude oil, NGL and natural gas production through various transactions that fix or set a floor price for future prices received.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Components of Cost Structure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Costs associated with producing crude oil, NGL and natural gas are substantial. Some of these costs vary with commodity prices, some trend with the type and volume of production, and others are a function of the number of wells owned. The sections below summarize the primary operating costs typically incurred:</w:t>
      </w:r>
    </w:p>
    <w:p>
      <w:pPr>
        <w:spacing w:after="0" w:line="172" w:lineRule="exact"/>
        <w:rPr>
          <w:sz w:val="20"/>
          <w:szCs w:val="20"/>
          <w:color w:val="auto"/>
        </w:rPr>
      </w:pPr>
    </w:p>
    <w:p>
      <w:pPr>
        <w:ind w:left="660" w:hanging="328"/>
        <w:spacing w:after="0" w:line="25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Lease operating expenses (“LOE”) are the costs incurred in the operation of producing properties and workover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for utilities, direct labor, water injection and disposal, workover rigs and workover expenses, materials and supplies comprise the most significant portion of LOE. Certain items, such as direct labor and materials and supplies, generally remain relatively fixed across broad production volume ranges, but can fluctuate depending on activities performed during a specific period. For instance, repairs to pumping equipment or surface facilities result in increased LOE in periods during which they are performed. Certain operating cost components are variable and increase or decrease as the level of produced hydrocarbons and water increases or decreases. For example, power costs are incurred in connection with various production-related activities, such as pumping to recover crude oil and natural gas and separation and treatment of water produced in connection with crude oil and natural gas production.</w:t>
      </w:r>
    </w:p>
    <w:p>
      <w:pPr>
        <w:spacing w:after="0" w:line="188"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monitors the operation of its assets to determine whether it is incurring LOE at an acceptable level. For example, it monitors LOE per Boe to determine if any wells or properties should be shut-in, recompleted or sold. This unit rate also allows the Company to monitor these costs to identify trends and to benchmark against other producers. Although the Company strives to reduce its LOE, these expenses can increase or decrease on a per-unit basis as a result of various factors as it operates its assets or makes acquisitions and dispositions of properties. For example, the Company may increase field-level expenditures to optimize their operations, incurring higher expenses in one quarter relative to another, or they may acquire or dispose of properties that have different LOE per Boe. These initiatives would influence overall operating cost and could cause fluctuations when comparing LOE on a period-to-period basis.</w:t>
      </w:r>
    </w:p>
    <w:p>
      <w:pPr>
        <w:spacing w:after="0" w:line="211"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Gathering, Processing and Transportation Expense. </w:t>
      </w:r>
      <w:r>
        <w:rPr>
          <w:rFonts w:ascii="Times New Roman" w:cs="Times New Roman" w:eastAsia="Times New Roman" w:hAnsi="Times New Roman"/>
          <w:sz w:val="18"/>
          <w:szCs w:val="18"/>
          <w:color w:val="auto"/>
        </w:rPr>
        <w:t>Gathering, processing and transportation expenses (“GP&amp;T”) are the costs to gather,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 treat and process our natural gas production such that we can extract the liquids content from the natural gas in order that the dry gas and NGL can be sold separately at the tailgate of the plants to maximize returns to the Company for its natural gas production.</w:t>
      </w:r>
    </w:p>
    <w:p>
      <w:pPr>
        <w:spacing w:after="0" w:line="197"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and other taxes. </w:t>
      </w:r>
      <w:r>
        <w:rPr>
          <w:rFonts w:ascii="Times New Roman" w:cs="Times New Roman" w:eastAsia="Times New Roman" w:hAnsi="Times New Roman"/>
          <w:sz w:val="18"/>
          <w:szCs w:val="18"/>
          <w:color w:val="auto"/>
        </w:rPr>
        <w:t>Production and other taxes are paid on produced crude oil and natural gas based on rates established by federal, 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local taxing authorities. In general, production and other taxes paid correlate to changes in crude oil, NGL and natural gas revenues. Production taxes are based on the market value of production at the wellhead. The Company is also subject to ad valorem taxes in the counties where production is located. Ad valorem taxes are based on the fair market value of the mineral interests for producing wells.</w:t>
      </w:r>
    </w:p>
    <w:p>
      <w:pPr>
        <w:spacing w:after="0" w:line="203"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Depletion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Crude Oil and Natural Gas Properties. </w:t>
      </w:r>
      <w:r>
        <w:rPr>
          <w:rFonts w:ascii="Times New Roman" w:cs="Times New Roman" w:eastAsia="Times New Roman" w:hAnsi="Times New Roman"/>
          <w:sz w:val="18"/>
          <w:szCs w:val="18"/>
          <w:color w:val="auto"/>
        </w:rPr>
        <w:t>Depletion is the systematic expensing of the capitalized costs incurred to acquire and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properties. The Company uses the successful efforts method of accounting for crude oil and natural gas properties. Accordingly, all costs associated with acquisition, successful exploration/extension wells and development of crude oil and natural gas reserves, including directly related overhead costs and asset retirement costs are capitalized. However, the costs of abandoned properties, exploratory dry holes, geophysical costs and annual lease rentals are charged to expense as incurred. All capitalized costs of crude oil and natural gas properties are amortized on the unit-of-production method using estimates of proved reserves. Any remaining investments in unproved properties are not amortized until proved reserves associated with the projects can be determined or until impairment occurs.</w:t>
      </w:r>
    </w:p>
    <w:p>
      <w:pPr>
        <w:spacing w:after="0" w:line="209"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(“G&amp;A”) are costs incurred for overhead, including payroll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for corporate staff and costs of maintaining a headquarters, costs of managing production and development operations, IT expenses and audit and other fees for professional services, including legal compliance and acquisition-related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Results of operations should be read together with the Company’s consolidated financial statements and related notes included in “Item 8. Financial Statements and Supplementary Data”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revenues are derived from the sales of crude oil, NGL and natural gas production. Increases or decreases in the Company’s revenues, profitability and future production are highly dependent on commodity prices. Prices are market driven and future prices will fluctuate due to supply and demand factors, availability of transportation, seasonality, geopolitical developments and economic factors, among other items.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Crude oil, NGL and natural gas revenues are as follows (in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NGL and natural gas revenues</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863,359</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1,117,175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(253,816)</w:t>
            </w: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are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decrease in average daily Boe sales volumes for the year ended December 31, 2025, compared with 2024 was due to the natural decline on its producing properties and decreased drilling and completion activities, partially offset by the Company tying in all of its existing production facilities into natural gas gathering, processing and treating facilities.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33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65.43</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33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48.98</w:t>
            </w: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decrease in prices for crude oil and NGL can be attributed to an overall lower commodity price environment for crude oil for the year ended December 31, 2025, compared with 2024, partially offset by higher natural gas prices in 2025 compared to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Variance Analysis.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illustrates the variance in revenues attributable to prices versus volumes (in thousands except prices and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863,359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1,117,175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(Boe)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49,960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price per Boe</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48.98</w:t>
            </w:r>
          </w:p>
        </w:tc>
        <w:tc>
          <w:tcPr>
            <w:tcW w:w="58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change from prior period due to prices</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Revenue change from prior period due to volumes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from prior period revenues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detailed above, the decrease in total operating revenues for the year ended December 31, 2025 compared to the same period in 2024 is the result of a 20% decrease in average realized price per Boe in addition to a 3% decrease in average daily sales volumes primarily as a result of natural decline and decreased drilling and completion activities of the Company due to the lower commodity price environment.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are as follows (in thousands):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139,492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7,248</w:t>
            </w: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per Boe are as follows:</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w:t>
            </w:r>
          </w:p>
        </w:tc>
        <w:tc>
          <w:tcPr>
            <w:tcW w:w="17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Workover costs</w:t>
            </w:r>
          </w:p>
        </w:tc>
        <w:tc>
          <w:tcPr>
            <w:tcW w:w="7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Lease operating expense per Boe for 2025 remained relatively flat compared with 2024. Workover costs per Boe for 2025 increased significantly in 2025 compared to 2024 primarily as a result of more pump swaps and/or failures as our producing well count increases and becomes older.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processing and transportation expenses.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 are as follows (in thousands):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68,401</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47,761</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20,640</w:t>
            </w: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 per Boe are as follows: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Gathering, processing and transportation expenses per Boe for 2025 increased compared with 2024. This is primarily related to connecting more natural gas to processing facilities that were not previously connected, thereby enhancing the Company’s ability to maximize returns from its wells by increasing sales volumes.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production and commodity price changes; however, Texas ad valorem taxes are based upon prior year commodity prices and valuations as of the first of the year, whereas production taxes are based upon current year commodity prices and sales volumes. Production and ad valorem taxes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37,224</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59,677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w:t>
            </w: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8"/>
                <w:szCs w:val="18"/>
                <w:color w:val="auto"/>
              </w:rPr>
            </w:pPr>
          </w:p>
        </w:tc>
        <w:tc>
          <w:tcPr>
            <w:tcW w:w="1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7"/>
          <w:szCs w:val="17"/>
          <w:color w:val="auto"/>
        </w:rPr>
        <w:t>Production taxes per Boe for the year ended December 31, 2025, compared with 2024, decreased primarily due to the 20% overall decrease in realized sales prices and 3% decrease in average daily sales volumes in addition to a $10.0 million natural gas severance tax refund that was realized by taking advantage of previously unrealized marketing deductions allowed by the State of Texas. The decrease in ad valorem taxes per Boe for the year ended December 31, 2025, compared with 2024, was primarily due to the successful efforts of the Company to reduce the taxable valuation by the state on numerous properties throughout our portfolio. In Texas, ad valorem taxes are based on a valuation of the wells on January 1 of a given year.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Unsuccessful exploratory well costs</w:t>
            </w:r>
          </w:p>
        </w:tc>
        <w:tc>
          <w:tcPr>
            <w:tcW w:w="9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11,092</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94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1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increase in exploration and abandonment expenses is primarily the result of an $11.1 million unsuccessful exploratory well that was realized in 2025, $2.4 million in additional plugging and abandonment expenses over the prior year due to more wells failing fluid tests and requiring plugging according to state regulations, $1.3 million more in abandoned leasehold costs related to undeveloped acreage that was not in an area where the Company had current plans to drill and thus the leases were allowed to expire in 2025 and $416,000 in increased geologic and geophysical personnel costs. This is the first unsuccessful well drilled by the Company in its history and was a step out to the furthest northeast portion of its acreage. While other wells in the area were successful, one well was written off because it never achieved commercial volumes of crude oil and natural gas after attempting interventions to reduce anomalous water inflows. The Company remains committed to maintaining as much of its undeveloped acreage leasehold position as possible, but from time to time, certain acreage is not able to be extended at reasonable prices and we are not able to get a drilling rig in the area in time to save the leases for a multitude of reasons.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depreciation and amortization expense.</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is as follows (in thousands):</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1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421,776</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500,752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(78,976)</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 is as follows:</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1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decrease in DD&amp;A expense is primarily due to the decreased production associated with the natural decline of our wells and decreased drilling and completion activities coupled with a decrease in the DD&amp;A rate primarily attributed to increased proved reserves at the end of 2024, reducing the rate that was recognized during the first three quarters of 2025. Based on year-end 2025 proved reserves, we anticipate our DD&amp;A rate going into 2026 to be in the $27.52 per Boe range, similar to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and stock-based compensation expense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6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0" w:type="dxa"/>
            <w:vAlign w:val="bottom"/>
          </w:tcPr>
          <w:p>
            <w:pPr>
              <w:spacing w:after="0"/>
              <w:rPr>
                <w:sz w:val="1"/>
                <w:szCs w:val="1"/>
                <w:color w:val="auto"/>
              </w:rPr>
            </w:pPr>
          </w:p>
        </w:tc>
      </w:tr>
      <w:tr>
        <w:trPr>
          <w:trHeight w:val="41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 is as follows: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year ended December 31, 2025 is primarily as a result of the resignation and retirement of our former Chief Executive Officer which accounted for approximately $3.4 million of the increase and the increase in legal, insurance and audit 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noncash stock-based compensation expense is due to fewer awards granted recently.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refinancing costs</w:t>
            </w:r>
          </w:p>
        </w:tc>
        <w:tc>
          <w:tcPr>
            <w:tcW w:w="9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2,518</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on production facilities</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980" w:type="dxa"/>
            <w:vAlign w:val="bottom"/>
            <w:gridSpan w:val="2"/>
          </w:tcPr>
          <w:p>
            <w:pPr>
              <w:jc w:val="right"/>
              <w:ind w:right="81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2,836</w:t>
            </w:r>
          </w:p>
        </w:tc>
        <w:tc>
          <w:tcPr>
            <w:tcW w:w="11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approximately $2.5 million in rating agency fees, legal and accounting professional fees and other costs related to a proposed refinancing of its existing debt obligations. That specific refinancing transaction was not completed. Accordingly, these costs have been expensed as incurred. During the year ended December 31, 2024, the Company incurred approximately $3.8 million in costs related to repairs to production facilities.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is as follows (in thousands):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Term Loan Credit Agreement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134,511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Senior Credit Facility Agreement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w:t>
            </w:r>
          </w:p>
        </w:tc>
        <w:tc>
          <w:tcPr>
            <w:tcW w:w="1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147,136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168,712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can be primarily attributed to lower interest rates in 2025 compared to 2024 in addition to lower amortization of discounts and debt issuance costs with the amendment of Term Loan Credit Agreement in September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gain (loss), net.</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Derivative gain (loss), net is as follows (in thousands):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30,829</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63,047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(paid) on settlement of derivative instruments, net</w:t>
            </w: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14,084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44,913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91,377</w:t>
            </w:r>
          </w:p>
        </w:tc>
        <w:tc>
          <w:tcPr>
            <w:tcW w:w="0" w:type="dxa"/>
            <w:vAlign w:val="bottom"/>
          </w:tcPr>
          <w:p>
            <w:pPr>
              <w:spacing w:after="0"/>
              <w:rPr>
                <w:sz w:val="1"/>
                <w:szCs w:val="1"/>
                <w:color w:val="auto"/>
              </w:rPr>
            </w:pPr>
          </w:p>
        </w:tc>
      </w:tr>
      <w:tr>
        <w:trPr>
          <w:trHeight w:val="413"/>
        </w:trPr>
        <w:tc>
          <w:tcPr>
            <w:tcW w:w="51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4" w:name="page85"/>
    <w:bookmarkEnd w:id="84"/>
    <w:p>
      <w:pPr>
        <w:spacing w:after="0" w:line="256" w:lineRule="auto"/>
        <w:rPr>
          <w:sz w:val="20"/>
          <w:szCs w:val="20"/>
          <w:color w:val="auto"/>
        </w:rPr>
      </w:pPr>
      <w:r>
        <w:rPr>
          <w:rFonts w:ascii="Times New Roman" w:cs="Times New Roman" w:eastAsia="Times New Roman" w:hAnsi="Times New Roman"/>
          <w:sz w:val="18"/>
          <w:szCs w:val="18"/>
          <w:color w:val="auto"/>
        </w:rPr>
        <w:t>The Company primarily utilizes commodity swap contracts, collars, enhanced collars and deferred premium puts to (i) reduce the effect of price volatility on the commodities the Company produces and sells,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natural gas contracts or interest rate contracts to reduce the effect of interest rate volatility on the Company’s indebtedness. The above mark-to-market gains and losses and cash settlements relate to crude oil and natural gas derivative swap, enhanced collars and deferred premium put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9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11,482</w:t>
            </w:r>
          </w:p>
        </w:tc>
        <w:tc>
          <w:tcPr>
            <w:tcW w:w="12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9,205</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paid to exiting lenders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94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25,437</w:t>
            </w:r>
          </w:p>
        </w:tc>
        <w:tc>
          <w:tcPr>
            <w:tcW w:w="122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25,437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the Company entered into the First Term Loan Amendment which, among other things, (i) extended the maturity date two years to September 2028, (ii) upsized the Term Loan Credit Agreement to $1.2 billion, providing additional liquidity, and (iii) deferred the Term Loan Credit Agreement quarterly amortization payments of $30.0 million for one year such that they begin again in September 2026. This amendment was considered an extinguishment of debt and thus unamortized discounts and debt issuance costs at the time of the amendment were written off to expense as was a premium paid to exiting lenders.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7,205</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35,851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(28,646)</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change in provision for income taxes during the year ended December 31, 2025, compared with 2024, was due to decreased net income during the year ended December 31, 2025 compared with 2024. The effective income tax rate differs from the statutory rate primarily due to a revision on the deferred tax asset related to certain wage and stock-based compensation and permanent differences between GAAP income and taxable income. See Note 13 of Notes to Consolidated Financial Statements included in “Item 8. Financial Statements and Supplementary Data” in this Annual Report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primary sources of short-term liquidity are (i) cash and cash equivalents, (ii) net cash provided by operating activities,</w:t>
      </w:r>
    </w:p>
    <w:p>
      <w:pPr>
        <w:spacing w:after="0" w:line="31"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Senior Credit Facility Agreement, (iv) on an opportunistic basis, other issuances of debt or equity securities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nonstrategic assets.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acquisitions of crude oil and natural gas properties, (iii) payments of other contractual obligations, (iv) working capital obligations, and (v) interest payments on and amortizations of its indebtedness. Funding for these cash needs may be provided by any combination of the Company’s sources of liquidity. Although the Company expects its sources of funding will be adequate to fund its 2026 planned capital expenditures and provide adequate liquidity to fund other needs, however this may be subject to significant uncertainty due to changes in crude oil, NGL and natural gas pricing and potential covenant compliance issues under its debt instruments described below and no assurance can be given that such funding sources will be adequate to meet the Company’s future needs.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March 11, 2026, the Company was in compliance with the financial covenants under its Term Loan Credit Agreement and Senior Credit Facility Agreement, as amended. In particular, we recently entered into credit facility amendments described below to ensure our continued compliance with covenants in our debt instruments, but it is uncertain whether the Company will be able to comply with these covenants, in particular beginning in the Second Quarter of 2026 when the required asset coverage ratio and total net leverage ratio levels will reset to the prior more stringent levels. The Company has already taken steps to improve these ratios, including, but not limited to, suspending the payment of dividends and reducing capital expenditures, and in connection with any potential or anticipated covenant shortfalls, the Company may seek to take other action such as raising additional capital through debt or equity offerings, selling assets, reducing capital expenditures further, obtaining additional amendments or waivers from its lenders, or pursuing other strategic alternatives. There can be no assurance that any such measures will be available on acceptable terms, or at all, or that they will be sufficient to address any covenant compliance issues. If the Company is unable to maintain compliance with its financial covenants or successfully implement the measures described above, its liquidity and capital resources would be materially and adversely affected. Specifically, the Company's borrowing availability under its Senior Credit Facility Agreement, which was approximately $93.1 million as of March 11, 2026, could be reduced or eliminated, and the Company may be unable to access additional debt or equity financing on acceptable terms or at all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addition, any failure of the Company to comply with its financial covenants would result in an event of default under the Term Loan Credit Agreement and Senior Credit Facility Agreement, entitling the lenders to accelerate amounts outstanding thereunder. If such amounts were accelerated and became immediately due and payable, the Company does not expect it would have sufficient liquidity to repay such indebtedness and would likely need to pursue a restructuring, refinancing or other strategic alternatives, which may not be available on acceptable terms or at all.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Refinancing and Recent Amendments. </w:t>
      </w:r>
      <w:r>
        <w:rPr>
          <w:rFonts w:ascii="Times New Roman" w:cs="Times New Roman" w:eastAsia="Times New Roman" w:hAnsi="Times New Roman"/>
          <w:sz w:val="18"/>
          <w:szCs w:val="18"/>
          <w:color w:val="auto"/>
        </w:rPr>
        <w:t>In September 2023, we completed a refinancing of our long-term debt in its entirety by entering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agreement with Texas 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was set to mature on September 30, 2026 prior to the amendments discussed below.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also contained certain financial covenants, including (i) an asset coverage ratio that may not be less than 1.50 to 1.00 as of the last day of any fiscal quarter and (ii) a total net leverage ratio that may not exceed 2.00 to 1.00 as of the last day of any fiscal quarter prior to the amendments discussed below.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contained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Term Loan Credit Agreement, the Company entered into a collateral agency agreement (the “Collateral Agency 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but included in part of the refinancing of the Company’s overall long-term debt, the Company entered into a Senior Credit Facility Agreement with Fifth Third Bank, National Association (“Fifth Third”) as the administrative agent and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Facility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August 2025 Amendments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2025, the Company entered into the First Term Loan Amendment and the Second Facility Amendment which amended the Term Loan Credit Agreement and the Senior Credit Facility Agreement whereby, among other things, (i) the maturity date was extended two years to September 2028,</w:t>
      </w:r>
    </w:p>
    <w:p>
      <w:pPr>
        <w:ind w:firstLine="8"/>
        <w:spacing w:after="0" w:line="260" w:lineRule="auto"/>
        <w:tabs>
          <w:tab w:leader="none" w:pos="3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Credit Agreement was upsized to $1.2 billion, providing additional liquidity, and (iii) the Term Loan Credit Agreement quarterly amortization payments of $30.0 million were deferred for one year such that they begin again in September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2026 Amendments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as of December 30, 2025, in order to ensure continued compliance with the financial covenants under the Term Loan Credit Agreement and the Senior Credit Facility Agreement, the Company has entered into the Second Term Loan Amendment and the Third Facility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these amendments.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2026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2026 is expected to be in the range of approximately $255 to $285 million for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facilities and equipping crude oil wells, field infrastructure buildout and other costs, excluding acquisitions. The 2026 capital budget excludes acquisitions, asset retirement obligations, geological and geophysical expenses and general and administrative expenses. HighPeak Energy expects to fund its forecasted capital expenditures with cash on its consolidated balance sheet, cash generated by operations and borrowing capacity available under its Senior Credit Facility Agreement, if needed. The Company’s capital expenditures for the year ended December 31, 2025 were $511.8 million, including the completion and/or continuation of certain one-time infrastructure projects but excluding acquisitions.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7" w:name="page88"/>
    <w:bookmarkEnd w:id="8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there are many factors and consequences beyond the Company’s control impacting our capital budget, such as political and regulatory uncertainties associated with the new Trump Administration, economic downturn or potential recession, geo-political risks and additional actions by businesses, OPEC or OPEC+, and governments in response to pandemics, that may have an impact on the Company’s future results and drilling plans. For additional information on the risks, see “Part I, Item 1A. Risk Factors.” The Company is maintaining flexibility in its capital plan and will continue to evaluate drilling and completion activity on an economic basis, with future activity levels assessed monthly.</w:t>
      </w:r>
    </w:p>
    <w:p>
      <w:pPr>
        <w:spacing w:after="0" w:line="179"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2025, the Company had $1.2 billion in outstanding borrowings under the Term Loan Credit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approximately $93.1 million available to borrow under the Senior Credit Facility Agreement. The Company also had unrestricted cash on hand of $162.1 million as of December 31, 2025.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511,597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690,391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(515,337)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(620,843)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105,506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79,166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256,580</w:t>
            </w: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8" w:name="page89"/>
    <w:bookmarkEnd w:id="88"/>
    <w:p>
      <w:pPr>
        <w:ind w:right="2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The decrease in net cash flow provided by operating activities for the year ended December 31, 2025, compared with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primarily due to a decrease in cash flow from the statement of operations related mostly to decreased revenues associated with lower commodity prices and decreased sales volumes as a result of natural decline and decreased drilling and completion activity due to the lower commodity price environment.</w:t>
      </w:r>
    </w:p>
    <w:p>
      <w:pPr>
        <w:spacing w:after="0" w:line="155"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year ended December 31, 2025, compared with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 in additions to crude oil and natural gas properties including drilling and completion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ind w:left="980" w:right="80" w:hanging="324"/>
        <w:spacing w:after="0" w:line="25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The Company increased borrowings under the Term Loan Credit Agreement on August 1, 2025 upon closing the First Term Loan Amendment by $180.0 million, partially offset by mandatory amortization payments totaling $60.0 million prior to that, borrowed and repaid $30.0 million under the Senior Credit Facility Agreement, paid dividends and dividend equivalents of $20.9 million and $2.1 million, respectively, paid debt issuance costs of $7.9 million primarily related to the First Term Loan Amendment and the Second Facility Amendment, paid $5.1 million for tax withholding on vested equity awards for certain employees, $3.8 million of which was related to the retirement of the Company’s former Chief Executive Officer and paid $4.8 million in premium on extinguishment of debt.</w:t>
      </w:r>
    </w:p>
    <w:p>
      <w:pPr>
        <w:spacing w:after="0" w:line="187"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The Company (i) repaid $120.0 million of the Term Loan Credit Agreement, (ii) repurchased $35.2 million of its common stock and (iii) paid dividends to its common stockholders of $20.1 million and dividend equivalents to certain holders of vested stock options of $2.1 million.</w:t>
      </w:r>
    </w:p>
    <w:p>
      <w:pPr>
        <w:spacing w:after="0" w:line="17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rates associated with any outstanding balance on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and the Senior Credit Facility Agreement. As of December 31, 2025, we had a $1.2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up to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but are significantly down from the past two years. Additionally, commodity prices are subject to heightened levels of uncertainty related to geopolitical issues such as the ongoing war between Russia and Ukraine, conflicts in the Middle East, and U.S. intervention in Venezuela. The realized prices we receive for our production also depend on numerous factors that are typically beyond our control. Based on our sales volumes during the year ended December 31, 2025 and excluding the effects on derivatives, a $1.00 per barrel increase (decrease) in the weighted average crude oil price for the year ended December 31, 2025 would have increased (decreased) the Company’s revenues by approximately $12.9 million and a $0.10 per Mcf increase (decrease) in the weighted average natural gas price for the year ended December 31, 2025 would have increased (decreased) the Company’s revenues by approximately $1.6 million.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December 31, 2025, a $1.00 increase (decrease) in the forward curves associated with our crude oil commodity derivative instruments would have decreased (increased) our net derivative positions for these products by approximately $6.5 million. Additionally, as of December 31, 2025, a $0.10 increase (decrease) in the forward curves associated with our natural gas commodity derivative instruments would have decreased (increased) our net derivative positions for these products by approximately $1.3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9" w:name="page90"/>
    <w:bookmarkEnd w:id="89"/>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discount on asset retirement obligations, exploration and abandonment expense, non-cash stock-based compensation expense,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gains and losses, loss on extinguishment of debt, other expense, gains and losses on divestitures and certain other items. EBITDAX excludes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we believe affect the comparability of operating results and can exclude items that are generally non-recurring in nature or whose timing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amount cannot be reasonably estimated. EBITDAX is a non-GAAP measure that we believe provides useful additional information to investors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analysts, as a performance measure, for analysis of our ability to internally generate funds for exploration, development, acquisitions, and to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 addition, EBITDAX is widely used by professional research analysts and others in the valuation, comparison, and investment recommendations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 the crude oil and natural gas exploration and production industry, and many investors use the published research of industry research analysts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investment decisions. EBITDAX should not be considered in isolation or as a substitute for net income, income from operations, net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operating activities, or other profitability or liquidity measures prepared under GAAP. Because EBITDAX excludes some, but not all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affect net income and may vary among companies, the EBITDAX amounts presented may not be comparable to similar metrics of other companies.</w:t>
      </w:r>
    </w:p>
    <w:p>
      <w:pPr>
        <w:spacing w:after="0" w:line="207"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We are also subject to financial covenants under our Term Loan Credit Agreement and Senior Credit Facility Agreement based on EBITDAX ratios as further described in Note 7 of Notes to Consolidated Financial Statements included in “Item 8. Financial Statements and Supplementary Data” of this Annual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147,901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EBITDAX</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607,056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842,855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866,667</w:t>
            </w: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for inclusion in this Annual Report in accordance with GAAP. See Note 2 of Notes to Consolidated Financial Statements included in “Item 8. Financial Statements and Supplementary Data” in this Annual Report for additional information. The following is a discussion of the Company’s most critical accounting estimates, judgments and uncertainties that are inherent in the Company’s application of GAAP.</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Successful efforts method of accounting. </w:t>
      </w:r>
      <w:r>
        <w:rPr>
          <w:rFonts w:ascii="Times New Roman" w:cs="Times New Roman" w:eastAsia="Times New Roman" w:hAnsi="Times New Roman"/>
          <w:sz w:val="18"/>
          <w:szCs w:val="18"/>
          <w:color w:val="auto"/>
        </w:rPr>
        <w:t>The Company utilizes the successful efforts method of accounting for crude oil and natural gas producing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as opposed to the alternate acceptable full cost method. In general, the Company believes that net assets and net income are more conservatively measured under the successful efforts method of accounting for crude oil and natural gas producing activities than under the full cost method, particularly during periods of active exploration. The critical difference between the successful efforts method of accounting and the full cost method is that under the successful efforts method, exploratory dry holes and geological and geophysical exploration costs are charged against earnings during the periods in which they occur; whereas, under the full cost method of accounting, such costs and expenses are capitalized as assets, pooled with the costs of successful wells and charged against the earnings of future periods as a component of DD&amp;A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0" w:name="page91"/>
    <w:bookmarkEnd w:id="90"/>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Proved reserve estimates. </w:t>
      </w:r>
      <w:r>
        <w:rPr>
          <w:rFonts w:ascii="Times New Roman" w:cs="Times New Roman" w:eastAsia="Times New Roman" w:hAnsi="Times New Roman"/>
          <w:sz w:val="18"/>
          <w:szCs w:val="18"/>
          <w:color w:val="auto"/>
        </w:rPr>
        <w:t>Estimates of the Company’s proved reserves included in this Annual Report are prepared in accordance with GAAP and SEC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The accuracy of a reserve estimate is a function of:</w:t>
      </w:r>
    </w:p>
    <w:p>
      <w:pPr>
        <w:spacing w:after="0" w:line="15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quantity of available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that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various mandated economic assumptions;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persons preparing the estimate.</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proved reserve information included in this Annual Report as of December 31, 2025, 2024 and 2023 was prepared by independent petroleum engineers. Because these estimates depend on many assumptions, all of which may substantially differ from future actual results, proved reserve estimates will be different from the quantities of crude oil and natural gas that are ultimately recovered. In addition, results of drilling, testing and production after the date of an estimate may justify material revisions, positively or negatively, to the estimate of proved reserves. For the year ended December 31, 2025, net downward revisions of our proved reserves totaled approximately 11,531 Mboe, for the year ended December 31, 2024, net upward revisions of our proved reserves totaled approximately 18,017 MBoe and for the year ended December 31, 2023 net downward revisions of our proved reserves totaled approximately 16,093 MBoe. We cannot predict the amounts or timing of future reserve revisions or removals.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 should not be assumed that the standardized measure included in this Annual Report as of December 31, 2025 is the current market value of the Company’s estimated proved reserves. In accordance with SEC requirements, the Company based the 2025 standardized measure on a twelve-month average of commodity prices on the first day of each month in 2025 and prevailing costs on the date of the estimate. Actual future prices and costs may be materially higher or lower than the prices and costs utilized in the estimate. See “Items 1 and 2. Business and Properties” and Unaudited Supplementary Data included in “Item 8. Financial Statements and Supplementary Data” for additional information.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estimates of proved reserves materially impact DD&amp;A expense. If the estimates of proved reserves decline, the rate at which the Company records DD&amp;A expense will increase, reducing future net income. Such a decline may result from lower commodity prices, which may make it uneconomical to drill for and produce higher cost fields. In addition, a decline in proved reserve estimates may impact the outcome of the Company’s assessment of its proved properties for impairment.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proved crude oil and natural gas properties. </w:t>
      </w:r>
      <w:r>
        <w:rPr>
          <w:rFonts w:ascii="Times New Roman" w:cs="Times New Roman" w:eastAsia="Times New Roman" w:hAnsi="Times New Roman"/>
          <w:sz w:val="18"/>
          <w:szCs w:val="18"/>
          <w:color w:val="auto"/>
        </w:rPr>
        <w:t>The Company performs assessments of its long-lived assets to be held and used,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 Proved crude oil and natural gas properties are reviewed for impairment at the level at which depletion of proved properties is calculated. See Note 2 of Notes to Consolidated Financial Statements included in “Item 8. Financial Statements and Supplementary Data” for additional information.</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unproved crude oil and natural gas properties. </w:t>
      </w:r>
      <w:r>
        <w:rPr>
          <w:rFonts w:ascii="Times New Roman" w:cs="Times New Roman" w:eastAsia="Times New Roman" w:hAnsi="Times New Roman"/>
          <w:sz w:val="18"/>
          <w:szCs w:val="18"/>
          <w:color w:val="auto"/>
        </w:rPr>
        <w:t>At December 31, 2025, the Company carried unproved property costs of $59.3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assesses unproved crude oil and natural gas properties for impairment on a project-by-project basis. Management's impairment assessments include evaluating the results of exploration activities, management's price outlooks and planned future sales or expiration of all or a portion of such projects.</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Suspended wells. </w:t>
      </w:r>
      <w:r>
        <w:rPr>
          <w:rFonts w:ascii="Times New Roman" w:cs="Times New Roman" w:eastAsia="Times New Roman" w:hAnsi="Times New Roman"/>
          <w:sz w:val="18"/>
          <w:szCs w:val="18"/>
          <w:color w:val="auto"/>
        </w:rPr>
        <w:t>The Company suspends the costs of exploratory wells that discover hydrocarbons pending a final determination of the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of the discovery. The ultimate disposition of these well costs is dependent on the results of future drilling activity and development decisions. If the Company decides not to pursue additional appraisal activities or development of these fields, the costs of these wells will be charged to exploration and abandonment expense.</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sheets following the completion of drilling unless both of the following conditions are met:</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well has found a sufficient quantity of reserves to justify its completion as a producing well;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making sufficient progress assessing the reserves and the economic and operating viability of the project.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1" w:name="page92"/>
    <w:bookmarkEnd w:id="91"/>
    <w:p>
      <w:pPr>
        <w:ind w:right="20"/>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economics associated with making a determination of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transportation or processing facilities and/or getting partner approval to drill additional appraisal wells. These activities are ongoing and being pursued constantly. Consequently, the Company's assessment of suspended exploratory well costs is continuous until a decision can be made that the well has found sufficient quantities of proved reserves to sanction the project or is determined to be noncommercial and is impaired. See Note 6 of Notes to Consolidated Financial Statements included in "Item 8. Financial Statements and Supplementary Data" for additional information.</w:t>
      </w:r>
    </w:p>
    <w:p>
      <w:pPr>
        <w:spacing w:after="0" w:line="1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has significant obligations to remove tangible equipment and facilities and to restore the land at the end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production operations. The Company's removal and restoration obligations are primarily associated with plugging and abandoning wells. Estimating the future restoration and removal costs is difficult and requires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See Note 8 of Notes to Consolidated Financial Statements included in "Item 8. Financial Statements and Supplementary Data" for additional information.</w:t>
      </w:r>
    </w:p>
    <w:p>
      <w:pPr>
        <w:spacing w:after="0" w:line="17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tax asset valuation allowances. </w:t>
      </w:r>
      <w:r>
        <w:rPr>
          <w:rFonts w:ascii="Times New Roman" w:cs="Times New Roman" w:eastAsia="Times New Roman" w:hAnsi="Times New Roman"/>
          <w:sz w:val="18"/>
          <w:szCs w:val="18"/>
          <w:color w:val="auto"/>
        </w:rPr>
        <w:t>The Company continually assesses both positive and negative evidence to determine whether it is more likely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not that its deferred tax assets will be realized prior to their expiration. HighPeak Energy monitors Company-specific, crude oil and natural gas industry and worldwide economic factors and based on that information, along with other data, reassesses the likelihood that the Company's net operating loss carryforwards and other deferred tax attributes in each jurisdiction will be utilized prior to their expiration. There can be no assurance that facts and circumstances will not materially change and require the Company to establish deferred tax asset valuation allowances in certain jurisdictions in a future period.</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Uncertain tax positions. </w:t>
      </w: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sustained upon examination by the taxing authorities, based upon the technical merits of the position. If all or a portion of the unrecognized tax benefits is sustained upon examination by the taxing authorities, the tax benefit will be recorded as a reduction to the Company's deferred tax liability and will affect the Company's effective tax rate in the period it is recorded. As of December 2025, the Company did not have any unrecognized tax benefits. See Note 13 of Notes to Consolidated Financial Statements included in "Item 8. Financial Statements and Supplementary Data" for additional information.</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and environmental contingencies. </w:t>
      </w:r>
      <w:r>
        <w:rPr>
          <w:rFonts w:ascii="Times New Roman" w:cs="Times New Roman" w:eastAsia="Times New Roman" w:hAnsi="Times New Roman"/>
          <w:sz w:val="18"/>
          <w:szCs w:val="18"/>
          <w:color w:val="auto"/>
        </w:rPr>
        <w:t>The Company makes judgments and estimates in recording liabilities for ongoing litigation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remediation. Actual costs can vary from such estimates for a variety of reasons. The costs to settle litigation can vary from estimates based on differing interpretations of laws and opinions and assessments of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the Company determines the loss to be both probable and reasonably estimable. See Note 10 of Notes to Consolidated Financial Statements included in "Item 8. Financial Statements and Supplementary Data" for additional information.</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stock-based compensation. </w:t>
      </w:r>
      <w:r>
        <w:rPr>
          <w:rFonts w:ascii="Times New Roman" w:cs="Times New Roman" w:eastAsia="Times New Roman" w:hAnsi="Times New Roman"/>
          <w:sz w:val="18"/>
          <w:szCs w:val="18"/>
          <w:color w:val="auto"/>
        </w:rPr>
        <w:t>The Company calculates the fair value of stock-based compensation using various valuation methods.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methods require the use of estimates to derive the inputs necessary to determine fair value. The Company utilizes (i) the Black-Scholes option pricing model to measure the fair value of stock options, and (ii) the closing stock price on the date of grant for the fair value of unrestricted and restricted stock awards. See Note 9 of Notes to Consolidated Financial Statements included in "Item 8. Financial Statements and Supplementary Data" for additional information.</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other assets and liabilities at fair value. </w:t>
      </w:r>
      <w:r>
        <w:rPr>
          <w:rFonts w:ascii="Times New Roman" w:cs="Times New Roman" w:eastAsia="Times New Roman" w:hAnsi="Times New Roman"/>
          <w:sz w:val="18"/>
          <w:szCs w:val="18"/>
          <w:color w:val="auto"/>
        </w:rPr>
        <w:t>The Company periodically measures and records certain assets and liabilities at fair value.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the Company measures and records at fair value on a recurring basis include commodity derivative contracts and interest rate contracts. Other assets are not measured at fair value on an ongoing basis but are subject to fair value adjustments in certain circumstances. The assets and liabilities the Company measures and records at fair value on a nonrecurring basis include inventories, proved and unproved crude oil and natural gas properties and other long-lived assets that are written down to fair value when they are determined to be impaired or held for sale. The Company also measures and discloses certain financial assets and liabilities at fair value, such as long-term debt. The valuation methods used by the Company to measure the fair values of these assets and liabilities may require considerable management judgment and estimates to derive the inputs necessary to determine fair value estimates, such as future prices, credit-adjusted risk-free rates and current volatility factors. See Note 4 of Notes to Consolidated Financial Statements included in "Item 8. Financial Statements and Supplementary Data"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effects of new accounting pronouncements are discussed in Note 2 of Notes to Consolidated Financial Statements included in “Item 8. Financial Statements and Supplementary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Commitments and Contingencies are discussed in Note 10 of Notes to Consolidated Financial Statements included in “Item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014"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2021 through December 31, 2025,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year ended December 31, 2025 would have increased (decreased) the Company’s crude oil and NGL revenues by approximately $12.9 million, excluding the effects of derivatives, and a $0.10 per Mcf increase (decrease) in the weighted average natural gas price for the year ended December 31, 2025 would have increased (decreased) the Company’s natural gas revenues by approximately $1.6 million, excluding the effects of derivatives.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collars, swaps, puts, basis swaps and roll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for the outstanding borrowings under the Credit Agreements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forward prices based on December 31, 2025 market quotes were as follows: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2027</w:t>
            </w: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57.42</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r>
      <w:tr>
        <w:trPr>
          <w:trHeight w:val="41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forward purchase prices based on March 6, 2026 market quotes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2027</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bl>
    <w:p>
      <w:pPr>
        <w:spacing w:after="0" w:line="3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production and (ii) the risk of a counterparty's failure to meet its obligations under derivative contracts with the Company.</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At December 31, 2025, we had $1.2 billion outstanding under the Term Loan Credit Agreement and had $93.1 million of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December 31, 2025 would have resulted in an annual increase in interest expense of approximately $12.0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555"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410)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2025, 2024 and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Supplementary Data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7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86</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0" w:right="339" w:bottom="1440" w:gutter="0" w:footer="0" w:header="0"/>
        </w:sectPr>
      </w:pPr>
    </w:p>
    <w:bookmarkStart w:id="94" w:name="page95"/>
    <w:bookmarkEnd w:id="9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HighPeak Energy,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 and Internal Control Over Financial Reporting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HighPeak Energy, Inc. and its subsidiaries (the Company) as of December 31, 2025 and 2024, and the related consolidated statements of operations, changes in stockholders’ equity, and cash flows for each of the three years in the period ended December 31, 2025, and the related notes (collectively, consolidated financial statements). We also have audited the Company’s internal control over financial reporting as of December 31, 2025, based on criteria established in 2013 Internal Control – Integrated Framework issued by the Committee of Sponsoring Organizations of the Treadway Commission (“COSO”).</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COSO.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entity’s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responds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entity’s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financial statements in accordance with accounting principles generally accepted in the United States of America,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did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Estimation of proved oil and gas reserves impacting depletion expense</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utilizes the successful efforts method of accounting for its crude oil and natural gas properties. Depletion of crude oil and natural gas properties is determined using estimates of proved crude oil, NGL and natural gas reserves. There are numerous uncertainties inherent in the estimation of quantities of proved reserves and in the projection of future rates of production and the timing of development expenditures. We identified the estimation of proved reserves of oil and gas properties, due to its impact on depletion expense, as a critical audit matter.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366" w:gutter="0" w:footer="0" w:header="0"/>
        </w:sectPr>
      </w:pPr>
    </w:p>
    <w:bookmarkStart w:id="95" w:name="page96"/>
    <w:bookmarkEnd w:id="95"/>
    <w:p>
      <w:pPr>
        <w:spacing w:after="0" w:line="261"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estimation of proved oil and gas reserves is a critical audit matter is that changes in certain inputs and assumptions, which require a high degree of subjectivity necessary to estimate volumes and future revenues of the Company’s proved oil and gas reserves could have a significant impact on the measurement of depletion expense. In turn, auditing those inputs and assumptions required subjective and complex auditor judgment.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obtained an understanding of the design and implementation of management’s controls and our audit procedures related to the estimation of proved oil and gas reserves included, among others, the following:</w:t>
      </w:r>
    </w:p>
    <w:p>
      <w:pPr>
        <w:spacing w:after="0" w:line="162" w:lineRule="exact"/>
        <w:rPr>
          <w:sz w:val="20"/>
          <w:szCs w:val="20"/>
          <w:color w:val="auto"/>
        </w:rPr>
      </w:pPr>
    </w:p>
    <w:p>
      <w:pPr>
        <w:ind w:left="660" w:hanging="328"/>
        <w:spacing w:after="0" w:line="257"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level of knowledge, skill, and ability of the Company’s external reservoir engineer specialists, made inquiries of these specialists regarding the process followed and judgments made to estimate the Company’s proved oil and gas reserve volumes, and read the report prepared by the Company’s specialists.</w:t>
      </w:r>
    </w:p>
    <w:p>
      <w:pPr>
        <w:spacing w:after="0" w:line="1"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relating to management’s estimation of proved oil and gas reserves for the purpose of calculating depletion expense.</w:t>
      </w:r>
    </w:p>
    <w:p>
      <w:pPr>
        <w:ind w:left="660" w:right="32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data (both company-produced and date from external sources) and significant assumptions used by the Company’s reservoir engineering specialists to estimate the Company’s proved oil and gas reserve volumes. Specifically, our audit procedures included, among others, the following:</w:t>
      </w:r>
    </w:p>
    <w:p>
      <w:pPr>
        <w:spacing w:after="0" w:line="1" w:lineRule="exact"/>
        <w:rPr>
          <w:rFonts w:ascii="Times New Roman" w:cs="Times New Roman" w:eastAsia="Times New Roman" w:hAnsi="Times New Roman"/>
          <w:sz w:val="18"/>
          <w:szCs w:val="18"/>
          <w:color w:val="auto"/>
        </w:rPr>
      </w:pPr>
    </w:p>
    <w:p>
      <w:pPr>
        <w:ind w:left="980" w:right="120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Compared estimated future production volumes to relevant historical and current period information, as applicable; and o Assessed the reasonableness of the production volume decline curves by comparing to historical decline curve estimates.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162,075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85,242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259,897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4,477,368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3,959,545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70,868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(1,184,684)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2,930,436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2,845,729</w:t>
            </w:r>
          </w:p>
        </w:tc>
        <w:tc>
          <w:tcPr>
            <w:tcW w:w="0" w:type="dxa"/>
            <w:vAlign w:val="bottom"/>
          </w:tcPr>
          <w:p>
            <w:pPr>
              <w:spacing w:after="0"/>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19,346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3,213,714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74,011</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09"/>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284,630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1,132,807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928,384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239,636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232,398</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125,330,104 and 126,067,436</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December 31, 2025 and 2024, respectively</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1,162,007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1,166,609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432,549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435,834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1,594,569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3,213,714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3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785,977</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1,060,476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1,086,598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1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44,533</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863,359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1,117,175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1,131,131</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145,362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58,472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710,542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775,969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696,407</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149,981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337,411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426,462</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27,602</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281,771</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2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23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117,956</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123,020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3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414"/>
        </w:trPr>
        <w:tc>
          <w:tcPr>
            <w:tcW w:w="9580" w:type="dxa"/>
            <w:vAlign w:val="bottom"/>
            <w:gridSpan w:val="7"/>
          </w:tcPr>
          <w:p>
            <w:pPr>
              <w:jc w:val="center"/>
              <w:ind w:left="15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tcPr>
          <w:p>
            <w:pPr>
              <w:spacing w:after="0"/>
              <w:rPr>
                <w:sz w:val="24"/>
                <w:szCs w:val="24"/>
                <w:color w:val="auto"/>
              </w:rPr>
            </w:pPr>
          </w:p>
        </w:tc>
        <w:tc>
          <w:tcPr>
            <w:tcW w:w="1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2024 and 2025</w:t>
            </w: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1,008,896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($0.10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($0.10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in public offering</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($0.16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($0.16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95,069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435,834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($0.16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($0.16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18,963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1,162,007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432,549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1,594,569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27,300</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received (paid) on settlement of derivative instruments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15,140</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511,597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690,391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756,389</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(1,009,855)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working capital associated with oil and gas property additions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(100,802)</w:t>
            </w:r>
          </w:p>
        </w:tc>
        <w:tc>
          <w:tcPr>
            <w:tcW w:w="0" w:type="dxa"/>
            <w:vAlign w:val="bottom"/>
          </w:tcPr>
          <w:p>
            <w:pPr>
              <w:spacing w:after="0"/>
              <w:rPr>
                <w:sz w:val="1"/>
                <w:szCs w:val="1"/>
                <w:color w:val="auto"/>
              </w:rPr>
            </w:pPr>
          </w:p>
        </w:tc>
      </w:tr>
      <w:tr>
        <w:trPr>
          <w:trHeight w:val="216"/>
        </w:trPr>
        <w:tc>
          <w:tcPr>
            <w:tcW w:w="6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property additions</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(1,125,935)</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Term Loan Credit Agreement, net of discount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Senior Credit Facility Agreement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Senior Credit Facility Agreement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Premium on extinguishment of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equivalents paid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 offering costs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Prior Credit Agreement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Prior Credit Agreement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10.000% Senior Notes and 10.625% Senior Notes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(used in) by financing activities</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79,166</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(177,414)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533,557</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164,011</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86,649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30,504</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162,075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135,541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151,967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133,104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HighPeak Energy, Inc. ("HighPeak Energy" or the "Company,") is a Delaware corporation, formed in October 2019. HighPeak Energy’s common stock is listed and traded on the Nasdaq Global Market (the "Nasdaq") under the ticker symbol “HPK.”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The accompanying consolidated financial statements of the Company have been prepared in accordance with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accepted in the United States of America (“GAAP”). In the opinion of management, the consolidated financial statements include all adjustments and accruals, consisting only of normal, recurring adjustments and accruals necessary for a fair presentation of the consolidated financial statements in conformity with GAAP. The Company evaluated subsequent events after the balance sheet date of December 31, 2025, through the date of this Annual Report.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its wholly owned subsidiaries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acquisition or formation. All material intercompany balances and transactions have been eliminated. Certain reclassifications have been made to prior period amounts to conform to the current period’s presentation, specifically gathering, processing and transportation expenses, which were previously netted against NGL and natural gas sales and are now reflected as a component of total operating costs and expenses, which had no immaterial effect on the previously reported total assets, total liabilities, stockholders’ equity, results of operations or cash flows.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consolidated financial statements. </w:t>
      </w:r>
      <w:r>
        <w:rPr>
          <w:rFonts w:ascii="Times New Roman" w:cs="Times New Roman" w:eastAsia="Times New Roman" w:hAnsi="Times New Roman"/>
          <w:sz w:val="18"/>
          <w:szCs w:val="18"/>
          <w:color w:val="auto"/>
        </w:rPr>
        <w:t>Preparation of the Company's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December 31, 2025 and 2024, the Company’s accounts receivables primarily consist of amounts due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NGL and natural gas of $35.4 million and $76.0 million, respectively, and are based on estimates of sales volumes and realized prices the Company anticipates it will receive, receivables from the State of Texas of $10.0 million and zero, respectively, for a multi-year natural gas severance tax refund, joint interest receivables of $5.0 million and $4.7 million, respectively, current U.S. federal income tax receivables of $3.2 million and $3.1 million, respectively, and receivables related to settlements of derivative contracts of $1.9 million and $1.4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December 31, 2025 and 2024, the Company had no allowance for credit losses related to accounts receivable and no allowance for credit losses,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years ended December 31, 2025, 2024 and 2023, sales to the Company’s largest purchaser accounted for approximately 82%, 76% and 82%, respectively, of the Company’s total crude oil, NGL and natural gas sales revenues and sales to the Company’s second largest purchaser accounted for approximately 8%, 18% and 14%, respectively, of the Company’s total crude oil, NGL and natural gas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December 31, 2025 and 2024 is $7.6 million and $11.0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fees related to advisory services that will be deducted from eventual commissions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future transaction, if any, caliche that will be used on future locations and roads in our development areas and prepaid agency fees and software maintenance fees that will be amortized over the life of the contracts. Prepaid expenses as of December 31, 2025 and 2024 are $5.1 million and $4.6 million, respectively.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$1.3 million and $1.1 million as of December 31, 2025 and 2024,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December 31, 2025 and 2024, the Company had aid-in-construction assets totaling $15.2 million and $18.0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included in other noncurrent assets. The Company funded aid-in-construction projects during the years ended December 31, 2025, 2024 and 2023 of $71,000, $13.8 million and $1.0 million, respectively, under the contract. The Company has received and will continue to receive payments based on gross system throughput, including any third-party natural gas that is potentially tied into the Flat Top gathering system in the future. Payments received during the years ended December 31, 2025, 2024 and 2023 were approximately $2.8 million, $2.0 million and $924,000, respectively. The contract calls for future additional aid-in-construction fundings if expansions of the system are necessary as determined in the sole discretion of the Company.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December 31, 2025 and 2024 totaled approximately $230.3 million and $284.6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current maturities of long-term debt, trade accounts payable, accrued capital expenditures, revenues and royalties payable, derivative liabilities and accruals for operating and general and administrative expenses, interest expense, operating leases, dividends and dividend equivalents and other miscellaneous items.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and has capitalized a total of $8.9 million in debt issuance costs, $7.9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of which was incurred during the year ended December 31, 2025, primarily related to amendments to the Term Loan Credit Agreement and Senior Credit Facility Agreement in August 2025. In addition, the Company incurred $58,000 and $3.3 million during the years ended December 31, 2024 and 2023, respectively, primarily related to the Term Loan Credit Agreement and amendments to the Prior Credit Agreement. Amortization based on the straight-line method over the terms of the Term Loan Credit Agreement, Senior Credit Facility Agreement, Prior Credit Agreement, 10.000% Senior Notes and 10.625% Senior Notes which approximates the effective interest method was $5.9 million, $8.3 million and $11.4 million during the years ended December 31, 2025, 2024 and 2023, respectively. In addition, the Company realized a total of $64.8 million in original issue discounts on the issuances of its Term Loan Credit Agreement, 10.000% Senior Notes and 10.625% Senior Notes that were being amortized over the life of the agreements which approximates the effective interest method and was $5.7 million, $9.9 million and $15.1 million during the years ended December 31, 2025, 2024 and 2023, respectively. All unamortized debt issuance costs and discounts as of the refinancing of the Term Loan Credit Agreement in August 2025 and the termination of the Prior Credit Agreement and redemption of the 10.000% Senior Notes and 10.625% Senior Notes during September 2023 were charged to expense and included in loss on extinguishment of debt in the accompanying consolidated statements of operations. See Note 7 for more information. As of December 31, 2025 and 2024, the remaining net debt issuance costs related to the Term Loan Credit Agreement and Senior Credit Facility Agreement are netted against the outstanding long-term debt on the accompanying consolidated balance sheets.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December 31, 2025 and 2024, the Company had receivables related to contracts with purchasers of approximately $35.4 million and $76.0 million, respectively.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December 31, 2025 and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consolidated statements of operations of which there have been none to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a $16,000 benefit and a $469,000 expense related to current Texas margin tax for the years ended December 31, 2025 and 2024, respectively, in the accompanying consolidated financial statements. However, during all other years, the Company realized no current Texas margin tax as we did not owe any Texas margin tax.</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or modification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Reportable Segments. </w:t>
      </w:r>
      <w:r>
        <w:rPr>
          <w:rFonts w:ascii="Times New Roman" w:cs="Times New Roman" w:eastAsia="Times New Roman" w:hAnsi="Times New Roman"/>
          <w:sz w:val="18"/>
          <w:szCs w:val="18"/>
          <w:color w:val="auto"/>
        </w:rPr>
        <w:t>The Company is an independent energy company engaged in the exploration, development and production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President and Chief Executive Officer is the chief operating decision maker (“CODM”). To assess the performance of our assets, the CODM uses net income. We believe net income provides information useful in assessing our operating and financial performance across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net income, assets and capital expenditures for the Company’s one reporting segment for the time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863,359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1,117,175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1,131,131</w:t>
            </w:r>
          </w:p>
        </w:tc>
      </w:tr>
      <w:tr>
        <w:trPr>
          <w:trHeight w:val="216"/>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119,487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133,737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Gathering, processing and transportation expenses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19,838</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58,472</w:t>
            </w: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 workover costs</w:t>
            </w:r>
          </w:p>
        </w:tc>
        <w:tc>
          <w:tcPr>
            <w:tcW w:w="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11,625</w:t>
            </w:r>
          </w:p>
        </w:tc>
      </w:tr>
      <w:tr>
        <w:trPr>
          <w:trHeight w:val="209"/>
        </w:trPr>
        <w:tc>
          <w:tcPr>
            <w:tcW w:w="5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245,117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239,682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223,672</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 including stock-based comp</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42,555</w:t>
            </w:r>
          </w:p>
        </w:tc>
      </w:tr>
      <w:tr>
        <w:trPr>
          <w:trHeight w:val="216"/>
        </w:trPr>
        <w:tc>
          <w:tcPr>
            <w:tcW w:w="55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5"/>
                <w:szCs w:val="25"/>
                <w:color w:val="auto"/>
                <w:vertAlign w:val="superscript"/>
              </w:rPr>
              <w:t>(1)</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172,293</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r>
      <w:tr>
        <w:trPr>
          <w:trHeight w:val="216"/>
        </w:trPr>
        <w:tc>
          <w:tcPr>
            <w:tcW w:w="55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(2)</w:t>
            </w:r>
          </w:p>
        </w:tc>
        <w:tc>
          <w:tcPr>
            <w:tcW w:w="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52,701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844,396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1,022,106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915,265</w:t>
            </w:r>
          </w:p>
        </w:tc>
      </w:tr>
      <w:tr>
        <w:trPr>
          <w:trHeight w:val="210"/>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3,213,714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r>
        <w:trPr>
          <w:trHeight w:val="216"/>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costs incurred, including acquisitions</w:t>
            </w:r>
          </w:p>
        </w:tc>
        <w:tc>
          <w:tcPr>
            <w:tcW w:w="11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620,211</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1,030,163</w:t>
            </w:r>
          </w:p>
        </w:tc>
      </w:tr>
    </w:tbl>
    <w:p>
      <w:pPr>
        <w:spacing w:after="0" w:line="198" w:lineRule="exact"/>
        <w:rPr>
          <w:sz w:val="20"/>
          <w:szCs w:val="20"/>
          <w:color w:val="auto"/>
        </w:rPr>
      </w:pPr>
    </w:p>
    <w:p>
      <w:pPr>
        <w:ind w:left="660" w:hanging="328"/>
        <w:spacing w:after="0" w:line="195" w:lineRule="auto"/>
        <w:tabs>
          <w:tab w:leader="none" w:pos="66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Interest expense, net included in segment net income includes interest expense and loss on extinguishment of debt, partially offset by interest income.</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7" w:lineRule="auto"/>
        <w:tabs>
          <w:tab w:leader="none" w:pos="66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items included in segment net income are exploration and abandonment expense, accretion of discount, other expense and gains and losses on derivative instruments.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The Company adopted this update effective December 31, 2025. While the adoption of this ASU modified the Company’s disclosures, it had no impact on the Company’s consolidated balance sheets, consolidated statements of operations or consolidated statements of cash flows in its consolidated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 Disaggregation Disclosures (Topic 220): Disaggregation of Income Statement Expenses. </w:t>
      </w:r>
      <w:r>
        <w:rPr>
          <w:rFonts w:ascii="Times New Roman" w:cs="Times New Roman" w:eastAsia="Times New Roman" w:hAnsi="Times New Roman"/>
          <w:sz w:val="18"/>
          <w:szCs w:val="18"/>
          <w:color w:val="auto"/>
        </w:rPr>
        <w:t>The amendments in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disclosure in the Company’s annual and interim consolidated financial statements of specified information about certain costs and expenses, including depletion, depreciation and amortization recognized as part of crude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consolidated statements of operations or consolidated statements of cash flows in its consolidated financial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incurred $6.7 million, $14.8 million and $15.1 million, respectively, in acquisition costs primarily to acquire various undeveloped crude oil and natural gas properties largely contiguous to its Flat Top and Signal Peak operating areas primarily in Howard, Borden, Mitchell and Scurry counties.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the use of unobservable inputs. The fair value hierarchy is based on three levels of inputs, of which the first two are considered observable and the last unobservable, that may be used to measure fair value. The Company’s assessment of the significance of a particular input to the fair value measurement requires judgement and may affect the valuation of the assets and liabilities being measured and their placement within the fair value hierarchy. The Company uses appropriate valuation techniques based on available techniques based on available inputs to measure the fair value of its assets and liabilities.</w:t>
      </w:r>
    </w:p>
    <w:p>
      <w:pPr>
        <w:spacing w:after="0" w:line="187"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ind w:left="660" w:hanging="328"/>
        <w:spacing w:after="0" w:line="26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Gross</w:t>
            </w:r>
          </w:p>
        </w:tc>
      </w:tr>
      <w:tr>
        <w:trPr>
          <w:trHeight w:val="238"/>
        </w:trPr>
        <w:tc>
          <w:tcPr>
            <w:tcW w:w="5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29,574</w:t>
            </w:r>
          </w:p>
        </w:tc>
        <w:tc>
          <w:tcPr>
            <w:tcW w:w="1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r>
      <w:tr>
        <w:trPr>
          <w:trHeight w:val="210"/>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33,771</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33,771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0"/>
        </w:trPr>
        <w:tc>
          <w:tcPr>
            <w:tcW w:w="5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33,031</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33,031</w:t>
            </w: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 Gross</w:t>
            </w:r>
          </w:p>
        </w:tc>
      </w:tr>
      <w:tr>
        <w:trPr>
          <w:trHeight w:val="238"/>
        </w:trPr>
        <w:tc>
          <w:tcPr>
            <w:tcW w:w="5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r>
      <w:tr>
        <w:trPr>
          <w:trHeight w:val="20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w:t>
            </w: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costless collars, swap contracts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swaps and natural gas swap contracts.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December 31, 2025 and 2024, the Company has financial instruments consisting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derivative financial instruments, primarily swaps, costless collars, basis swaps and roll swaps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 The Company has not designated its derivative financial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780" w:type="dxa"/>
            <w:vAlign w:val="bottom"/>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51,796</w:t>
            </w: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received (paid) on settlement of derivative instruments, net</w:t>
            </w:r>
          </w:p>
        </w:tc>
        <w:tc>
          <w:tcPr>
            <w:tcW w:w="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14,084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(24,194)</w:t>
            </w:r>
          </w:p>
        </w:tc>
      </w:tr>
      <w:tr>
        <w:trPr>
          <w:trHeight w:val="209"/>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8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27,602</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Term Loan Credit Agreement and Senior Credit Facility Agreement and have been deemed acceptable credit risk. As such, collateral is not required from either the counterparties or the Company on its outstanding derivative contracts.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and NYMEX WTI roll swaps from time to time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and Argus WTI Midland crude oil derivative instruments as of December 31, 2025 and the weighted average crude oil prices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Costless</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Costless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Collar</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Collar Floor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Ceiling</w:t>
            </w: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Swap Price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Day</w:t>
            </w: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10"/>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14,350</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69.62</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12,350</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66.82</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 - Sep</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 - Sep</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9,800</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65.31</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 - Dec</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8,900</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Costless 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260" w:type="dxa"/>
            <w:vAlign w:val="bottom"/>
            <w:tcBorders>
              <w:bottom w:val="single" w:sz="8" w:color="auto"/>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3,520</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WTI Cushing</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9" w:name="page110"/>
    <w:bookmarkEnd w:id="109"/>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production derivatives. </w:t>
      </w:r>
      <w:r>
        <w:rPr>
          <w:rFonts w:ascii="Times New Roman" w:cs="Times New Roman" w:eastAsia="Times New Roman" w:hAnsi="Times New Roman"/>
          <w:sz w:val="18"/>
          <w:szCs w:val="18"/>
          <w:color w:val="auto"/>
        </w:rPr>
        <w:t>The Company sells its natural gas production at the tailgate of the gas processing plants and the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governing such natural gas production are correlated with HH natural gas prices. As such, the Company primarily uses HH derivative contracts to manage future natural gas price volatility.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outstanding HH natural gas derivative instruments as of December 31, 2025 and the weighted average natural gas prices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MMBtu for those contracts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 w:type="dxa"/>
            <w:vAlign w:val="bottom"/>
          </w:tcPr>
          <w:p>
            <w:pPr>
              <w:spacing w:after="0"/>
              <w:rPr>
                <w:sz w:val="18"/>
                <w:szCs w:val="18"/>
                <w:color w:val="auto"/>
              </w:rPr>
            </w:pPr>
          </w:p>
        </w:tc>
        <w:tc>
          <w:tcPr>
            <w:tcW w:w="12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Settlement Month</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MMBtu</w:t>
            </w:r>
          </w:p>
        </w:tc>
      </w:tr>
      <w:tr>
        <w:trPr>
          <w:trHeight w:val="209"/>
        </w:trPr>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Balance Sheet Offsetting of Derivative Assets and Liabilities. </w:t>
      </w:r>
      <w:r>
        <w:rPr>
          <w:rFonts w:ascii="Times New Roman" w:cs="Times New Roman" w:eastAsia="Times New Roman" w:hAnsi="Times New Roman"/>
          <w:sz w:val="18"/>
          <w:szCs w:val="18"/>
          <w:color w:val="auto"/>
        </w:rPr>
        <w:t>The fair value of derivative instruments is generally determined using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prices and other sources which are based upon, among other things, futures prices and time to maturity. While it is acceptable to record these fair values by netting asset and liability positions, including any deferred premiums, that are with the same counterparty and are subject to contractual terms which provide for net settlement, the Company elects to record them at the gross level showing assets and liabilities as if they were settled separately. See Note 4 – Fair Value Measurements for further details. Net derivative assets associated with the Company’s open commodity derivative instruments by counterparty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25,075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6,495</w:t>
            </w:r>
          </w:p>
        </w:tc>
      </w:tr>
      <w:tr>
        <w:trPr>
          <w:trHeight w:val="216"/>
        </w:trPr>
        <w:tc>
          <w:tcPr>
            <w:tcW w:w="9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w:t>
            </w:r>
          </w:p>
        </w:tc>
      </w:tr>
      <w:tr>
        <w:trPr>
          <w:trHeight w:val="210"/>
        </w:trPr>
        <w:tc>
          <w:tcPr>
            <w:tcW w:w="9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33,031</w:t>
            </w:r>
          </w:p>
        </w:tc>
      </w:tr>
      <w:tr>
        <w:trPr>
          <w:trHeight w:val="20"/>
        </w:trPr>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186,427</w:t>
            </w: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Additions to exploratory/extension well costs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145,679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527,502</w:t>
            </w: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Reclassification to proved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(673,041)</w:t>
            </w:r>
          </w:p>
        </w:tc>
      </w:tr>
      <w:tr>
        <w:trPr>
          <w:trHeight w:val="198"/>
        </w:trPr>
        <w:tc>
          <w:tcPr>
            <w:tcW w:w="632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Exploratory/extension well costs charged to exploration and abandonment</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63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capitalized exploratory/extension well costs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40,888</w:t>
            </w: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discounts and debt issuance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2028</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 (a)</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Discounts, net (b)</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1,192,807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1,048,384</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1,132,807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928,384</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December 31, 2025 and 2024 consisted of $8.9 million and $25.1 million, respectively, in costs less accumulated amortization of $1.7 million and $10.7 million, respectively.</w:t>
      </w:r>
    </w:p>
    <w:p>
      <w:pPr>
        <w:ind w:left="660" w:hanging="328"/>
        <w:spacing w:after="0" w:line="26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as of December 31, 2025 and 2024 consisted of zero and $30.0 million, respectively, in discounts less accumulated amortization of zero and $12.8 million, respectively.</w:t>
      </w:r>
    </w:p>
    <w:p>
      <w:pPr>
        <w:sectPr>
          <w:pgSz w:w="11900" w:h="16838" w:orient="portrait"/>
          <w:cols w:equalWidth="0" w:num="1">
            <w:col w:w="11240"/>
          </w:cols>
          <w:pgMar w:left="320" w:top="576" w:right="339" w:bottom="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in an aggregate principal amount of $1.2 billion, less a 2.5% original issue discount of $30.0 million at closing and customary debt issuance costs which totaled approximately $24.0 million. The Term Loan Credit Agreement was set to mature on September 30, 2026. On August 1, 2025, the Company entered into the First Term Loan Amendment whereby, among other things, (i) the maturity was extended to September 30, 2028, (ii) borrowings were upsized to $1.2 billion, providing additional liquidity, and (iii) the quarterly amortization payments of $30.0 million were deferred for one year such that they begin again in September 2026. As of December 31, 2025, $1.2 billion was outstanding under the Term Loan Credit Agreement. As a result of this amendment which was considered an extinguishment of debt, the Company recognized a loss on extinguishment of debt of $25.4 million consisting of (i) $11.5 million in unamortized discounts, (ii) $9.2 million in unamortized debt issuance costs and</w:t>
      </w:r>
    </w:p>
    <w:p>
      <w:pPr>
        <w:spacing w:after="0" w:line="3" w:lineRule="exact"/>
        <w:rPr>
          <w:sz w:val="20"/>
          <w:szCs w:val="20"/>
          <w:color w:val="auto"/>
        </w:rPr>
      </w:pPr>
    </w:p>
    <w:p>
      <w:pPr>
        <w:jc w:val="both"/>
        <w:ind w:firstLine="8"/>
        <w:spacing w:after="0" w:line="251"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in premiums paid to those lenders that chose to exit the Term Loan Credit Agreement upon closing of the First Term Loan Amendment. Effective as of December 30, 2025, the Company entered into the Second Term Loan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these amendments. Loans under the Term Loan Credit Agreement bear interest at a rate per annum equal to the Adjusted Term SOFR (as defined in the Term Loan Credit Agreement) plus an applicable margin of 7.50%. To the extent a payment or other event of default exists and is continuing, at the election of the Required Lenders (as defined in the Term Loan Credit Agreement), all amounts outstanding under the Term Loan Credit Agreement will bear interest at 2.00% per annum above the rate otherwise applicable thereto. The Company is able to repay any amounts borrowed prior to the maturity date without premium or penalty. The Term Loan Credit Agreement is guaranteed by the Company and certain of its subsidiaries and is secured by a first-lien second-out security interest in substantially all assets of the Company and certain of its subsidiaries, which will require the Company to comply with an asset coverage ratio of not less than 1.25:1.00 for the fiscal quarter ending June 30, 2026 and 1.50:1.00 for fiscal quarters ending thereafter and a total net leverage ratio of not greater than 2.00:1.00 for the fiscal quarter ending June 30, 2026 and fiscal quarters ending thereafter.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Credit Agreement contains customary restrictive covenants that limit the ability of the Company and its restricted subsidiaries to, among other things, incur additional indebtedness (with exceptions permitting, among other things, the incurrence of a super priority revolving credit facility, subject to a cap of $100 million), incur additional liens, make investments and loans, enter into mergers and acquisitions, make dividends and certain other payments, enter into certain hedging transactions, sell assets, engage in transactions with affiliates and make certain capital expenditures.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Term Loan Credit Agreement contains customary mandatory prepayments, in addition to quarterly scheduled amortization payments of $30.0 million referenced above, consisting of prepayments with proceeds of prohibited indebtedness and asset sales (including hedge terminations) in excess of $20.0 million in any calendar year, and prepayments with a percentage of Excess Cash Flow (as defined in the Term Loan Credit Agreement) equal to 0%, 25% or 50% based on a total net leverage ratio to the extent pro forma for any such payment, the aggregate cash and cash equivalents of the Company and its restricted subsidiaries would not be less than $100.0 million as of the date of such payment (with no such excess cash flow prepayments made as of December 31, 2025). The Term Loan Credit Agreement is subject to customary events of default, including upon the occurrence of a change in control. If an event of default occurs and is continuing, the collateral agent or the majority lenders may accelerate any amounts outstanding and terminate lender commitments.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Texas Capital, as collateral agent, Chambers, as term representative, and Mercuria Energy Trading SA, as initial first-out representative, which was later joined by Fifth Third Bank, National Association, as successor first-out representative.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first-lien obligations (including holders of “first-out” obligations and obligations under the Term Loan Credit Agreement) to receive, hold, administer and distribute proceeds of the collateral and to enforce the Security Documents. Under the terms of the Collateral Agency Agreement, proceeds of collateral are first distributed to holders of “first-out” obligations, including certain hedging and cash management obligations and obligations under the Senior Credit Facility Agreement but excluding certain “excess” first-out obligations, and second to holders of obligations under the Term Loan Credit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2" w:name="page113"/>
    <w:bookmarkEnd w:id="112"/>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together with a number of other banks and financial institutions party thereto, to establish a senior revolving credit facility (“Senior Credit Facility Agreement”). The Senior Credit Facility Agreement has aggregate maximum commitments of $100.0 million. On August 1, 2025, the Company entered into the Second Facility Amendment which, among other things, extended the maturity date to September 30, 2028, which was not considered an extinguishment of debt. As of December 31, 2025, the balance due under the Senior Credit Facility Agreement was zero.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or other event of default exists and is continuing, at the election of the Required Lenders (as defined in the Senior Credit Facility Agreement), all amounts outstanding under the Senior Credit Facility Agreement will bear interest at 2.00% per annum above the rate otherwise applicable thereto. Effective as of December 30, 2025, the Company entered into the Third Facility Amendment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these amendments. The Company is able to repay any amounts borrowed prior to the maturity date without premium or penalty. The Senior Credit Facility Agreement is guaranteed by the Company and certain of its subsidiaries and is secured by a first-lien first-out security interest in substantially all assets of the Company and certain of its subsidiaries.</w:t>
      </w:r>
    </w:p>
    <w:p>
      <w:pPr>
        <w:spacing w:after="0" w:line="1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3" w:name="page114"/>
    <w:bookmarkEnd w:id="113"/>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In December 2020, the Company entered into a credit agreement with Fifth Third as the administrative agent and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 to establish a revolving credit facility (the “Prior Credit Agreement”) that was set to mature on June 17, 2024.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4" w:name="page115"/>
    <w:bookmarkEnd w:id="1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aforementioned Term Loan Credit Agreement, the Prior Credit Agreement was terminated, all outstanding obligations for principal, interest and fees were paid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loss on extinguishment of debt during the year ended December 31, 2023.</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10.000% Senior Notes. </w:t>
      </w:r>
      <w:r>
        <w:rPr>
          <w:rFonts w:ascii="Times New Roman" w:cs="Times New Roman" w:eastAsia="Times New Roman" w:hAnsi="Times New Roman"/>
          <w:sz w:val="18"/>
          <w:szCs w:val="18"/>
          <w:color w:val="auto"/>
        </w:rPr>
        <w:t>In February 2022, the Company issued $225.0 million aggregate principal amount of its 10.000% Senior Notes due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loss on extinguishment of debt during the year ended December 31, 2023.</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10.625% Senior Notes. </w:t>
      </w:r>
      <w:r>
        <w:rPr>
          <w:rFonts w:ascii="Times New Roman" w:cs="Times New Roman" w:eastAsia="Times New Roman" w:hAnsi="Times New Roman"/>
          <w:sz w:val="18"/>
          <w:szCs w:val="18"/>
          <w:color w:val="auto"/>
        </w:rPr>
        <w:t>In November 2022 and December 2022, the Company issued $225.0 million and $25.0 million, respectively,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loss on extinguishment of debt during the year ended December 31,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5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5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209"/>
        </w:trPr>
        <w:tc>
          <w:tcPr>
            <w:tcW w:w="58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5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w:t>
            </w:r>
          </w:p>
        </w:tc>
      </w:tr>
      <w:tr>
        <w:trPr>
          <w:trHeight w:val="216"/>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divested</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Revision of estimates (a)</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58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Accretion of discount</w:t>
            </w:r>
          </w:p>
        </w:tc>
        <w:tc>
          <w:tcPr>
            <w:tcW w:w="5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right="76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revisions to the Company’s asset retirement obligation estimates are primarily due to changes in the ultimate expected useful lives of the properties.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all asset retirement obligations are considered noncurrent and classified as such in the accompanying consolidated balance sheets.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of up to four percent of the participant’s annual base salary (the “Matching Contributions”). Each participant’s account is credited with the participant’s contributions, the Matching Contributions and allocations of the 401(k) Plan’s earnings. Participants are fully vested in their account balances at their eligibility date. During the years ended December 31, 2025, 2024 and 2023, the Company contributed $341,000, $353,000 and $218,000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December 31, 2025 and 2024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16,284,491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(15,134,295)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(15,808,671)</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1,150,196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605,344</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years ended December 31, 2025, 2024 and 2023 was negative $109,000 due to certain forfeitures, $86,000 and $11.0 million, respectively, and as of December 31, 2025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In 2025, the Company approved an extension of the expiration term for certain outstanding stock options, lengthening the window to exercise those awards, and the table below reflects such extension. The expected term of the stock options granted was determined based on the simplified method of the midpoint between the vesting dates and the contractual term of the stock options. The risk-free interest rate is based on the U.S. treasury yield curve rate for the expected term of the stock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11,517,228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1,949,000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3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22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(739,168)</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12,704,894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11,495,062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44,907</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December 31,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12,704,894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10,755,894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were scheduled to vest on the three-year anniversary of such grant assuming the employees remain in his or her position as of the anniversary date. Therefore, stock-based compensation expense of $6.0 million, $7.2 million and $7.2 million was recognized during the years ended December 31, 2024, 2023 and 2022, respectively,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were scheduled to vest on November 4, 2024, assuming the employees remain in his or her position as of that date and cancelled certain contractual equity-based bonuses to such employees. Therefore, stock-based compensation expense of $5.9 million, $7.0 million and $7.3 million was recognized during the years ended December 31, 2024, 2023 and 2022, respectively,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 On September 15, 2025, the Company’s Chief Executive Officer retired and in conjunction with said retirement, the 1,385,500 shares of restricted stock issued to him vested immediately. As a result, 545,195 shares were withheld and cancelled in lieu of $3.8 million in cash taxes withheld and paid by the Company on his behalf. On December 31, 2025, the remaining 715,000 shares of restricted stock issued to certain other employees became vested. As a result, 256,989 shares were withheld and cancelled in lieu of $1.2 million in cash taxes withheld and paid by the Company on their behalf.</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64,792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3, 2025, which will vest at the next annual meeting, assuming the Board members maintain their positions on the Board. Therefore, stock-based compensation expense of $413,000 was recognized during the year ended December 31, 2025 and the remaining $295,000 will be recognized through May 2026, which was based upon the closing price of the stock on the date of the restricted stock issuance. In addition, a total of 53,879 shares of restricted stock was approved by the Board to be granted to the outside directors of the Company on June 4, 2024, which vested in June 2025. Therefore, stock-based compensation expense of $316,000 and $442,000 was recognized during the years ended December 31, 2025 and 2024, respectively, which was based upon the closing price of the stock on the date of the restricted stock issuance. Also, a total of 58,767 shares of restricted stock was approved by the Board to be granted to the outside directors of the Company on June 1, 2023, which vested in June 2024. Therefore, stock-based compensation expense of $316,000 and $442,000 was recognized during the years ended December 31, 2024 and 2023, respectively, which was based upon the closing price of the stock on the date of the restricted stock issuance. Finally, a total of 21,184 shares of restricted stock was approved by the Board to be granted to the outside directors of the Company on June 1, 2022, which vested during the second quarter of 2023. Therefore, stock-based compensation expense of $305,000 was recognized during the year ended December 31, 2023, which was based upon the closing price of the stock on the date of the restricted stock issuance.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December 31,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$957,000 included in other noncurrent assets and operating lease liabilities totaling $987,000, $845,000 of which are included in current liabilities and $142,000 of which are included in noncurrent liabilities, and as of December 31, 2024 the Company had right-of-use assets totaling $1.4 million included in other noncurrent assets and operating lease liabilities totaling $1.4 million, $719,000 of which are included in current liabilities and $670,000 of which are included in noncurrent liabilities on the accompanying consolidated balance sheets. The Company does not currently have any finance right-of-use leases. Maturities of the operating lease obligations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900" w:type="dxa"/>
            <w:vAlign w:val="bottom"/>
            <w:tcBorders>
              <w:bottom w:val="single" w:sz="8" w:color="CCEEFF"/>
            </w:tcBorders>
          </w:tcPr>
          <w:p>
            <w:pPr>
              <w:spacing w:after="0"/>
              <w:rPr>
                <w:sz w:val="20"/>
                <w:szCs w:val="20"/>
                <w:color w:val="auto"/>
              </w:rPr>
            </w:pPr>
          </w:p>
        </w:tc>
        <w:tc>
          <w:tcPr>
            <w:tcW w:w="5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7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78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5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18" w:name="page119"/>
    <w:bookmarkEnd w:id="11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September 2024, the Company entered into an amended and restated crude oil marketing contract with DK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2025, the Company has delivered approximately 31,594 Bopd under the contract. The remaining monetary commitment as of December 31, 2025, if the Company never delivers any additional volumes under the agreement, is approximately $115.9 million.</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gathering and treating agreement. </w:t>
      </w:r>
      <w:r>
        <w:rPr>
          <w:rFonts w:ascii="Times New Roman" w:cs="Times New Roman" w:eastAsia="Times New Roman" w:hAnsi="Times New Roman"/>
          <w:sz w:val="18"/>
          <w:szCs w:val="18"/>
          <w:color w:val="auto"/>
        </w:rPr>
        <w:t>In June 2024, the Company entered into a natural gas gathering and treating agreement to gather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natural gas in its Signal Peak area. Pursuant to said agreement, the Company has agreed to fund certain aid-in-construction costs totaling $21.9 million and $5.4 million during the years ended December 31, 2025 and 2024, respectively. In addition, throughout the first quarter of 2026, the Company has a remaining commitment under the contract of $5.3 million as certain milestones are attained. The agreement does not contain any minimum volume commitments.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to provide a block of electric power at an attractive variable rate,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that is cancellable at the end of the contract term.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of Jack Hightower. </w:t>
      </w:r>
      <w:r>
        <w:rPr>
          <w:rFonts w:ascii="Times New Roman" w:cs="Times New Roman" w:eastAsia="Times New Roman" w:hAnsi="Times New Roman"/>
          <w:sz w:val="18"/>
          <w:szCs w:val="18"/>
          <w:color w:val="auto"/>
        </w:rPr>
        <w:t>On September 16, 2025, the Company announced Mr. Jack Hightower’s retirement and resignation from his role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Chairman of the Board of the Company, effective as of September 15, 2025 (the “Separation Date”). In connection with Mr. Hightower’s notice of retirement and resignation from employment with the Company and his resignation from the Board, the Company entered into a Separation Agreement and General Release of Claims with Mr. Hightower on September 15, 2025 (the “Separation Agreement”), pursuant to which Mr. Hightower released the Company and its affiliates from certain liabilities and agrees to certain restrictive covenants. The Company, in turn, released Mr. Hightower from certain liabilities and provided Mr. Hightower with certain payments and benefits pursuant to the terms and conditions of the Separation Agreement, which, among other things, modified the benefits provided under Mr. Hightower’s outstanding equity awards, namely, his outstanding stock option grant notices and agreements, dated August 24, 2020, November 4, 2021, May 4, 2022, and August 15, 2022, respectively (the “Stock Option Agreements”), and his certain restricted stock agreement and the amendment thereto, dated November 4, 2021 and October 31, 2024, respectively (the “Restricted Stock Agreement”). The Separation Agreement provided for (i) Mr. Hightower’s 1,385,500 unvested shares outstanding under the Restricted Stock Agreement to fully vest as of the Separation Date; (ii) extending the period in which Mr. Hightower may exercise the stock options pursuant to the 2020 and 2021 Stock Option Agreements such that the stock options pursuant to such agreements remains exercisable by Mr. Hightower until the date that is twelve (12) months following the Separation Date; (iii) forfeiture by Mr. Hightower of the right to exercise the outstanding stock options granted pursuant to the 2022 Stock Option Agreements as of the Separation Date; (iv) a cash separation payment to Mr. Hightower in the amount of $2,400,000, payable on the Company’s next regularly scheduled payroll date after the Separation Date and (v) the registration of Mr. Hightower’s 1,532,478 founder’s shares as soon as reasonably possible following the Separation Date.</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connection with the Company’s underwritten equity offering in July 2023, certain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John Paul DeJoria Family Trust and Jack Hightower, the Company’s former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persons or entities compared with other shares sold to the public in the offering.</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Treatment. </w:t>
      </w:r>
      <w:r>
        <w:rPr>
          <w:rFonts w:ascii="Times New Roman" w:cs="Times New Roman" w:eastAsia="Times New Roman" w:hAnsi="Times New Roman"/>
          <w:sz w:val="18"/>
          <w:szCs w:val="18"/>
          <w:color w:val="auto"/>
        </w:rPr>
        <w:t>In September 2021, the Company entered into a contract with Pilot Exploration, Inc., (“Pilot”), whose President and CEO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years ended December 31, 2025, 2024 and 2023, the Company paid zero, zero and $1.5 million, respectively, to Pilot for such services. In April 2023,</w:t>
      </w:r>
    </w:p>
    <w:p>
      <w:pPr>
        <w:sectPr>
          <w:pgSz w:w="11900" w:h="16838" w:orient="portrait"/>
          <w:cols w:equalWidth="0" w:num="1">
            <w:col w:w="11240"/>
          </w:cols>
          <w:pgMar w:left="320" w:top="576" w:right="339" w:bottom="0" w:gutter="0" w:footer="0" w:header="0"/>
        </w:sectPr>
      </w:pPr>
    </w:p>
    <w:bookmarkStart w:id="119" w:name="page120"/>
    <w:bookmarkEnd w:id="119"/>
    <w:p>
      <w:pPr>
        <w:spacing w:after="0" w:line="282" w:lineRule="auto"/>
        <w:rPr>
          <w:sz w:val="20"/>
          <w:szCs w:val="20"/>
          <w:color w:val="auto"/>
        </w:rPr>
      </w:pPr>
      <w:r>
        <w:rPr>
          <w:rFonts w:ascii="Times New Roman" w:cs="Times New Roman" w:eastAsia="Times New Roman" w:hAnsi="Times New Roman"/>
          <w:sz w:val="18"/>
          <w:szCs w:val="18"/>
          <w:color w:val="auto"/>
        </w:rPr>
        <w:t>the Company terminated the contract with Pilot in exchange for $6.5 million that was charged to other expense in the accompanying consolidated statements of operations during the year ended December 31,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82%, 76% and 82% of the Company’s revenues during the years ended December 31, 2025, 2024 and 2023, respectively. In addition, Energy Transfer Crude Marketing, LLC (“ETC”) accounted for approximately 8%, 18% and 14% of the Company’s revenues during the years ended December 31, 2025, 2024 and 2023, respectively. Based on the current demand for crude oil and natural gas and the availability of other purchasers, management believes the loss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1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7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7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111</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21" w:name="page122"/>
    <w:bookmarkEnd w:id="121"/>
    <w:p>
      <w:pPr>
        <w:ind w:left="160" w:firstLine="486"/>
        <w:spacing w:after="0" w:line="282" w:lineRule="auto"/>
        <w:rPr>
          <w:sz w:val="20"/>
          <w:szCs w:val="20"/>
          <w:color w:val="auto"/>
        </w:rPr>
      </w:pPr>
      <w:r>
        <w:rPr>
          <w:rFonts w:ascii="Times New Roman" w:cs="Times New Roman" w:eastAsia="Times New Roman" w:hAnsi="Times New Roman"/>
          <w:sz w:val="18"/>
          <w:szCs w:val="18"/>
          <w:color w:val="auto"/>
        </w:rPr>
        <w:t>The income tax expense differed from the amounts computed by applying the U.S. federal income tax rate to earnings before income taxes as a result of the following (in thousands, except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10"/>
        </w:trPr>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5,495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27,493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59,172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income tax effect (1)</w:t>
            </w:r>
          </w:p>
        </w:tc>
        <w:tc>
          <w:tcPr>
            <w:tcW w:w="30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1,059</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1,955</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2,903</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Limited tax benefit due to compensation</w:t>
            </w:r>
          </w:p>
        </w:tc>
        <w:tc>
          <w:tcPr>
            <w:tcW w:w="30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369</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3,388</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3,811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162m stock compensation limitation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2,999</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256</w:t>
            </w: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7,205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35,851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65,905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660" w:right="5340" w:hanging="4"/>
        <w:spacing w:after="0" w:line="544" w:lineRule="auto"/>
        <w:tabs>
          <w:tab w:leader="none" w:pos="98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taxes in Texas make up 100% of the tax effect of this category. Income taxes were paid in the following jurisdictions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r>
      <w:tr>
        <w:trPr>
          <w:trHeight w:val="210"/>
        </w:trPr>
        <w:tc>
          <w:tcPr>
            <w:tcW w:w="9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taxes paid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9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(“OBBB”) was signed into law. The OBBB is a significant piece of tax legislation that includes provisions that restore 100% bonus depreciation under section 168(k) for certain property place in service after January 19, 2025, allow for the expensing of domestic R&amp;D expenditures beginning in 2025, and allow for the deduction of intangible drilling costs as part of the computation of the corporate alternative minimum tax beginning in 2026. The OBBB did not have a significant impact on the Company’s 2025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tax effects of temporary differences that give rise to the Company’s deferred tax assets and liabilities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94,623</w:t>
            </w:r>
          </w:p>
        </w:tc>
        <w:tc>
          <w:tcPr>
            <w:tcW w:w="100" w:type="dxa"/>
            <w:vAlign w:val="bottom"/>
          </w:tcPr>
          <w:p>
            <w:pPr>
              <w:spacing w:after="0"/>
              <w:rPr>
                <w:sz w:val="18"/>
                <w:szCs w:val="18"/>
                <w:color w:val="auto"/>
              </w:rPr>
            </w:pPr>
          </w:p>
        </w:tc>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126,349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(321,411)</w:t>
            </w: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(321,886)</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(239,636)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(232,398)</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December 31, 2025 and 2024,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$3.0 million reduction in the deferred tax asset and increased the amount of income tax expense realized during the year ended December 31, 2024.</w:t>
      </w:r>
    </w:p>
    <w:p>
      <w:pPr>
        <w:spacing w:after="0" w:line="19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The Company is also subject to Texas margin tax. The Company realized a benefit of $16,000 and an expense of $469,000 in current Texas margin tax in the accompanying consolidated financial statements for the years ended December 31, 2025 and 2024, respectively, and zero for the year ended</w:t>
      </w:r>
    </w:p>
    <w:p>
      <w:pPr>
        <w:sectPr>
          <w:pgSz w:w="11900" w:h="16838" w:orient="portrait"/>
          <w:cols w:equalWidth="0" w:num="1">
            <w:col w:w="11240"/>
          </w:cols>
          <w:pgMar w:left="320" w:top="580" w:right="339" w:bottom="0" w:gutter="0" w:footer="0" w:header="0"/>
        </w:sectPr>
      </w:pPr>
    </w:p>
    <w:bookmarkStart w:id="122" w:name="page123"/>
    <w:bookmarkEnd w:id="122"/>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2023 as the Company did not owe any Texas margin tax for 2023. The Company has recognized a net deferred Texas margin tax liability of $9.7 million and $8.6 million as of December 31, 2025 and 2024, respectively, in the accompanying consolidated balance sheets.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provision for income taxes, the Company recognized and paid an excise tax of 1% on its stock repurchases during the year ended December 31, 2024 of $351,000 recognized as part of the cost basis of the stock repurchased in the condensed consolidated statements of changes in stockholders’ equity.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NOTE 14. (Losses)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(losses)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(losses) earnings per share attributable to common stockholders is computed as (i) net (loss) income as reported, (ii) less participating basic earnings (iii) divided by weighted average basic common shares outstanding. The Company’s diluted (losses) earnings per share attributable to common stockholders is computed as (i) basic (losses)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(losses) earnings from operations and (losses) earnings attributable to common stockholders to the basic and diluted (losses) earnings used to determine the Company’s (losses) earnings per share amounts for the years ended December 31, 2025, 2024 and 2023 under the two-class method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r>
      <w:tr>
        <w:trPr>
          <w:trHeight w:val="20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(losses) earnings attributable to common stockholders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193,976</w:t>
            </w: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r>
      <w:tr>
        <w:trPr>
          <w:trHeight w:val="209"/>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income attributable to common stockholders</w:t>
            </w:r>
          </w:p>
        </w:tc>
        <w:tc>
          <w:tcPr>
            <w:tcW w:w="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194,310</w:t>
            </w:r>
          </w:p>
        </w:tc>
      </w:tr>
      <w:tr>
        <w:trPr>
          <w:trHeight w:val="20"/>
        </w:trPr>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5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117,956</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2,905</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125,330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123,020</w:t>
            </w:r>
          </w:p>
        </w:tc>
      </w:tr>
      <w:tr>
        <w:trPr>
          <w:trHeight w:val="20"/>
        </w:trPr>
        <w:tc>
          <w:tcPr>
            <w:tcW w:w="5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80" w:hanging="235"/>
        <w:spacing w:after="0" w:line="255"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expired on December 31, 2025. Purchases under the repurchase program could have been made from time to time in open market or privately negotiated transactions, and are subject to market conditions, applicable legal requirements, contractual obligations and other factors. The repurchase program did not require the Company to acquire any specific number of shares. This repurchase program has expired, but may be reimplemented by the board of directors at any time. During the years ended December 31, 2025 and 2024, the Company repurchased zero and 2,407,421, respectively, shares of common stock that were cancelled and terminated for a total of approximately zero and $35.1 million, respectively.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years ended December 31, 2025 and 2024, the Company issued 64,792 and 53,879 shares, respectively,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to outside directors and 60 and 55 shares of HighPeak Energy common stock, respectively, as a result of warrants being exercised. In July 2023, the Company issued 14,835,000 shares of its common stock in a public offering discussed below. The remaining 420,896 shares of HighPeak Energy common stock issued during the year ended December 31, 2023 were the result of warrants (350,295 shares) being exercised, the issuance of restricted stock (58,767 shares) to outside directors and stock options (11,834 shares) being exercised.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4" w:name="page125"/>
    <w:bookmarkEnd w:id="12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Offerings of Common Stock. </w:t>
      </w:r>
      <w:r>
        <w:rPr>
          <w:rFonts w:ascii="Times New Roman" w:cs="Times New Roman" w:eastAsia="Times New Roman" w:hAnsi="Times New Roman"/>
          <w:sz w:val="18"/>
          <w:szCs w:val="18"/>
          <w:color w:val="auto"/>
        </w:rPr>
        <w:t>On July 19, 2023, the Company completed the offering of 14,835,000 shares of its common stock, at a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 of $10.50 per share, pursuant to a Registration Statement on Form S-3 (File No. 333-261706) filed on December 17, 2021. The net proceeds to the Company from the offering, after deducting the underwriting discounts and commissions and other offering expenses, were approximately $150.4 million.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November 2025,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December 2025. In addition, under the terms of the LTIP, the Company paid a dividend equivalent per share to all vested stock option holders of $502,000 in December 2025. In addition, the Company accrued an additional combined $3,000 in dividends on the restricted stock issued to outside directors that will be payable upon vesting. Also, simultaneously with the vesting of restricted stock previously issued to management directors and certain employees, previously accrued $372,000 in dividends were paid on that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2025, the Board declared a quarterly dividend of $0.04 per share of common stock outstanding which resulted in a total of $5.0 million in dividends being paid in September 2025. In addition, under the terms of the LTIP, the Company paid a dividend equivalent per share to all vested stock option holders of $531,000 in September 2025. In addition, the Company accrued an additional combined $31,000 in dividends on the restricted stock issued to directors, management directors and certain employees that will be payable upon vesting. Also, simultaneously with the aforementioned retirement of our former Chief Executive Officer in September 2025, previously accrued $665,000 in dividends were paid in respect of his restricted stock vesting on that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the Board declared a quarterly dividend of $0.04 per share of common stock outstanding which resulted in a total of $5.0 million in dividends being paid in June 2025. In addition, under the terms of the LTIP, the Company paid a dividend equivalent per share to all vested stock option holders of $531,000 in June 2025. In addition, the Company accrued an additional combined $84,000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In addition, the Company accrued an additional combined $86,000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the Board declared a quarterly dividend of $0.04 per share of common stock outstanding which resulted in a total of $5.0 million in dividends being paid on December 23, 2024. In addition, under the terms of the LTIP, the Company paid a dividend equivalent per share to all vested stock option holders of $531,000 in December 2024. In addition, the Company accrued an additional combined $86,000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2024, the Board declared a quarterly dividend of $0.04 per share of common stock outstanding which resulted in a total of $5.0 million in dividends being paid on September 25, 2024. In addition, under the terms of the LTIP, the Company paid a dividend equivalent per share to all vested stock option holders of $534,000 in September 2024. In addition, the Company accrued an additional combined $86,000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the Board declared a quarterly dividend of $0.04 per share of common stock outstanding which resulted in a total of $5.0 million in dividends being paid on June 25, 2024. In addition, under the terms of the LTIP, the Company paid a dividend equivalent per share to all vested stock option holders of $538,000 in June 2024 and accrued a dividend equivalent per share to all unvested stock option holders which was payable upon vesting, assuming no forfeitures. In addition, the Company accrued an additional combined $84,000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Board declared a quarterly dividend of $0.04 per share of common stock outstanding which resulted in a total of $5.1 million in dividends being paid on March 25, 2024. In addition, under the terms of the LTIP, the Company paid a dividend equivalent per share to all vested stock option holders of $530,000 in March 2024 and accrued a dividend equivalent per share to all unvested stock option holders which was payable upon vesting, assuming no forfeitures. In addition, the Company accrued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the Board declared a quarterly dividend of $0.025 per share of common stock outstanding which resulted in a total of $3.2 million in dividends being paid on November 22, 2023. In addition, under the terms of the LTIP, the Company paid a dividend equivalent per share to all vested stock option holders of $348,000 in November 2023 and accrued a dividend equivalent per share to all unvested stock option holders which was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the Board declared a quarterly dividend of $0.025 per share of common stock outstanding which resulted in a total of $3.2 million in dividends being paid on August 25, 2023. In addition, under the terms of the LTIP, the Company paid a dividend equivalent per share to all vested stock option holders of $334,000 in August 2023 and accrued a dividend equivalent per share to all unvested stock option holders which was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Board declared a quarterly dividend of $0.025 per share of common stock outstanding which resulted in a total of $2.8 million in dividends being paid on May 25, 2023. In addition, under the terms of the LTIP, the Company paid a dividend equivalent per share to all vested stock option holders of $286,000 in May 2023 and accrued a dividend equivalent per share to all unvested stock option holders which was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Board declared a quarterly dividend of $0.025 per share of common stock outstanding which resulted in a total of $2.8 million in dividends being paid on February 24, 2023. In addition, under the terms of the LTIP, the Company paid a dividend equivalent per share to all vested stock option holders of $282,000 in February 2023 and accrued a dividend equivalent per share to all unvested stock option holders which was payable upon vesting, assuming no forfeitures. In addition, the Company accrued an additional combined $53,000 in dividends on the restricted stock issued to directors, management directors and certain employees that will be payable upon vesting.</w:t>
      </w:r>
    </w:p>
    <w:p>
      <w:pPr>
        <w:sectPr>
          <w:pgSz w:w="11900" w:h="16838" w:orient="portrait"/>
          <w:cols w:equalWidth="0" w:num="1">
            <w:col w:w="11240"/>
          </w:cols>
          <w:pgMar w:left="320" w:top="576" w:right="339" w:bottom="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6" w:name="page127"/>
    <w:bookmarkEnd w:id="12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At December 31, 2025 and 2024, the Company had 125,330,104 and 126,067,436 shares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and zero and 7,934,977 warrants outstanding, respectively, with an exercise price of $11.50 per share. All of the Company’s outstanding warrants expired on August 21,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restricted stock. </w:t>
      </w:r>
      <w:r>
        <w:rPr>
          <w:rFonts w:ascii="Times New Roman" w:cs="Times New Roman" w:eastAsia="Times New Roman" w:hAnsi="Times New Roman"/>
          <w:sz w:val="18"/>
          <w:szCs w:val="18"/>
          <w:color w:val="auto"/>
        </w:rPr>
        <w:t>In January 2026, the Company issued 1,028,000 shares of restricted stock to certain employees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will vest pro-rata over the next three years.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derivative financial instruments. </w:t>
      </w:r>
      <w:r>
        <w:rPr>
          <w:rFonts w:ascii="Times New Roman" w:cs="Times New Roman" w:eastAsia="Times New Roman" w:hAnsi="Times New Roman"/>
          <w:sz w:val="18"/>
          <w:szCs w:val="18"/>
          <w:color w:val="auto"/>
        </w:rPr>
        <w:t>Subsequent to December 31, 2025, the Company entered into the following additional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Costless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Costless</w:t>
            </w:r>
          </w:p>
        </w:tc>
      </w:t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Collar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Collar</w:t>
            </w:r>
          </w:p>
        </w:tc>
      </w:t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Floor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Ceiling</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Swap Price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Day</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Bbl</w:t>
            </w:r>
          </w:p>
        </w:tc>
      </w:tr>
      <w:tr>
        <w:trPr>
          <w:trHeight w:val="209"/>
        </w:trPr>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3,139</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0.92</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Roll Swap</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Roll Swap</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Roll Swap</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08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Basis Swap</w:t>
            </w:r>
          </w:p>
        </w:tc>
        <w:tc>
          <w:tcPr>
            <w:tcW w:w="13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derivative financial instruments. </w:t>
      </w:r>
      <w:r>
        <w:rPr>
          <w:rFonts w:ascii="Times New Roman" w:cs="Times New Roman" w:eastAsia="Times New Roman" w:hAnsi="Times New Roman"/>
          <w:sz w:val="18"/>
          <w:szCs w:val="18"/>
          <w:color w:val="auto"/>
        </w:rPr>
        <w:t>In January 2026, the Company entered into the following additional natural gas derivative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2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MMBtu</w:t>
            </w:r>
          </w:p>
        </w:tc>
      </w:tr>
      <w:tr>
        <w:trPr>
          <w:trHeight w:val="20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Supplemental Crude Oil and Natural Gas Disclosures (Unaudited)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only has one reportable operating segment, which is crude oil and natural gas development, exploration and production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Capitalized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capitalized costs of crude oil and natural gas properties and the related accumulated depletion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properties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4,477,368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3,959,545</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Unproved properties</w:t>
            </w: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59,285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70,868</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capitalized costs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4,536,653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4,030,413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depletion</w:t>
            </w: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(1,606,217)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(1,184,684)</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capitalized costs</w:t>
            </w:r>
          </w:p>
        </w:tc>
        <w:tc>
          <w:tcPr>
            <w:tcW w:w="4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2,930,436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2,845,729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2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in Crude Oil and Natural Gas Property Acquisition, Exploration and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costs incurred in crude oil and natural gas property acquisition, development and exploratory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09"/>
        </w:trPr>
        <w:tc>
          <w:tcPr>
            <w:tcW w:w="454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Proved properties</w:t>
            </w:r>
          </w:p>
        </w:tc>
        <w:tc>
          <w:tcPr>
            <w:tcW w:w="21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Unproved properties</w:t>
            </w:r>
          </w:p>
        </w:tc>
        <w:tc>
          <w:tcPr>
            <w:tcW w:w="1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11,777</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acquisition costs</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15,085</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527,502</w:t>
            </w: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366,084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442,076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481,528</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expenditures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518,487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619,143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1,024,115</w:t>
            </w: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retirement obligations, net</w:t>
            </w:r>
          </w:p>
        </w:tc>
        <w:tc>
          <w:tcPr>
            <w:tcW w:w="1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r>
      <w:tr>
        <w:trPr>
          <w:trHeight w:val="210"/>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1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522,310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620,211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1,030,163</w:t>
            </w: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Crude Oil, NGL and Natural Gas Producing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Company’s results of operations for crude oil, NGL and natural gas producing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NGL and natural gas sales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863,359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1,131,131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145,362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58,472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 on asset retirement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100,229</w:t>
            </w: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Results of operations from crude oil and natural gas production activities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141,178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295,696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377,050</w:t>
            </w: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Reserves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Proved reserves were estimated in accordance with guidelines established by the SEC, which require that reserve estimates be prepared under existing economic and operating conditions based upon the 12-month unweighted average of the first day of the month spot prices prior to the end of the reporting period. These prices as of December 31, 2025, 2024 and 2023 were $65.34, $75.48 and $78.22 per barrel for crude oil and NGL and $3.387, $2.130 and $2.637 per MMBtu for natural gas, respectively. The estimated realized prices used in computing the Company’s reserves as of December 31, 2025 were as follows: (i) $65.32 per barrel of crude oil, (ii) $3.20 per barrel of NGL, and (iii) $0.795 per Mcf of natural gas. The estimated realized prices used in computing the Company’s reserves as of December 31, 2024 were as follows: (i) $75.56 per barrel of crude oil, (ii) $20.53 per barrel of NGL, and</w:t>
      </w:r>
    </w:p>
    <w:p>
      <w:pPr>
        <w:spacing w:after="0" w:line="5" w:lineRule="exact"/>
        <w:rPr>
          <w:sz w:val="20"/>
          <w:szCs w:val="20"/>
          <w:color w:val="auto"/>
        </w:rPr>
      </w:pPr>
    </w:p>
    <w:p>
      <w:pPr>
        <w:jc w:val="both"/>
        <w:ind w:firstLine="8"/>
        <w:spacing w:after="0" w:line="255" w:lineRule="auto"/>
        <w:tabs>
          <w:tab w:leader="none" w:pos="3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$0.072 per Mcf of natural gas. The estimated realized prices used in computing the Company’s reserves as of December 31, 2023 were as follows: (i) $78.13 per barrel of crude oil, (ii) $17.33 per barrel of NGL, and (iii) $0.198 per Mcf of natural gas. All prices are net of adjustments for regional basis differentials, treating costs, transportation, gas shrinkage, gas heating value (BTU content) and/or crude quality and gravity adjustments.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proved reserve estimates as of December 31, 2025, 2024 and 2023 were prepared by Cawley, Gillespie &amp; Associates, Inc. (“CG&amp;A”), independent reserve engineers, and reflect the Company’s current development plans. All estimates of proved reserves are determined according to the rules prescribed by the SEC in existence at the time estimates were made. These rules require that the standard of “reasonable certainty” be applied to proved reserve estimates, which is defined as having a high degree of confidence that the quantities will be recovered. A high degree of confidence exists if the quantity is much more likely to be achieved than not, and, as more technical and economic data becomes available, a positive or upward revision or no revision is much more likely than a negative or downward revision. Estimates are subject to revision based upon a number of factors, including many factors beyond the Company’s control, such as reservoir performance, prices, economic conditions, and government restrictions. In addition, results of drilling, testing, and production subsequent to the date of an estimate may justify revision of that estimate.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8" w:name="page129"/>
    <w:bookmarkEnd w:id="1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Reserve estimates are often different from the quantities of crude oil and natural gas that are ultimately recovered. Estimating quantities of proved crude oil and natural gas reserves is a complex process that involves significant interpretations and assumptions and cannot be measured in an exact manner. It requires interpretations and judgment of available technical data, including the evaluation of available geological, geophysical and engineering data. The accuracy of any reserve estimate is highly dependent on the quality of available data, the accuracy of the assumptions on which they are based upon, economic factors, such as crude oil and natural gas prices, production costs, severance and excise taxes, capital expenditures, workover and remedial costs, and the assumed effects of governmental regulation. In addition, due to the lack of substantial, if any, production data, there are greater uncertainties in estimating PUD reserves, proved developed non-producing reserves and proved developed reserves that are early in their production life. As a result, the Company’s reserve estimates are inherently imprecise.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meaningfulness of reserve estimates is highly dependent on the accuracy of the assumptions on which they were based. In general, the volume of production from crude oil and natural gas properties the Company owns declines as reserves are depleted. Except to the extent the Company conducts successful exploration and development activities or acquires additional properties containing proved reserves, or both, the Company’s proved reserves will decline as reserves are produced.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changes in proved reserves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Crude Oil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NGL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(MBoe)</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Reserves on December 31, 2022</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98,816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58,638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54,137</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65,148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reserves-in-place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Reserves on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119,554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87,071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34,971</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18,017</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Reserves on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135,271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34,118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177,654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198,998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14,045</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14,052</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Proved Reserves on December 31, 2025</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114,198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30,444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175,494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173,891</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2025, the Company had approximately 173,891 MBoe of proved reserves. For the year ended December 31, 2025, extensions and discoveries increased proved reserves by 18,854 MBoe as a result of; (i) drilling 17 gross (17.0 net) exploratory/extension wells that were on production as of December 31, 2025, (ii) 14 gross (14.0 net) exploratory/extension wells that were in the final stages of completion as of December 31, 2025, and (iii) the addition of 24 gross (24.0 net) PUDs. Downward revisions of previous estimates of 26,311 MBoe for the year ended December 31, 2025 were the result of negative revisions of approximately 10,767 MBoe primarily due to technical revisions attributable to decreased well performance and adjustments to our estimates, approximately 8,970 MBoe primarily related to decreases in crude oil and NGL realized prices, 6,488 MBoe of reserves that were reclassified to unproved reserves due to changes made to our development plan and approximately 86 MBoe primarily due to increased forecasted operating expenses. In addition to the aforementioned net decrease in proved reserves was 17,628 MBoe in production during the year ended December 31, 2025. The Company also sold small interests in a few old vertical wells outside of its core area during the year ended December 31, 2025 further reducing proved reserves by 22 Mboe. The Company’s current development plan reflects allocation of capital with a focus on efficiencies, recoveries and rates of return.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2024, the Company had approximately 198,998 MBoe of proved reserves. For the year ended December 31, 2024, extensions and discoveries increased proved reserves by 45,104 MBoe as a result of; (i) drilling 18 gross (14.6 net) exploratory/extension wells that were on production as of December 31, 2024, (ii) 5 gross (5.0 net) exploratory/extension wells that were in the final stages of completion as of December 31, 2024, and (iii) the addition of 79 gross (68.9 net) PUDs. Upward revisions of previous estimates of 18,017 MBoe for the year ended December 31, 2024 were the result of positive revisions of approximately 19,406 MBoe primarily due to technical revisions attributable to increased well performance and adjustments to our estimates, partially offset by approximately 804 MBoe primarily due to increased forecasted operating expenses and approximately 585 MBoe primarily related to decreases in crude oil, NGL and natural gas realized prices. The aforementioned net increase in proved reserves was partially offset by 18,285 MBoe in production during the year ended December 31, 2024. The Company’s current development plan reflects allocation of capital with a focus on efficiencies, recoveries and rates of return.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2023, the Company had approximately 154,162 MBoe of proved reserves. For the year ended December 31, 2023, extensions and discoveries increased proved reserves by 65,148 MBoe as a result of; (i) drilling 63 gross (56.4 net) exploratory/extension wells that were on production as of December 31, 2023, (ii) 7 gross (6.6 net) exploratory/extension wells that were in the final stages of completion as of December 31, 2023, and (iii) the addition of 117 gross (102.4 net) PUDs. The Company also acquired 171 MBoe of reserves as part of its acquisition activities and divested of 1,387 MBoe of reserves in a farm out to another operator in return for a carried interest during the year ended December 31, 2023. Downward revisions of previous estimates of 16,093 MBoe for the year ended December 31, 2023 were the result of negative revisions of approximately 13,729 MBoe primarily due to technical revisions attributable to decreased well performance and adjustments to our estimates, approximately 1,775 MBoe primarily related to decreases in crude oil, NGL and natural gas realized prices and approximately 589 MBoe primarily due to increased forecasted operating expenses. The aforementioned net increase in proved reserves was partially offset by 16,635 MBoe in production during the year ended December 31, 2023. The Company’s current development plan reflects allocation of capital with a focus on efficiencies, recoveries and rates of return.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04"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estimated quantities of proved developed and proved undeveloped crude oil, NGL and natural gas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Reserves (1)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55,092</w:t>
            </w:r>
          </w:p>
        </w:tc>
        <w:tc>
          <w:tcPr>
            <w:tcW w:w="1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65,632</w:t>
            </w:r>
          </w:p>
        </w:tc>
        <w:tc>
          <w:tcPr>
            <w:tcW w:w="1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58,631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20,941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12,183</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120,566</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118,402</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52,671</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96,127</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108,119</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79,593</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Proved Undeveloped Reserves</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59,106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69,639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60,923</w:t>
            </w:r>
          </w:p>
        </w:tc>
        <w:tc>
          <w:tcPr>
            <w:tcW w:w="0" w:type="dxa"/>
            <w:vAlign w:val="bottom"/>
          </w:tcPr>
          <w:p>
            <w:pPr>
              <w:spacing w:after="0"/>
              <w:rPr>
                <w:sz w:val="1"/>
                <w:szCs w:val="1"/>
                <w:color w:val="auto"/>
              </w:rPr>
            </w:pPr>
          </w:p>
        </w:tc>
      </w:tr>
      <w:tr>
        <w:trPr>
          <w:trHeight w:val="216"/>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11,365</w:t>
            </w:r>
          </w:p>
        </w:tc>
        <w:tc>
          <w:tcPr>
            <w:tcW w:w="1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54,928</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59,252</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77,764</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Proved Reserves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114,198</w:t>
            </w:r>
          </w:p>
        </w:tc>
        <w:tc>
          <w:tcPr>
            <w:tcW w:w="1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135,271</w:t>
            </w:r>
          </w:p>
        </w:tc>
        <w:tc>
          <w:tcPr>
            <w:tcW w:w="1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119,554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30,444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34,118</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20,096</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175,494</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177,654</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87,071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173,891</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198,998</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40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2024 and 2023, proved developed reserves includes proved developed non-producing reserves of 5,554, 6,239 and 4,598 MBbl of crude oil, 1,101, 1,044 and 534 MBbl of NGL and 6,349, 5,668 and 1,889 MMcf of natural gas, respectively.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December 31, 2025, the Company’s estimated PUD reserves were approximately 77,764 MBoe, a 13,115 MBoe decrease over the reserve estimate at December 31, 2024 of 90,879 MBoe. The following table includes the changes in PUD reserves for 2025 (in MBoe):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proved undeveloped reserves on December 31, 2024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Undeveloped reserves transferred to proved developed reserves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r>
      <w:tr>
        <w:trPr>
          <w:trHeight w:val="216"/>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10,666</w:t>
            </w:r>
          </w:p>
        </w:tc>
      </w:tr>
      <w:tr>
        <w:trPr>
          <w:trHeight w:val="216"/>
        </w:trPr>
        <w:tc>
          <w:tcPr>
            <w:tcW w:w="9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Revisions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w:t>
            </w:r>
          </w:p>
        </w:tc>
      </w:tr>
      <w:tr>
        <w:trPr>
          <w:trHeight w:val="209"/>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proved undeveloped reserves on December 31, 2025</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77,764</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standardized measure of discounted future net cash flows relating from its proved crude oil, natural gas and NGL reserves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10"/>
        </w:trPr>
        <w:tc>
          <w:tcPr>
            <w:tcW w:w="53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7,696,681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10,934,170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9,706,290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(2,869,377)</w:t>
            </w: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Future development costs </w:t>
            </w:r>
            <w:r>
              <w:rPr>
                <w:rFonts w:ascii="Times New Roman" w:cs="Times New Roman" w:eastAsia="Times New Roman" w:hAnsi="Times New Roman"/>
                <w:sz w:val="25"/>
                <w:szCs w:val="25"/>
                <w:color w:val="auto"/>
                <w:vertAlign w:val="superscript"/>
              </w:rPr>
              <w:t>(1)</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(1,568,033)</w:t>
            </w: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Future income tax expense</w:t>
            </w:r>
          </w:p>
        </w:tc>
        <w:tc>
          <w:tcPr>
            <w:tcW w:w="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(680,894)</w:t>
            </w: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3,328,887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5,309,846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4,587,986</w:t>
            </w: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Discount to present value at 10% annual rate</w:t>
            </w:r>
          </w:p>
        </w:tc>
        <w:tc>
          <w:tcPr>
            <w:tcW w:w="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(2,314,849)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(1,980,282)</w:t>
            </w:r>
          </w:p>
        </w:tc>
      </w:tr>
      <w:tr>
        <w:trPr>
          <w:trHeight w:val="210"/>
        </w:trPr>
        <w:tc>
          <w:tcPr>
            <w:tcW w:w="534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Standardized measure of discounted future net cash flows </w:t>
            </w:r>
            <w:r>
              <w:rPr>
                <w:rFonts w:ascii="Times New Roman" w:cs="Times New Roman" w:eastAsia="Times New Roman" w:hAnsi="Times New Roman"/>
                <w:sz w:val="24"/>
                <w:szCs w:val="24"/>
                <w:color w:val="auto"/>
                <w:vertAlign w:val="superscript"/>
              </w:rPr>
              <w:t>(1)</w:t>
            </w:r>
          </w:p>
        </w:tc>
        <w:tc>
          <w:tcPr>
            <w:tcW w:w="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1,912,755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2,994,997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2,607,704</w:t>
            </w:r>
          </w:p>
        </w:tc>
      </w:tr>
      <w:tr>
        <w:trPr>
          <w:trHeight w:val="20"/>
        </w:trPr>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principal changes in the standardized measure of discounted future net cash flows attributable to the Company’s proved reserves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beginning of year</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2,994,997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2,607,704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3,416,508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Sales of crude oil and natural gas, net of production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(907,459)</w:t>
            </w: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Extensions and discoveries, net of future development costs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261,995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772,541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1,202,674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(1,404,147)</w:t>
            </w: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Changes in estimated future development costs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minerals-in-place</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361,064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339,873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288,117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395,656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271,112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266,579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91,820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410,455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86,720</w:t>
            </w:r>
          </w:p>
        </w:tc>
      </w:tr>
      <w:tr>
        <w:trPr>
          <w:trHeight w:val="209"/>
        </w:trPr>
        <w:tc>
          <w:tcPr>
            <w:tcW w:w="632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 xml:space="preserve">Standardized measure of discounted future net cash flows, end of year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1,912,755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2,994,997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2,607,704</w:t>
            </w: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100" w:hanging="328"/>
        <w:spacing w:after="0" w:line="219" w:lineRule="auto"/>
        <w:tabs>
          <w:tab w:leader="none" w:pos="66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standardized measure of discounted future net cash flows reflects, within the category for future development costs, all estimated future costs that will be incurred to settle our asset retirement obligations, including costs for dismantlement, restoration, and abandonment of the existing wells (including both active and inactive wells on leases and future proved undeveloped locations), in each case in compliance with FASB ASC 932-235-50-36.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580" w:right="339" w:bottom="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year covered by this Annual Report. Based on such evaluation, HighPeak Energy’s principal executive officer and principal financial officer have concluded that as of such date, its disclosure controls and procedures were effective. The Company’s disclosure controls and procedures are designed to provide reasonable assurance that the information required to be disclosed by it in reports that it files under the Exchange Act is accumulated and communicated to management, including the Company’s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internal control over financial reporting (as defined in Rule 13a-15(f) under the Exchange Act) that occurred during the three months ended December 31, 2025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Internal Control over Financial Reporting</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with the participation of our principal executive and principal financial officers, assessed the effectiveness of the Company’s internal control over financial reporting as of December 31, 2025, using the criteria in Internal Control-Integrated Framework (2013) issued by the Committee of Sponsoring Organizations of the Treadway Commission (COSO). Based on this evaluation, management believes that the Company’s internal control over financial reporting was effective as of December 31, 2025.</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Weaver and Tidwell, L.L.P., the independent registered public accounting firm that audited our consolidated financial statements included in this Annual Report, has also audited the effectiveness of our internal control over financial reporting as of December 31, 2025 and has issued an attestation report on the effectiveness of our internal control over financial reporting as of December 31, 2025. Please see their "Report of Independent Registered Public Accounting Firm" included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adopted or terminated a non-Rule 10b5-1 trading arrangement (as defined in Item 408(c) of Regulation S-K) during the quarter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Term Loan Credit Agreement</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5, 2026, the Company entered into the Second Amendment to Term Loan Credit Agreement, effective December 30, 2025,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these amendments.</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to Term Loan Credit Agreement does not purport to be complete and is qualified in its entirety by reference to the full text of the Second Amendment to Term Loan Credit Agreement, a copy of which is filed hereto as Exhibit 10.17 and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Senior Credit Facility Agreement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5, 2026, the Company entered into the Third Amendment to the Senior Credit Facility Agreement, effective December 30, 2025, whereby, among other things, (i) the Company will be required to maintain an asset coverage ratio of not less than 1.00 to 1.00 for the Fourth Quarter of 2025 and the First Quarter of 2026, representing a 0.25x decrease in the required ratio levels for such quarters, (ii) the Company will be required to maintain a total net leverage ratio of not greater than 2.50 to 1.00 for the Fourth Quarter of 2025 and the First Quarter of 2026, representing a 0.50x increase in the required ratio levels for such quarters, (iii) the Company’s hedging obligations will be increased requiring it to maintain hedging agreements with respect to 75% of its proved developed producing oil production for the period from April 1, 2026 to March 31, 2027 and 60% of its proved developed producing oil production for the period from April 1, 2027 to September 30, 2027, in each case as provided in the January 1, 2026 reserve report and (iv) the Company will be prohibited from making quarterly dividends on its common stock until September 30, 2026. For the Second Quarter of 2026 and quarterly periods ending thereafter, the required asset coverage ratio and total net leverage ratio levels will reset to the levels in effect for such quarters prior to these amendments.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Third Amendment to Senior Credit Facility Agreement does not purport to be complete and is qualified in its entirety by reference to the full text of the Third Amendment to Senior Credit Facility Agreement, a copy of which is filed hereto as Exhibit 10.18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10 will be incorporated by reference pursuant to Regulation 14A under the Exchange Act. We expect to file a definitive proxy statement with the SEC within 120 days after the close of the year ended December 31, 2025.</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principal financial and principal accounting officers, or persons performing similar functions. We have also adopted a Financial Code of Ethics that applies to our principal executive, principal financial and principal accounting officers and other senior financial officers. Our Code of Conduct and Financial Code of Ethics are posted on our website at https://ir.highpeakenergy.com on the “Governance Highlights” page under the “Corporate Governance” tab. We intend to disclose future amendments and waivers to certain provisions of the Code of Conduct and Financial Code of Ethics on our website within four business days following the date of the amendment or waiver.”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Weaver and Tidwell, L.L.P., Fort Worth, TX, PCAOB ID No. 410.</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(a)Listing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Annual Report required to be filed pursuant to Item 15(b) are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Financial Statement Schedules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either are not required, not applicable, or the information required to be presented is included in the Company’s consolidated financial statements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9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00" w:type="dxa"/>
            <w:vAlign w:val="bottom"/>
            <w:gridSpan w:val="3"/>
            <w:vMerge w:val="restart"/>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1"/>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w:t>
            </w:r>
          </w:p>
        </w:tc>
        <w:tc>
          <w:tcPr>
            <w:tcW w:w="660" w:type="dxa"/>
            <w:vAlign w:val="bottom"/>
          </w:tcPr>
          <w:p>
            <w:pPr>
              <w:spacing w:after="0"/>
              <w:rPr>
                <w:sz w:val="24"/>
                <w:szCs w:val="24"/>
                <w:color w:val="auto"/>
              </w:rPr>
            </w:pPr>
          </w:p>
        </w:tc>
        <w:tc>
          <w:tcPr>
            <w:tcW w:w="9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Second Amended and Restated Certificate of Incorporation of HighPeak Energy, Inc. (incorporated by reference to Exhibit 3.1 to the</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20" w:type="dxa"/>
            <w:vAlign w:val="bottom"/>
            <w:gridSpan w:val="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Company’s Current Report on Form 8-K (File No. 001-39464) filed with the SEC on June 2, 2023).</w:t>
              </w:r>
            </w:hyperlink>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860" w:type="dxa"/>
            <w:vAlign w:val="bottom"/>
            <w:tcBorders>
              <w:top w:val="single" w:sz="8" w:color="0000EE"/>
            </w:tcBorders>
          </w:tcPr>
          <w:p>
            <w:pPr>
              <w:jc w:val="right"/>
              <w:ind w:right="2250"/>
              <w:spacing w:after="0"/>
              <w:rPr>
                <w:sz w:val="20"/>
                <w:szCs w:val="20"/>
                <w:color w:val="auto"/>
              </w:rPr>
            </w:pPr>
            <w:r>
              <w:rPr>
                <w:rFonts w:ascii="Times New Roman" w:cs="Times New Roman" w:eastAsia="Times New Roman" w:hAnsi="Times New Roman"/>
                <w:sz w:val="18"/>
                <w:szCs w:val="18"/>
                <w:color w:val="auto"/>
              </w:rPr>
              <w:t>122</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0"/>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8-K (File No. 001-39464) filed with the SEC on November 9, 2020).</w:t>
              </w:r>
            </w:hyperlink>
          </w:p>
        </w:tc>
      </w:tr>
      <w:tr>
        <w:trPr>
          <w:trHeight w:val="20"/>
        </w:trPr>
        <w:tc>
          <w:tcPr>
            <w:tcW w:w="9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Registration Rights Agreement, dated as of August 21, 2020, by and among HighPeak Energy, Inc., HighPeak Pure Acquisition, LLC,</w:t>
              </w:r>
            </w:hyperlink>
          </w:p>
        </w:tc>
        <w:tc>
          <w:tcPr>
            <w:tcW w:w="66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HighPeak Energy, LP, HighPeak Energy II, LP, HighPeak Energy III, LP and certain other security holders named therein (incorporated by</w:t>
              </w:r>
            </w:hyperlink>
          </w:p>
        </w:tc>
        <w:tc>
          <w:tcPr>
            <w:tcW w:w="34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0"/>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reference to Exhibit 4.4 to the Company’s Current Report on Form 8-K (File No. 001-39464) filed with the SEC on August 27, 2020).</w:t>
              </w:r>
            </w:hyperlink>
          </w:p>
        </w:tc>
      </w:tr>
      <w:tr>
        <w:trPr>
          <w:trHeight w:val="20"/>
        </w:trPr>
        <w:tc>
          <w:tcPr>
            <w:tcW w:w="9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Stockholders’ Agreement, dated as of August 21, 2020, by and among HighPeak Energy, Inc., HighPeak Pure Acquisition, LLC, HighPeak</w:t>
              </w:r>
            </w:hyperlink>
          </w:p>
        </w:tc>
        <w:tc>
          <w:tcPr>
            <w:tcW w:w="30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0"/>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Energy, LP, HighPeak Energy II, LP, HighPeak Energy III, LP, Jack Hightower and certain directors of Pure Acquisition Corp. (incorporated</w:t>
              </w:r>
            </w:hyperlink>
          </w:p>
        </w:tc>
      </w:tr>
      <w:tr>
        <w:trPr>
          <w:trHeight w:val="196"/>
        </w:trPr>
        <w:tc>
          <w:tcPr>
            <w:tcW w:w="92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by reference to Exhibit 4.3 to the Company’s Current Report on Form 8-K (File No. 001-39464) filed with the SEC on August 27, 2020).</w:t>
              </w:r>
            </w:hyperlink>
          </w:p>
        </w:tc>
        <w:tc>
          <w:tcPr>
            <w:tcW w:w="22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8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Description of Securities Registered Under Section 12 of the Securities Exchange Act of 1934, as amended (incorporated by reference to</w:t>
              </w:r>
            </w:hyperlink>
          </w:p>
        </w:tc>
        <w:tc>
          <w:tcPr>
            <w:tcW w:w="440" w:type="dxa"/>
            <w:vAlign w:val="bottom"/>
            <w:gridSpan w:val="9"/>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Exhibit 4.4 of the Company's Annual Report on Form 10-K for the year ended December 31, 2020 (File No. 001-39464) filed with the SEC on</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0"/>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March 15, 2021).</w:t>
              </w:r>
            </w:hyperlink>
          </w:p>
        </w:tc>
      </w:tr>
      <w:tr>
        <w:trPr>
          <w:trHeight w:val="20"/>
        </w:trPr>
        <w:tc>
          <w:tcPr>
            <w:tcW w:w="9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20" w:type="dxa"/>
            <w:vAlign w:val="bottom"/>
            <w:gridSpan w:val="20"/>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HighPeak Energy, Inc. Second Amended and Restated Long Term Incentive Plan (incorporated by reference to Exhibit 10.2 to the Company’s</w:t>
              </w:r>
            </w:hyperlink>
          </w:p>
        </w:tc>
      </w:tr>
      <w:tr>
        <w:trPr>
          <w:trHeight w:val="196"/>
        </w:trPr>
        <w:tc>
          <w:tcPr>
            <w:tcW w:w="9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Annual Report on Form 10-K (File No. 001-39464) filed with the SEC on March 6, 2023).</w:t>
              </w:r>
            </w:hyperlink>
          </w:p>
        </w:tc>
        <w:tc>
          <w:tcPr>
            <w:tcW w:w="3700" w:type="dxa"/>
            <w:vAlign w:val="bottom"/>
            <w:tcBorders>
              <w:top w:val="single" w:sz="8" w:color="0000EE"/>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20" w:type="dxa"/>
            <w:vAlign w:val="bottom"/>
            <w:gridSpan w:val="20"/>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Stock Option Agreement (incorporated by reference to Exhibit 10.4 to the Company’s Current Report on Form 8-K (File No. 001-</w:t>
              </w:r>
            </w:hyperlink>
          </w:p>
        </w:tc>
      </w:tr>
      <w:tr>
        <w:trPr>
          <w:trHeight w:val="196"/>
        </w:trPr>
        <w:tc>
          <w:tcPr>
            <w:tcW w:w="9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39464) filed with the SEC on August 27, 2020).</w:t>
              </w:r>
            </w:hyperlink>
          </w:p>
        </w:tc>
        <w:tc>
          <w:tcPr>
            <w:tcW w:w="6500" w:type="dxa"/>
            <w:vAlign w:val="bottom"/>
            <w:tcBorders>
              <w:top w:val="single" w:sz="8" w:color="0000EE"/>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Indemnification Agreement (incorporated by reference to Exhibit 10.1 to the Company’s Current Report on Form 8-K (File No. 001-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39464) filed with the SEC on November 9, 2020).</w:t>
              </w:r>
            </w:hyperlink>
          </w:p>
        </w:tc>
        <w:tc>
          <w:tcPr>
            <w:tcW w:w="20" w:type="dxa"/>
            <w:vAlign w:val="bottom"/>
          </w:tcPr>
          <w:p>
            <w:pPr>
              <w:spacing w:after="0"/>
              <w:rPr>
                <w:sz w:val="17"/>
                <w:szCs w:val="17"/>
                <w:color w:val="auto"/>
              </w:rPr>
            </w:pPr>
          </w:p>
        </w:tc>
      </w:tr>
      <w:tr>
        <w:trPr>
          <w:trHeight w:val="453"/>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580" w:type="dxa"/>
            <w:vAlign w:val="bottom"/>
            <w:tcBorders>
              <w:top w:val="single" w:sz="8" w:color="0000EE"/>
            </w:tcBorders>
            <w:gridSpan w:val="3"/>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gridSpan w:val="38"/>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Term Loan Credit Agreement, dated September 12, 2023, by and between HighPeak Energy, Inc., as borrower, Texas Capital Bank, as</w:t>
              </w:r>
            </w:hyperlink>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administrative agent, Chambers Energy Management, LP, as collateral agent, and the lenders from time-to-time party thereto (incorporated by</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reference to Exhibit 10.1 to the Company’s Current Report on Form 8-K (File No. 001-39464) filed with the SEC on September 15, 2023).</w:t>
              </w:r>
            </w:hyperlink>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60" w:type="dxa"/>
            <w:vAlign w:val="bottom"/>
            <w:tcBorders>
              <w:top w:val="single" w:sz="8" w:color="0000EE"/>
              <w:bottom w:val="single" w:sz="8" w:color="0000EE"/>
            </w:tcBorders>
            <w:gridSpan w:val="24"/>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Collateral Agency Agreement, dated September 12, 2023, by and between HighPeak Energy, Inc., Texas Capital Bank, as collateral agent,</w:t>
              </w:r>
            </w:hyperlink>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Chambers Energy Management, LP, as term representative, and Mercuria Energy Trading SA, as first out representative (incorporated by</w:t>
              </w:r>
            </w:hyperlink>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reference to Exhibit 10.2 to the Company’s Current Report on Form 8-K (File No. 001-39464) filed with the SEC on September 15, 2023).</w:t>
              </w:r>
            </w:hyperlink>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78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Revolving Credit Agreement, dated November 1, 2023, by and between HighPeak Energy, Inc., as borrower Fifth Third Bank, National</w:t>
              </w:r>
            </w:hyperlink>
          </w:p>
        </w:tc>
        <w:tc>
          <w:tcPr>
            <w:tcW w:w="220" w:type="dxa"/>
            <w:vAlign w:val="bottom"/>
            <w:tcBorders>
              <w:top w:val="single" w:sz="8" w:color="0000EE"/>
            </w:tcBorders>
            <w:gridSpan w:val="5"/>
          </w:tcPr>
          <w:p>
            <w:pPr>
              <w:spacing w:after="0"/>
              <w:rPr>
                <w:sz w:val="24"/>
                <w:szCs w:val="24"/>
                <w:color w:val="auto"/>
              </w:rPr>
            </w:pPr>
          </w:p>
        </w:tc>
        <w:tc>
          <w:tcPr>
            <w:tcW w:w="26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Association, as administrative agent and collateral agent, and lenders party thereto (incorporated by reference to Exhibit 10.1 to the</w:t>
              </w:r>
            </w:hyperlink>
          </w:p>
        </w:tc>
      </w:tr>
      <w:tr>
        <w:trPr>
          <w:trHeight w:val="196"/>
        </w:trPr>
        <w:tc>
          <w:tcPr>
            <w:tcW w:w="980" w:type="dxa"/>
            <w:vAlign w:val="bottom"/>
          </w:tcPr>
          <w:p>
            <w:pPr>
              <w:spacing w:after="0"/>
              <w:rPr>
                <w:sz w:val="17"/>
                <w:szCs w:val="17"/>
                <w:color w:val="auto"/>
              </w:rPr>
            </w:pPr>
          </w:p>
        </w:tc>
        <w:tc>
          <w:tcPr>
            <w:tcW w:w="9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Company’s Current Report on Form 8-K (File No. 001-39464) filed with the SEC on November 6, 2023).</w:t>
              </w:r>
            </w:hyperlink>
          </w:p>
        </w:tc>
        <w:tc>
          <w:tcPr>
            <w:tcW w:w="820" w:type="dxa"/>
            <w:vAlign w:val="bottom"/>
            <w:gridSpan w:val="21"/>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First Amendment to the Senior Credit Facility Agreement, dated as of March 29, 2024, by and between HighPeak Energy, Inc., Fifth Third</w:t>
              </w:r>
            </w:hyperlink>
          </w:p>
        </w:tc>
        <w:tc>
          <w:tcPr>
            <w:tcW w:w="26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1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Bank, National Association, as administrative agent, each Guarantor party thereto and the lenders party thereto (incorporated by reference to</w:t>
              </w:r>
            </w:hyperlink>
          </w:p>
        </w:tc>
        <w:tc>
          <w:tcPr>
            <w:tcW w:w="14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Exhibit 10.1 to the Company’s Current Report on Form 8-K (File No. 001-39464) filed with the SEC on April 2, 2024).</w:t>
              </w:r>
            </w:hyperlink>
          </w:p>
        </w:tc>
        <w:tc>
          <w:tcPr>
            <w:tcW w:w="1580" w:type="dxa"/>
            <w:vAlign w:val="bottom"/>
            <w:gridSpan w:val="2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Second Amendment to Revolving Credit Agreement, dated August 1, 2025, by and among HighPeak Energy, Inc., as borrower, Fifth Third</w:t>
              </w:r>
            </w:hyperlink>
          </w:p>
        </w:tc>
        <w:tc>
          <w:tcPr>
            <w:tcW w:w="24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Bank, National Association, as administrative agent, the guarantors party thereto and the lenders party thereto (incorporated by reference to</w:t>
              </w:r>
            </w:hyperlink>
          </w:p>
        </w:tc>
        <w:tc>
          <w:tcPr>
            <w:tcW w:w="20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8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Exhibit 10.1 to the Company’s Current Report on Form 8-K (File No. 001-39464) filed with the SEC on August 4, 2025).</w:t>
              </w:r>
            </w:hyperlink>
          </w:p>
        </w:tc>
        <w:tc>
          <w:tcPr>
            <w:tcW w:w="1440" w:type="dxa"/>
            <w:vAlign w:val="bottom"/>
            <w:gridSpan w:val="2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0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Master Assignment and First Amendment to Credit Agreement, dated August 1, 2025, by and among HighPeak Energy, Inc., as borrower, the</w:t>
              </w:r>
            </w:hyperlink>
          </w:p>
        </w:tc>
        <w:tc>
          <w:tcPr>
            <w:tcW w:w="6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1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guarantors party thereto, Texas Capital Bank, as administrative agent, Chambers Energy Management, LP, as collateral agent, and the lenders</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party thereto (incorporated by reference to Exhibit 10.2 to the Company’s Current Report on Form 8-K (File No. 001-39464) filed with the</w:t>
              </w:r>
            </w:hyperlink>
          </w:p>
        </w:tc>
      </w:tr>
      <w:tr>
        <w:trPr>
          <w:trHeight w:val="196"/>
        </w:trPr>
        <w:tc>
          <w:tcPr>
            <w:tcW w:w="980" w:type="dxa"/>
            <w:vAlign w:val="bottom"/>
          </w:tcPr>
          <w:p>
            <w:pPr>
              <w:spacing w:after="0"/>
              <w:rPr>
                <w:sz w:val="17"/>
                <w:szCs w:val="17"/>
                <w:color w:val="auto"/>
              </w:rPr>
            </w:pPr>
          </w:p>
        </w:tc>
        <w:tc>
          <w:tcPr>
            <w:tcW w:w="100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SEC on August 4, 2025).</w:t>
              </w:r>
            </w:hyperlink>
          </w:p>
        </w:tc>
        <w:tc>
          <w:tcPr>
            <w:tcW w:w="26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HighPeak Energy, Inc. Change in Control Plan and Summary Plan Description (incorporated by reference to Exhibit 10.1 to the Company’s</w:t>
              </w:r>
            </w:hyperlink>
          </w:p>
        </w:tc>
        <w:tc>
          <w:tcPr>
            <w:tcW w:w="20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Current Report on Form 8-K (File No. 001-39464) filed with the SEC on September 15, 2025).</w:t>
              </w:r>
            </w:hyperlink>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4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Form of Dividend Equivalent Award Agreement (incorporated by reference to Exhibit 10.8 to the Company’s Quarterly Report on Form 10-Q</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(File No. 001-39464) filed with the SEC on August 9, 2021).</w:t>
              </w:r>
            </w:hyperlink>
          </w:p>
        </w:tc>
        <w:tc>
          <w:tcPr>
            <w:tcW w:w="5860" w:type="dxa"/>
            <w:vAlign w:val="bottom"/>
            <w:gridSpan w:val="31"/>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4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Restricted Stock Award Agreement (incorporated by reference to Exhibit 99.2 to the Company’s Registration Statement on Form S-8</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(File No. 333-249888) filed with the SEC on November 5, 2020).</w:t>
              </w:r>
            </w:hyperlink>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Amendment to Restricted Stock Agreement (incorporated by reference to Exhibit 10.10 to the Company’s Annual Report on Form</w:t>
              </w:r>
            </w:hyperlink>
          </w:p>
        </w:tc>
        <w:tc>
          <w:tcPr>
            <w:tcW w:w="22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10-K (File No. 001-39464) filed with the SEC on March 10, 2025).</w:t>
              </w:r>
            </w:hyperlink>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Cash Award Agreement (incorporated by reference to Exhibit 10.12 to the Company’s Annual Report on Form 10-K (File No. 001-</w:t>
              </w:r>
            </w:hyperlink>
          </w:p>
        </w:tc>
        <w:tc>
          <w:tcPr>
            <w:tcW w:w="160" w:type="dxa"/>
            <w:vAlign w:val="bottom"/>
            <w:gridSpan w:val="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39464) filed with the SEC on March 7, 2022).</w:t>
              </w:r>
            </w:hyperlink>
          </w:p>
        </w:tc>
        <w:tc>
          <w:tcPr>
            <w:tcW w:w="6900" w:type="dxa"/>
            <w:vAlign w:val="bottom"/>
            <w:gridSpan w:val="34"/>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60" w:type="dxa"/>
            <w:vAlign w:val="bottom"/>
            <w:gridSpan w:val="38"/>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Subscription Agreement, by and among HighPeak Energy, Inc. and the purchaser party thereto (incorporated by reference to Exhibit</w:t>
              </w:r>
            </w:hyperlink>
          </w:p>
        </w:tc>
      </w:tr>
      <w:tr>
        <w:trPr>
          <w:trHeight w:val="196"/>
        </w:trPr>
        <w:tc>
          <w:tcPr>
            <w:tcW w:w="980" w:type="dxa"/>
            <w:vAlign w:val="bottom"/>
          </w:tcPr>
          <w:p>
            <w:pPr>
              <w:spacing w:after="0"/>
              <w:rPr>
                <w:sz w:val="17"/>
                <w:szCs w:val="17"/>
                <w:color w:val="auto"/>
              </w:rPr>
            </w:pPr>
          </w:p>
        </w:tc>
        <w:tc>
          <w:tcPr>
            <w:tcW w:w="1014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 No. 001-39464) filed with the SEC on August 24, 2022).</w:t>
              </w:r>
            </w:hyperlink>
          </w:p>
        </w:tc>
        <w:tc>
          <w:tcPr>
            <w:tcW w:w="120" w:type="dxa"/>
            <w:vAlign w:val="bottom"/>
            <w:gridSpan w:val="6"/>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Separation Agreement and General Release of Claims by and between the Company and Jack Hightower, effective September 15, 2025</w:t>
              </w:r>
            </w:hyperlink>
          </w:p>
        </w:tc>
        <w:tc>
          <w:tcPr>
            <w:tcW w:w="500" w:type="dxa"/>
            <w:vAlign w:val="bottom"/>
            <w:gridSpan w:val="1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(incorporated by reference to Exhibit 10.1 to the Company’s Current Report on Form 8-K (File No. 001-39464) filed with the SEC on</w:t>
              </w:r>
            </w:hyperlink>
          </w:p>
        </w:tc>
      </w:tr>
      <w:tr>
        <w:trPr>
          <w:trHeight w:val="196"/>
        </w:trPr>
        <w:tc>
          <w:tcPr>
            <w:tcW w:w="980" w:type="dxa"/>
            <w:vAlign w:val="bottom"/>
          </w:tcPr>
          <w:p>
            <w:pPr>
              <w:spacing w:after="0"/>
              <w:rPr>
                <w:sz w:val="17"/>
                <w:szCs w:val="17"/>
                <w:color w:val="auto"/>
              </w:rPr>
            </w:pPr>
          </w:p>
        </w:tc>
        <w:tc>
          <w:tcPr>
            <w:tcW w:w="96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September 16, 2025).</w:t>
              </w:r>
            </w:hyperlink>
          </w:p>
        </w:tc>
        <w:tc>
          <w:tcPr>
            <w:tcW w:w="600" w:type="dxa"/>
            <w:vAlign w:val="bottom"/>
            <w:gridSpan w:val="20"/>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7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Second Amendment to Term Loan Credit Agreement, dated March 5, 2026, by and between HighPeak Energy, Inc., as borrower, Texas</w:t>
            </w:r>
          </w:p>
        </w:tc>
        <w:tc>
          <w:tcPr>
            <w:tcW w:w="52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Capital Bank, as administrative agent, Chambers Energy Management, LP, as collateral agent, and the lenders from time-to-time party thereto.</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980" w:type="dxa"/>
            <w:vAlign w:val="bottom"/>
            <w:tcBorders>
              <w:top w:val="single" w:sz="8" w:color="0000EE"/>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Third Amendment to the Senior Credit Facility Agreement, dated as of March 5, 2026, by and between HighPeak Energy, Inc., Fifth Third</w:t>
            </w:r>
          </w:p>
        </w:tc>
        <w:tc>
          <w:tcPr>
            <w:tcW w:w="260" w:type="dxa"/>
            <w:vAlign w:val="bottom"/>
            <w:tcBorders>
              <w:top w:val="single" w:sz="8" w:color="0000EE"/>
            </w:tcBorders>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Bank, National Association, as administrative agent, each Guarantor party thereto and the lenders party thereto.</w:t>
            </w:r>
          </w:p>
        </w:tc>
      </w:tr>
      <w:tr>
        <w:trPr>
          <w:trHeight w:val="20"/>
        </w:trPr>
        <w:tc>
          <w:tcPr>
            <w:tcW w:w="9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260" w:type="dxa"/>
            <w:vAlign w:val="bottom"/>
            <w:gridSpan w:val="38"/>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HighPeak Energy, Inc. Insider Trading Policy (incorporated by reference to Exhibit 19.1 to the Company’s Annual Report on Form 10-K (File</w:t>
              </w:r>
            </w:hyperlink>
          </w:p>
        </w:tc>
      </w:tr>
      <w:tr>
        <w:trPr>
          <w:trHeight w:val="196"/>
        </w:trPr>
        <w:tc>
          <w:tcPr>
            <w:tcW w:w="980" w:type="dxa"/>
            <w:vAlign w:val="bottom"/>
          </w:tcPr>
          <w:p>
            <w:pPr>
              <w:spacing w:after="0"/>
              <w:rPr>
                <w:sz w:val="17"/>
                <w:szCs w:val="17"/>
                <w:color w:val="auto"/>
              </w:rPr>
            </w:pPr>
          </w:p>
        </w:tc>
        <w:tc>
          <w:tcPr>
            <w:tcW w:w="1024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No. 001-39464) filed with the SEC on March 10, 2025).</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List of Subsidiaries (incorporated by reference to Exhibit 21.1 to the Company’s Annual Report on Form 10-K (File No. 001-39464) filed</w:t>
              </w:r>
            </w:hyperlink>
          </w:p>
        </w:tc>
        <w:tc>
          <w:tcPr>
            <w:tcW w:w="320" w:type="dxa"/>
            <w:vAlign w:val="bottom"/>
            <w:gridSpan w:val="1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3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with the SEC on March 6, 2024).</w:t>
              </w:r>
            </w:hyperlink>
          </w:p>
        </w:tc>
      </w:tr>
      <w:tr>
        <w:trPr>
          <w:trHeight w:val="20"/>
        </w:trPr>
        <w:tc>
          <w:tcPr>
            <w:tcW w:w="9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2020" w:type="dxa"/>
            <w:vAlign w:val="bottom"/>
            <w:gridSpan w:val="2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1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Weaver and Tidwell, L.L.P., independent registered public accounting firm for HighPeak Energy, Inc.</w:t>
            </w:r>
          </w:p>
        </w:tc>
        <w:tc>
          <w:tcPr>
            <w:tcW w:w="2120" w:type="dxa"/>
            <w:vAlign w:val="bottom"/>
            <w:gridSpan w:val="25"/>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Cawley, Gillespie &amp; Associates, Inc.</w:t>
            </w:r>
          </w:p>
        </w:tc>
        <w:tc>
          <w:tcPr>
            <w:tcW w:w="6780" w:type="dxa"/>
            <w:vAlign w:val="bottom"/>
            <w:gridSpan w:val="33"/>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 Oxley Act of 2002 (18 U.S.C. Section 7241).</w:t>
            </w:r>
          </w:p>
        </w:tc>
        <w:tc>
          <w:tcPr>
            <w:tcW w:w="4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302 of the Sarbanes Oxley Act of 2002 (18 U.S.C. Section 7241).</w:t>
            </w:r>
          </w:p>
        </w:tc>
      </w:tr>
      <w:tr>
        <w:trPr>
          <w:trHeight w:val="20"/>
        </w:trPr>
        <w:tc>
          <w:tcPr>
            <w:tcW w:w="980" w:type="dxa"/>
            <w:vAlign w:val="bottom"/>
          </w:tcPr>
          <w:p>
            <w:pPr>
              <w:spacing w:after="0" w:line="20" w:lineRule="exact"/>
              <w:rPr>
                <w:sz w:val="1"/>
                <w:szCs w:val="1"/>
                <w:color w:val="auto"/>
              </w:rPr>
            </w:pPr>
          </w:p>
        </w:tc>
        <w:tc>
          <w:tcPr>
            <w:tcW w:w="10160" w:type="dxa"/>
            <w:vAlign w:val="bottom"/>
            <w:gridSpan w:val="33"/>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906 of the Sarbanes Oxley Act of 2002 (18 U.S.C. Section 1350).</w:t>
            </w:r>
          </w:p>
        </w:tc>
      </w:tr>
      <w:tr>
        <w:trPr>
          <w:trHeight w:val="452"/>
        </w:trPr>
        <w:tc>
          <w:tcPr>
            <w:tcW w:w="980" w:type="dxa"/>
            <w:vAlign w:val="bottom"/>
          </w:tcPr>
          <w:p>
            <w:pPr>
              <w:spacing w:after="0"/>
              <w:rPr>
                <w:sz w:val="24"/>
                <w:szCs w:val="24"/>
                <w:color w:val="auto"/>
              </w:rPr>
            </w:pPr>
          </w:p>
        </w:tc>
        <w:tc>
          <w:tcPr>
            <w:tcW w:w="4840" w:type="dxa"/>
            <w:vAlign w:val="bottom"/>
            <w:tcBorders>
              <w:top w:val="single" w:sz="8" w:color="0000EE"/>
            </w:tcBorders>
            <w:gridSpan w:val="9"/>
          </w:tcPr>
          <w:p>
            <w:pPr>
              <w:ind w:left="4500"/>
              <w:spacing w:after="0"/>
              <w:rPr>
                <w:sz w:val="20"/>
                <w:szCs w:val="20"/>
                <w:color w:val="auto"/>
              </w:rPr>
            </w:pPr>
            <w:r>
              <w:rPr>
                <w:rFonts w:ascii="Times New Roman" w:cs="Times New Roman" w:eastAsia="Times New Roman" w:hAnsi="Times New Roman"/>
                <w:sz w:val="18"/>
                <w:szCs w:val="18"/>
                <w:color w:val="auto"/>
              </w:rPr>
              <w:t>124</w:t>
            </w:r>
          </w:p>
        </w:tc>
        <w:tc>
          <w:tcPr>
            <w:tcW w:w="20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42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906 of the Sarbanes Oxley Act of 2002 (18 U.S.C. Section</w:t>
            </w:r>
          </w:p>
        </w:tc>
      </w:tr>
      <w:tr>
        <w:trPr>
          <w:trHeight w:val="196"/>
        </w:trPr>
        <w:tc>
          <w:tcPr>
            <w:tcW w:w="15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1350).</w:t>
            </w:r>
          </w:p>
        </w:tc>
        <w:tc>
          <w:tcPr>
            <w:tcW w:w="4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660" w:type="dxa"/>
            <w:vAlign w:val="bottom"/>
            <w:gridSpan w:val="8"/>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High Peak Energy, Inc. Incentive-Based Compensation Recoupment Policy effective December 1, 2023 (incorporated by reference to</w:t>
              </w:r>
            </w:hyperlink>
          </w:p>
        </w:tc>
      </w:tr>
      <w:tr>
        <w:trPr>
          <w:trHeight w:val="196"/>
        </w:trPr>
        <w:tc>
          <w:tcPr>
            <w:tcW w:w="1520" w:type="dxa"/>
            <w:vAlign w:val="bottom"/>
          </w:tcPr>
          <w:p>
            <w:pPr>
              <w:spacing w:after="0"/>
              <w:rPr>
                <w:sz w:val="17"/>
                <w:szCs w:val="17"/>
                <w:color w:val="auto"/>
              </w:rPr>
            </w:pPr>
          </w:p>
        </w:tc>
        <w:tc>
          <w:tcPr>
            <w:tcW w:w="96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Exhibit 97.1 to the Company’s Annual Report on Form 10-K (File No. 001-39464) filed with the SEC on March 6, 2024).</w:t>
              </w:r>
            </w:hyperlink>
          </w:p>
        </w:tc>
        <w:tc>
          <w:tcPr>
            <w:tcW w:w="60" w:type="dxa"/>
            <w:vAlign w:val="bottom"/>
          </w:tcPr>
          <w:p>
            <w:pPr>
              <w:spacing w:after="0"/>
              <w:rPr>
                <w:sz w:val="17"/>
                <w:szCs w:val="17"/>
                <w:color w:val="auto"/>
              </w:rPr>
            </w:pPr>
          </w:p>
        </w:tc>
      </w:tr>
      <w:tr>
        <w:trPr>
          <w:trHeight w:val="4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Reserve Report of HighPeak Energy as of December 31, 2025.</w:t>
            </w:r>
          </w:p>
        </w:tc>
        <w:tc>
          <w:tcPr>
            <w:tcW w:w="4260" w:type="dxa"/>
            <w:vAlign w:val="bottom"/>
            <w:tcBorders>
              <w:top w:val="single" w:sz="8" w:color="0000EE"/>
            </w:tcBorders>
            <w:gridSpan w:val="3"/>
          </w:tcPr>
          <w:p>
            <w:pPr>
              <w:spacing w:after="0"/>
              <w:rPr>
                <w:sz w:val="24"/>
                <w:szCs w:val="24"/>
                <w:color w:val="auto"/>
              </w:rPr>
            </w:pPr>
          </w:p>
        </w:tc>
        <w:tc>
          <w:tcPr>
            <w:tcW w:w="880" w:type="dxa"/>
            <w:vAlign w:val="bottom"/>
            <w:gridSpan w:val="3"/>
          </w:tcPr>
          <w:p>
            <w:pPr>
              <w:spacing w:after="0"/>
              <w:rPr>
                <w:sz w:val="24"/>
                <w:szCs w:val="24"/>
                <w:color w:val="auto"/>
              </w:rPr>
            </w:pPr>
          </w:p>
        </w:tc>
      </w:tr>
      <w:tr>
        <w:trPr>
          <w:trHeight w:val="4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60" w:type="dxa"/>
            <w:vAlign w:val="bottom"/>
            <w:gridSpan w:val="8"/>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Reserve Report of HighPeak Energy as of December 31, 2024 (incorporated by reference to Exhibit 99.1 to the Company’s Annual</w:t>
              </w:r>
            </w:hyperlink>
          </w:p>
        </w:tc>
      </w:tr>
      <w:tr>
        <w:trPr>
          <w:trHeight w:val="196"/>
        </w:trPr>
        <w:tc>
          <w:tcPr>
            <w:tcW w:w="1520" w:type="dxa"/>
            <w:vAlign w:val="bottom"/>
          </w:tcPr>
          <w:p>
            <w:pPr>
              <w:spacing w:after="0"/>
              <w:rPr>
                <w:sz w:val="17"/>
                <w:szCs w:val="17"/>
                <w:color w:val="auto"/>
              </w:rPr>
            </w:pPr>
          </w:p>
        </w:tc>
        <w:tc>
          <w:tcPr>
            <w:tcW w:w="94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Report on Form 10-K (File No. 001-39464) filed with the SEC on March 10, 2025).</w:t>
              </w:r>
            </w:hyperlink>
          </w:p>
        </w:tc>
        <w:tc>
          <w:tcPr>
            <w:tcW w:w="220" w:type="dxa"/>
            <w:vAlign w:val="bottom"/>
            <w:gridSpan w:val="2"/>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59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r>
      <w:tr>
        <w:trPr>
          <w:trHeight w:val="41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660" w:type="dxa"/>
            <w:vAlign w:val="bottom"/>
            <w:gridSpan w:val="8"/>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Reserve Report of HighPeak Energy as of December 31, 2023 (incorporated by reference to Exhibit 99.1 to the Company’s Annual</w:t>
              </w:r>
            </w:hyperlink>
          </w:p>
        </w:tc>
      </w:tr>
      <w:tr>
        <w:trPr>
          <w:trHeight w:val="196"/>
        </w:trPr>
        <w:tc>
          <w:tcPr>
            <w:tcW w:w="152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Report on Form 10-K (File No. 001-39464) filed with the SEC on March 6, 2024).</w:t>
              </w:r>
            </w:hyperlink>
          </w:p>
        </w:tc>
        <w:tc>
          <w:tcPr>
            <w:tcW w:w="3480" w:type="dxa"/>
            <w:vAlign w:val="bottom"/>
            <w:tcBorders>
              <w:top w:val="single" w:sz="8" w:color="0000EE"/>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45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12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9580" w:firstLine="8"/>
        <w:spacing w:after="0" w:line="261" w:lineRule="auto"/>
        <w:tabs>
          <w:tab w:leader="none" w:pos="1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**Furnished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agreement.</w:t>
      </w:r>
    </w:p>
    <w:p>
      <w:pPr>
        <w:spacing w:after="0" w:line="9" w:lineRule="exact"/>
        <w:rPr>
          <w:rFonts w:ascii="Times New Roman" w:cs="Times New Roman" w:eastAsia="Times New Roman" w:hAnsi="Times New Roman"/>
          <w:sz w:val="18"/>
          <w:szCs w:val="18"/>
          <w:color w:val="auto"/>
        </w:rPr>
      </w:pPr>
    </w:p>
    <w:p>
      <w:pPr>
        <w:ind w:left="200" w:right="360" w:hanging="18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similar attachments have been omitted pursuant to Item 601(b)(2) of Regulation S-K. The Company agrees to furnish a supplemental copy of any omitted schedules or attachments to the SEC upon request.</w:t>
      </w:r>
    </w:p>
    <w:p>
      <w:pPr>
        <w:ind w:left="200" w:right="200" w:hanging="18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Regulation S-K, Item 601(b)(2), the Exhibits and Schedules to the Purchase Agreement referenced in Exhibit 2.1, Exhibit 2.2, Exhibit 2.3, Exhibit 2.4 and Exhibit 4.9, respectively, above, have not been filed. The registrant agrees to furnish supplementally a copy of any omitted Exhibit or Schedule to the SEC upon request; provided, however, that the registrant may request confidential treatment of omitted items.</w:t>
      </w:r>
    </w:p>
    <w:p>
      <w:pPr>
        <w:spacing w:after="0" w:line="1" w:lineRule="exact"/>
        <w:rPr>
          <w:rFonts w:ascii="Times New Roman" w:cs="Times New Roman" w:eastAsia="Times New Roman" w:hAnsi="Times New Roman"/>
          <w:sz w:val="18"/>
          <w:szCs w:val="18"/>
          <w:color w:val="auto"/>
        </w:rPr>
      </w:pPr>
    </w:p>
    <w:p>
      <w:pPr>
        <w:ind w:lef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certain portions of these exhibits have been omitted and include a prominent statement on the first page that certain identified information has been excluded from the exhibit because it is both (i) not material and (ii) is the type that the registrant treats as private or confidential as required by Item 601(b)(2)(ii) of Regulation S-K. Information that was omitted has been noted in the exhibit with a placeholder identified by the mark “[***]” to indicate where omissions have been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8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HIGHPEAK ENERGY, INC.</w:t>
            </w:r>
          </w:p>
        </w:tc>
        <w:tc>
          <w:tcPr>
            <w:tcW w:w="10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11, 2026</w:t>
            </w:r>
          </w:p>
        </w:tc>
        <w:tc>
          <w:tcPr>
            <w:tcW w:w="78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By:/s/ Steven Tholen</w:t>
            </w:r>
          </w:p>
        </w:tc>
        <w:tc>
          <w:tcPr>
            <w:tcW w:w="100" w:type="dxa"/>
            <w:vAlign w:val="bottom"/>
          </w:tcPr>
          <w:p>
            <w:pPr>
              <w:spacing w:after="0"/>
              <w:rPr>
                <w:sz w:val="24"/>
                <w:szCs w:val="24"/>
                <w:color w:val="auto"/>
              </w:rPr>
            </w:pPr>
          </w:p>
        </w:tc>
      </w:tr>
      <w:tr>
        <w:trPr>
          <w:trHeight w:val="191"/>
        </w:trPr>
        <w:tc>
          <w:tcPr>
            <w:tcW w:w="3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Tholen</w:t>
            </w:r>
          </w:p>
        </w:tc>
        <w:tc>
          <w:tcPr>
            <w:tcW w:w="10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11, 2026</w:t>
            </w:r>
          </w:p>
        </w:tc>
        <w:tc>
          <w:tcPr>
            <w:tcW w:w="78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By:/s/ Keith Forbes</w:t>
            </w:r>
          </w:p>
        </w:tc>
        <w:tc>
          <w:tcPr>
            <w:tcW w:w="100" w:type="dxa"/>
            <w:vAlign w:val="bottom"/>
          </w:tcPr>
          <w:p>
            <w:pPr>
              <w:spacing w:after="0"/>
              <w:rPr>
                <w:sz w:val="24"/>
                <w:szCs w:val="24"/>
                <w:color w:val="auto"/>
              </w:rPr>
            </w:pPr>
          </w:p>
        </w:tc>
      </w:tr>
      <w:tr>
        <w:trPr>
          <w:trHeight w:val="191"/>
        </w:trPr>
        <w:tc>
          <w:tcPr>
            <w:tcW w:w="3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Keith Forbes</w:t>
            </w:r>
          </w:p>
        </w:tc>
        <w:tc>
          <w:tcPr>
            <w:tcW w:w="10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w:t>
            </w:r>
          </w:p>
        </w:tc>
        <w:tc>
          <w:tcPr>
            <w:tcW w:w="100" w:type="dxa"/>
            <w:vAlign w:val="bottom"/>
          </w:tcPr>
          <w:p>
            <w:pPr>
              <w:spacing w:after="0"/>
              <w:rPr>
                <w:sz w:val="20"/>
                <w:szCs w:val="20"/>
                <w:color w:val="auto"/>
              </w:rPr>
            </w:pPr>
          </w:p>
        </w:tc>
      </w:tr>
      <w:tr>
        <w:trPr>
          <w:trHeight w:val="432"/>
        </w:trPr>
        <w:tc>
          <w:tcPr>
            <w:tcW w:w="3320" w:type="dxa"/>
            <w:vAlign w:val="bottom"/>
          </w:tcPr>
          <w:p>
            <w:pPr>
              <w:spacing w:after="0"/>
              <w:rPr>
                <w:sz w:val="24"/>
                <w:szCs w:val="24"/>
                <w:color w:val="auto"/>
              </w:rPr>
            </w:pPr>
          </w:p>
        </w:tc>
        <w:tc>
          <w:tcPr>
            <w:tcW w:w="2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8" w:name="page139"/>
    <w:bookmarkEnd w:id="13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80" w:right="339" w:bottom="1440" w:gutter="0" w:footer="0" w:header="0"/>
        </w:sectPr>
      </w:pP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MIKE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Hollis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Tholen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Forbes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JAY M.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459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M. Chernosky</w:t>
      </w:r>
    </w:p>
    <w:p>
      <w:pPr>
        <w:spacing w:after="0" w:line="220" w:lineRule="exact"/>
        <w:rPr>
          <w:sz w:val="20"/>
          <w:szCs w:val="20"/>
          <w:color w:val="auto"/>
        </w:rPr>
      </w:pPr>
    </w:p>
    <w:p>
      <w:pPr>
        <w:ind w:right="1100"/>
        <w:spacing w:after="0" w:line="297" w:lineRule="auto"/>
        <w:rPr>
          <w:sz w:val="20"/>
          <w:szCs w:val="20"/>
          <w:color w:val="auto"/>
        </w:rPr>
      </w:pPr>
      <w:r>
        <w:rPr>
          <w:rFonts w:ascii="Times New Roman" w:cs="Times New Roman" w:eastAsia="Times New Roman" w:hAnsi="Times New Roman"/>
          <w:sz w:val="18"/>
          <w:szCs w:val="18"/>
          <w:color w:val="auto"/>
        </w:rPr>
        <w:t>/s/ KEITH A. COVINGTON Keith A.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22459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29" w:lineRule="exact"/>
        <w:rPr>
          <w:sz w:val="20"/>
          <w:szCs w:val="20"/>
          <w:color w:val="auto"/>
        </w:rPr>
      </w:pPr>
    </w:p>
    <w:p>
      <w:pPr>
        <w:ind w:right="1020"/>
        <w:spacing w:after="0" w:line="329" w:lineRule="auto"/>
        <w:rPr>
          <w:sz w:val="20"/>
          <w:szCs w:val="20"/>
          <w:color w:val="auto"/>
        </w:rPr>
      </w:pPr>
      <w:r>
        <w:rPr>
          <w:rFonts w:ascii="Times New Roman" w:cs="Times New Roman" w:eastAsia="Times New Roman" w:hAnsi="Times New Roman"/>
          <w:sz w:val="17"/>
          <w:szCs w:val="17"/>
          <w:color w:val="auto"/>
        </w:rPr>
        <w:t>/s/ JASON A. EDGEWORTH Jason A. Edgeworth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2459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SHARON FULGHAM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459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Fulgham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LARRY C. OLDHAM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459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C. Oldham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459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Silver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660" w:type="dxa"/>
            <w:vAlign w:val="bottom"/>
          </w:tcPr>
          <w:p>
            <w:pPr>
              <w:spacing w:after="0"/>
              <w:rPr>
                <w:sz w:val="20"/>
                <w:szCs w:val="20"/>
                <w:color w:val="auto"/>
              </w:rPr>
            </w:pPr>
          </w:p>
        </w:tc>
        <w:tc>
          <w:tcPr>
            <w:tcW w:w="2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Date</w:t>
            </w:r>
          </w:p>
        </w:tc>
      </w:tr>
      <w:tr>
        <w:trPr>
          <w:trHeight w:val="40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w:t>
            </w: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660" w:type="dxa"/>
            <w:vAlign w:val="bottom"/>
          </w:tcPr>
          <w:p>
            <w:pPr>
              <w:spacing w:after="0"/>
              <w:rPr>
                <w:sz w:val="20"/>
                <w:szCs w:val="20"/>
                <w:color w:val="auto"/>
              </w:rPr>
            </w:pP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660" w:type="dxa"/>
            <w:vAlign w:val="bottom"/>
          </w:tcPr>
          <w:p>
            <w:pPr>
              <w:spacing w:after="0"/>
              <w:rPr>
                <w:sz w:val="24"/>
                <w:szCs w:val="24"/>
                <w:color w:val="auto"/>
              </w:rPr>
            </w:pP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(Principal Accounting Officer)</w:t>
            </w:r>
          </w:p>
        </w:tc>
        <w:tc>
          <w:tcPr>
            <w:tcW w:w="660" w:type="dxa"/>
            <w:vAlign w:val="bottom"/>
          </w:tcPr>
          <w:p>
            <w:pPr>
              <w:spacing w:after="0"/>
              <w:rPr>
                <w:sz w:val="24"/>
                <w:szCs w:val="24"/>
                <w:color w:val="auto"/>
              </w:rPr>
            </w:pPr>
          </w:p>
        </w:tc>
        <w:tc>
          <w:tcPr>
            <w:tcW w:w="2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2"/>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2"/>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2"/>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Chairman of the Board</w:t>
            </w:r>
          </w:p>
        </w:tc>
        <w:tc>
          <w:tcPr>
            <w:tcW w:w="660" w:type="dxa"/>
            <w:vAlign w:val="bottom"/>
          </w:tcPr>
          <w:p>
            <w:pPr>
              <w:spacing w:after="0"/>
              <w:rPr>
                <w:sz w:val="24"/>
                <w:szCs w:val="24"/>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1"/>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2"/>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62"/>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Director</w:t>
            </w:r>
          </w:p>
        </w:tc>
        <w:tc>
          <w:tcPr>
            <w:tcW w:w="660" w:type="dxa"/>
            <w:vAlign w:val="bottom"/>
          </w:tcPr>
          <w:p>
            <w:pPr>
              <w:spacing w:after="0"/>
              <w:rPr>
                <w:sz w:val="24"/>
                <w:szCs w:val="24"/>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11, 2026</w:t>
            </w:r>
          </w:p>
        </w:tc>
      </w:tr>
      <w:tr>
        <w:trPr>
          <w:trHeight w:val="648"/>
        </w:trPr>
        <w:tc>
          <w:tcPr>
            <w:tcW w:w="46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2">
            <w:col w:w="3200" w:space="720"/>
            <w:col w:w="7320"/>
          </w:cols>
          <w:pgMar w:left="320" w:top="580" w:right="33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AMENDMENT TO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March 5, 2026 to be effective as of the Second Amendment Effective Date (as defined in the Credit Agreement as amended by this Amendment), is by and among HIGHPEAK ENERGY, INC., a Delaware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Guarantors party hereto, TEXAS CAPITAL BANK, as administrative agent (in such capacity, “</w:t>
      </w:r>
      <w:r>
        <w:rPr>
          <w:rFonts w:ascii="Times New Roman" w:cs="Times New Roman" w:eastAsia="Times New Roman" w:hAnsi="Times New Roman"/>
          <w:sz w:val="18"/>
          <w:szCs w:val="18"/>
          <w:b w:val="1"/>
          <w:bCs w:val="1"/>
          <w:i w:val="1"/>
          <w:iCs w:val="1"/>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CHAMBERS ENERGY MANAGEMENT, LP, as collateral agent (in such capacity,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and the several banks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institutions party hereto (each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Borrower, the Administrative Agent, the Collateral Agent and certain Lenders party hereto are parties to that certain Credit Agreement, dated as of September 12, 2023 (as amended by that certain Master Assignment and First Amendment to Credit Agreement, dated as of August 1, 2025, and as may be further amended, restated, amended and restated, supplemented or otherwise modified from time to time prior to the date hereof,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Borrower has requested, subject to the terms and on the conditions hereof, that certain terms of the Credit Agreement be amended as set forth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Lenders party hereto (representing Required Lenders) hereby consent and agree in accordance with Section 9.1 of the Credit Agreement to the amendments to the Credit Agreement described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covenants and agreements set forth herein and other good and valuable consideration, the receipt and sufficiency of which are hereby acknowledged, the parties hereto hereby agree as follows:</w:t>
      </w:r>
    </w:p>
    <w:p>
      <w:pPr>
        <w:spacing w:after="0" w:line="162" w:lineRule="exact"/>
        <w:rPr>
          <w:sz w:val="20"/>
          <w:szCs w:val="20"/>
          <w:color w:val="auto"/>
        </w:rPr>
      </w:pPr>
    </w:p>
    <w:p>
      <w:pPr>
        <w:jc w:val="both"/>
        <w:ind w:firstLine="656"/>
        <w:spacing w:after="0" w:line="266" w:lineRule="auto"/>
        <w:tabs>
          <w:tab w:leader="none" w:pos="10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in this Amendment shall have the respective meanings ascribed to such terms in the Credit Agreement. The principles of interpretation set forth in Sections 1.2 and 1.3 of the Credit Agreement shall apply to the provisions of this Amendment.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xml:space="preserve">. In reliance on the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and subject to the satisfaction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each of Borrower, the Administrative Agent, the Collateral Agent and the undersigned Lenders agree to the following amendments to the Credit Agreement, each to be deemed effective as of the Second Amendment Effective Date (as defined in the Credit Agreement as amended by this Amendment):</w:t>
      </w:r>
    </w:p>
    <w:p>
      <w:pPr>
        <w:spacing w:after="0" w:line="179" w:lineRule="exact"/>
        <w:rPr>
          <w:rFonts w:ascii="Times New Roman" w:cs="Times New Roman" w:eastAsia="Times New Roman" w:hAnsi="Times New Roman"/>
          <w:sz w:val="18"/>
          <w:szCs w:val="18"/>
          <w:color w:val="auto"/>
        </w:rPr>
      </w:pPr>
    </w:p>
    <w:p>
      <w:pPr>
        <w:ind w:left="100" w:firstLine="1294"/>
        <w:spacing w:after="0" w:line="282" w:lineRule="auto"/>
        <w:tabs>
          <w:tab w:leader="none" w:pos="17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hereby amended by amending and restating the following defined terms contained therein in their entirety as follows:</w:t>
      </w:r>
    </w:p>
    <w:p>
      <w:pPr>
        <w:spacing w:after="0" w:line="158" w:lineRule="exact"/>
        <w:rPr>
          <w:sz w:val="20"/>
          <w:szCs w:val="20"/>
          <w:color w:val="auto"/>
        </w:rPr>
      </w:pPr>
    </w:p>
    <w:p>
      <w:pPr>
        <w:ind w:left="1300" w:right="1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Credit Agreement, as amended by the First Amendment, the Second Amendment and as the same may be further amended, restated, replaced, supplemented or otherwise modified from time to time.</w:t>
      </w:r>
    </w:p>
    <w:p>
      <w:pPr>
        <w:spacing w:after="0" w:line="159" w:lineRule="exact"/>
        <w:rPr>
          <w:sz w:val="20"/>
          <w:szCs w:val="20"/>
          <w:color w:val="auto"/>
        </w:rPr>
      </w:pPr>
    </w:p>
    <w:p>
      <w:pPr>
        <w:ind w:left="1800" w:hanging="406"/>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hereby amended by adding the following defined terms therein in appropriate alphabetical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order as follows:</w:t>
      </w:r>
    </w:p>
    <w:p>
      <w:pPr>
        <w:spacing w:after="0" w:line="203" w:lineRule="exact"/>
        <w:rPr>
          <w:sz w:val="20"/>
          <w:szCs w:val="20"/>
          <w:color w:val="auto"/>
        </w:rPr>
      </w:pPr>
    </w:p>
    <w:p>
      <w:pPr>
        <w:jc w:val="both"/>
        <w:ind w:left="1300" w:right="13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w:t>
      </w:r>
      <w:r>
        <w:rPr>
          <w:rFonts w:ascii="Times New Roman" w:cs="Times New Roman" w:eastAsia="Times New Roman" w:hAnsi="Times New Roman"/>
          <w:sz w:val="18"/>
          <w:szCs w:val="18"/>
          <w:color w:val="auto"/>
        </w:rPr>
        <w:t>” means that certain Second Amendment to Credit Agreement, dated as of March 5, 2026, by and among Borrower, the Administrative Agent, the Collateral Agent and the Lenders and other parties party thereto.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Effective Date</w:t>
      </w:r>
      <w:r>
        <w:rPr>
          <w:rFonts w:ascii="Times New Roman" w:cs="Times New Roman" w:eastAsia="Times New Roman" w:hAnsi="Times New Roman"/>
          <w:sz w:val="18"/>
          <w:szCs w:val="18"/>
          <w:color w:val="auto"/>
        </w:rPr>
        <w:t>” means December 30, 2025.</w:t>
      </w:r>
    </w:p>
    <w:p>
      <w:pPr>
        <w:spacing w:after="0" w:line="229" w:lineRule="exact"/>
        <w:rPr>
          <w:sz w:val="20"/>
          <w:szCs w:val="20"/>
          <w:color w:val="auto"/>
        </w:rPr>
      </w:pPr>
    </w:p>
    <w:p>
      <w:pPr>
        <w:ind w:left="660" w:hanging="386"/>
        <w:spacing w:after="0"/>
        <w:tabs>
          <w:tab w:leader="none" w:pos="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5.11 of the Credit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u w:val="single" w:color="auto"/>
          <w:color w:val="auto"/>
        </w:rPr>
        <w:t>Commodity Price Protection</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jc w:val="both"/>
        <w:ind w:left="180" w:right="199" w:firstLine="652"/>
        <w:spacing w:after="0" w:line="261" w:lineRule="auto"/>
        <w:tabs>
          <w:tab w:leader="none" w:pos="1355"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March 15, 2026, enter into, and at all times thereafter maintain, Qualified Hedging Agreements for not less than (i) 75% of the Projected Oil Production as provided in the Reserve Report dated as of January 1, 2026 for the period from April 1, 2026 to March 31, 2027 and (ii) 60% of the Projected Oil Production as provided in the Reserve Report dated as of January 1, 2026 for the period from April 1, 2027 to September 30, 2027.</w:t>
      </w:r>
    </w:p>
    <w:p>
      <w:pPr>
        <w:spacing w:after="0" w:line="179" w:lineRule="exact"/>
        <w:rPr>
          <w:rFonts w:ascii="Times New Roman" w:cs="Times New Roman" w:eastAsia="Times New Roman" w:hAnsi="Times New Roman"/>
          <w:sz w:val="18"/>
          <w:szCs w:val="18"/>
          <w:color w:val="auto"/>
        </w:rPr>
      </w:pPr>
    </w:p>
    <w:p>
      <w:pPr>
        <w:jc w:val="both"/>
        <w:ind w:left="180" w:right="199" w:firstLine="652"/>
        <w:spacing w:after="0" w:line="258" w:lineRule="auto"/>
        <w:tabs>
          <w:tab w:leader="none" w:pos="122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last day of each fiscal quarter commencing on June 30, 2026, enter into, and at all times thereafter maintain, additional Qualified Hedging Agreements such that not less than 50% of the Projected Oil Production as provided in the most recently delivered Reserve Report pursuant to Sections 5.2(c) or 5.2(d) for each quarter during the succeeding 18-month period following any date of determination is subject to Qualified Hedging Agreements.</w:t>
      </w:r>
    </w:p>
    <w:p>
      <w:pPr>
        <w:spacing w:after="0" w:line="183" w:lineRule="exact"/>
        <w:rPr>
          <w:rFonts w:ascii="Times New Roman" w:cs="Times New Roman" w:eastAsia="Times New Roman" w:hAnsi="Times New Roman"/>
          <w:sz w:val="18"/>
          <w:szCs w:val="18"/>
          <w:color w:val="auto"/>
        </w:rPr>
      </w:pPr>
    </w:p>
    <w:p>
      <w:pPr>
        <w:jc w:val="both"/>
        <w:ind w:left="180" w:right="199" w:firstLine="652"/>
        <w:spacing w:after="0" w:line="261" w:lineRule="auto"/>
        <w:tabs>
          <w:tab w:leader="none" w:pos="121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Qualified Hedging Agreements shall consist solely of (i) two-way costless collars which individually have a floor price equal to at least 90% of the NYMEX Strip Price (without adjustment for any basis differential) as of the date such new Qualified Hedging Agreement is entered into, or (ii) swaps which individually have a swap price substantially equal to the NYMEX Strip Price as of the date such new Qualified Hedging Agreement is entered into.</w:t>
      </w:r>
    </w:p>
    <w:p>
      <w:pPr>
        <w:spacing w:after="0" w:line="179" w:lineRule="exact"/>
        <w:rPr>
          <w:rFonts w:ascii="Times New Roman" w:cs="Times New Roman" w:eastAsia="Times New Roman" w:hAnsi="Times New Roman"/>
          <w:sz w:val="18"/>
          <w:szCs w:val="18"/>
          <w:color w:val="auto"/>
        </w:rPr>
      </w:pPr>
    </w:p>
    <w:p>
      <w:pPr>
        <w:ind w:left="180" w:right="199" w:firstLine="652"/>
        <w:spacing w:after="0" w:line="282" w:lineRule="auto"/>
        <w:tabs>
          <w:tab w:leader="none" w:pos="1221"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Collateral Agent a copy of each Hedging Agreement confirmation provided to any Loan Party as soon as practicable, but in any event within five Business Days after the receipt thereof.</w:t>
      </w:r>
    </w:p>
    <w:p>
      <w:pPr>
        <w:spacing w:after="0" w:line="161" w:lineRule="exact"/>
        <w:rPr>
          <w:rFonts w:ascii="Times New Roman" w:cs="Times New Roman" w:eastAsia="Times New Roman" w:hAnsi="Times New Roman"/>
          <w:sz w:val="18"/>
          <w:szCs w:val="18"/>
          <w:color w:val="auto"/>
        </w:rPr>
      </w:pPr>
    </w:p>
    <w:p>
      <w:pPr>
        <w:ind w:left="600" w:hanging="398"/>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 of the Credit Agreement is hereby amended and restated in its entirety as follows:</w:t>
      </w:r>
    </w:p>
    <w:p>
      <w:pPr>
        <w:spacing w:after="0" w:line="225" w:lineRule="exact"/>
        <w:rPr>
          <w:sz w:val="20"/>
          <w:szCs w:val="20"/>
          <w:color w:val="auto"/>
        </w:rPr>
      </w:pPr>
    </w:p>
    <w:p>
      <w:pPr>
        <w:ind w:left="840"/>
        <w:spacing w:after="0"/>
        <w:tabs>
          <w:tab w:leader="none" w:pos="14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 Permit, as of the last day of any fiscal quarter of Borrower:</w:t>
      </w:r>
    </w:p>
    <w:p>
      <w:pPr>
        <w:spacing w:after="0" w:line="225" w:lineRule="exact"/>
        <w:rPr>
          <w:sz w:val="20"/>
          <w:szCs w:val="20"/>
          <w:color w:val="auto"/>
        </w:rPr>
      </w:pPr>
    </w:p>
    <w:p>
      <w:pPr>
        <w:jc w:val="both"/>
        <w:ind w:left="180" w:right="199" w:firstLine="652"/>
        <w:spacing w:after="0" w:line="266" w:lineRule="auto"/>
        <w:tabs>
          <w:tab w:leader="none" w:pos="12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to be less than (i) for the fiscal quarters ending December 31, 2025 and March 31, 2026, 1.00 to 1.00; (ii) for the fiscal quarter ending June 30, 2026, 1.25 to 1.00; and (iii) beginning with the fiscal quarter ending September 30, 2026 and for each fiscal quarter thereafter, 1.50 to 1.00; or</w:t>
      </w:r>
    </w:p>
    <w:p>
      <w:pPr>
        <w:spacing w:after="0" w:line="175" w:lineRule="exact"/>
        <w:rPr>
          <w:rFonts w:ascii="Times New Roman" w:cs="Times New Roman" w:eastAsia="Times New Roman" w:hAnsi="Times New Roman"/>
          <w:sz w:val="18"/>
          <w:szCs w:val="18"/>
          <w:color w:val="auto"/>
        </w:rPr>
      </w:pPr>
    </w:p>
    <w:p>
      <w:pPr>
        <w:jc w:val="both"/>
        <w:ind w:left="180" w:right="199" w:firstLine="652"/>
        <w:spacing w:after="0" w:line="266" w:lineRule="auto"/>
        <w:tabs>
          <w:tab w:leader="none" w:pos="12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to exceed (i) for the fiscal quarters ending December 31, 2025 and March 31, 2026, 2.50 to 1.00; and (ii) beginning with the fiscal quarter ending June 30, 2026 and for each fiscal quarter thereafter, 2.00 to 1.00.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41" w:name="page142"/>
    <w:bookmarkEnd w:id="141"/>
    <w:p>
      <w:pPr>
        <w:ind w:left="1700" w:hanging="378"/>
        <w:spacing w:after="0"/>
        <w:tabs>
          <w:tab w:leader="none" w:pos="1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6.6(f) of the Credit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1300" w:right="1300" w:firstLine="652"/>
        <w:spacing w:after="0" w:line="255" w:lineRule="auto"/>
        <w:tabs>
          <w:tab w:leader="none" w:pos="2781"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calendar quarter ended September 30, 2026, Borrower may make quarterly dividends on its Capital Stock and employee stock option grants outstanding not to exceed $0.05 per share of common stock or employee stock option grant, respectively, of Borrower then outstanding (or $0.075 per share of common stock and employee stock option grant of Borrower then outstanding if the Total Net Leverage Ratio at such time is less than</w:t>
      </w:r>
    </w:p>
    <w:p>
      <w:pPr>
        <w:spacing w:after="0" w:line="2" w:lineRule="exact"/>
        <w:rPr>
          <w:rFonts w:ascii="Times New Roman" w:cs="Times New Roman" w:eastAsia="Times New Roman" w:hAnsi="Times New Roman"/>
          <w:sz w:val="18"/>
          <w:szCs w:val="18"/>
          <w:color w:val="auto"/>
        </w:rPr>
      </w:pPr>
    </w:p>
    <w:p>
      <w:pPr>
        <w:jc w:val="both"/>
        <w:ind w:left="1300" w:righ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to 1.00), such dividends not to exceed an amount in excess of $30,026,856 in the aggregate for any fiscal year of the Borrower (or $45,040,284 if the Total Net Leverage Ratio at such time is less than 0.75 to 1.00); provided that such per share amounts shall be adjusted for proportionately for stock dividends, stock splits, combinations, reclassifications and the like; and</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6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Loan Parties</w:t>
      </w:r>
      <w:r>
        <w:rPr>
          <w:rFonts w:ascii="Times New Roman" w:cs="Times New Roman" w:eastAsia="Times New Roman" w:hAnsi="Times New Roman"/>
          <w:sz w:val="18"/>
          <w:szCs w:val="18"/>
          <w:color w:val="auto"/>
        </w:rPr>
        <w:t>. Each Loan Party, as applicable, represents and warrants as of the date hereof to the Administrative Agent, Collateral Agent and each Lender that:</w:t>
      </w:r>
    </w:p>
    <w:p>
      <w:pPr>
        <w:spacing w:after="0" w:line="161" w:lineRule="exact"/>
        <w:rPr>
          <w:rFonts w:ascii="Times New Roman" w:cs="Times New Roman" w:eastAsia="Times New Roman" w:hAnsi="Times New Roman"/>
          <w:sz w:val="18"/>
          <w:szCs w:val="18"/>
          <w:color w:val="auto"/>
        </w:rPr>
      </w:pPr>
    </w:p>
    <w:p>
      <w:pPr>
        <w:jc w:val="both"/>
        <w:ind w:left="100" w:firstLine="1294"/>
        <w:spacing w:after="0" w:line="266" w:lineRule="auto"/>
        <w:tabs>
          <w:tab w:leader="none" w:pos="1836"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 has the corporate, company or partnership power and authority, as applicable, and the legal right, to make, deliver and perform this Amendment and (ii) has taken all necessary corporate or other action to authorize the execution, delivery and performance of this Amendment;</w:t>
      </w:r>
    </w:p>
    <w:p>
      <w:pPr>
        <w:spacing w:after="0" w:line="175" w:lineRule="exact"/>
        <w:rPr>
          <w:rFonts w:ascii="Times New Roman" w:cs="Times New Roman" w:eastAsia="Times New Roman" w:hAnsi="Times New Roman"/>
          <w:sz w:val="18"/>
          <w:szCs w:val="18"/>
          <w:color w:val="auto"/>
        </w:rPr>
      </w:pPr>
    </w:p>
    <w:p>
      <w:pPr>
        <w:jc w:val="both"/>
        <w:ind w:left="100" w:firstLine="1294"/>
        <w:spacing w:after="0" w:line="266" w:lineRule="auto"/>
        <w:tabs>
          <w:tab w:leader="none" w:pos="1846"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authorization of, filing with, notice to or other act by or in respect of, any Governmental Authority or any other Person is required to be obtained by any Loan Party in connection with the execution, delivery, performance, validity or enforceability of this Amendment;</w:t>
      </w:r>
    </w:p>
    <w:p>
      <w:pPr>
        <w:spacing w:after="0" w:line="175" w:lineRule="exact"/>
        <w:rPr>
          <w:rFonts w:ascii="Times New Roman" w:cs="Times New Roman" w:eastAsia="Times New Roman" w:hAnsi="Times New Roman"/>
          <w:sz w:val="18"/>
          <w:szCs w:val="18"/>
          <w:color w:val="auto"/>
        </w:rPr>
      </w:pPr>
    </w:p>
    <w:p>
      <w:pPr>
        <w:jc w:val="both"/>
        <w:ind w:left="100" w:firstLine="1294"/>
        <w:spacing w:after="0" w:line="258" w:lineRule="auto"/>
        <w:tabs>
          <w:tab w:leader="none" w:pos="1772"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each Loan Document delivered in connection therewith (i) has been duly executed and delivered on behalf of each Loan Party that is a party thereto and (ii) constitutes a legal, valid and binding obligation of each Loan Party that is a party thereto, enforceable against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3" w:lineRule="exact"/>
        <w:rPr>
          <w:rFonts w:ascii="Times New Roman" w:cs="Times New Roman" w:eastAsia="Times New Roman" w:hAnsi="Times New Roman"/>
          <w:sz w:val="18"/>
          <w:szCs w:val="18"/>
          <w:color w:val="auto"/>
        </w:rPr>
      </w:pPr>
    </w:p>
    <w:p>
      <w:pPr>
        <w:jc w:val="both"/>
        <w:ind w:left="100" w:firstLine="1294"/>
        <w:spacing w:after="0" w:line="266" w:lineRule="auto"/>
        <w:tabs>
          <w:tab w:leader="none" w:pos="180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shall not result in a violation by any Loan Party of any Requirement of Law or any Contractual Obligation of Borrower and shall not result in, or require, the creation or imposition of any Lien on any of its Properties or revenues pursuant to any Requirement of Law or any such Contractual Obligation (other than the Liens created by the Security Documents);</w:t>
      </w:r>
    </w:p>
    <w:p>
      <w:pPr>
        <w:spacing w:after="0" w:line="175" w:lineRule="exact"/>
        <w:rPr>
          <w:rFonts w:ascii="Times New Roman" w:cs="Times New Roman" w:eastAsia="Times New Roman" w:hAnsi="Times New Roman"/>
          <w:sz w:val="18"/>
          <w:szCs w:val="18"/>
          <w:color w:val="auto"/>
        </w:rPr>
      </w:pPr>
    </w:p>
    <w:p>
      <w:pPr>
        <w:jc w:val="both"/>
        <w:ind w:left="100" w:firstLine="1294"/>
        <w:spacing w:after="0" w:line="261" w:lineRule="auto"/>
        <w:tabs>
          <w:tab w:leader="none" w:pos="1773"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the representations and warranties of each Loan Party contained in the Loan Documents are true and accurate in all material respects as of the date hereof with the same force and effect as if such had been made on and as of the date hereof, except for such representations and warranties (i) made as of an earlier date, in which case such representations and warranties are true and correct in all material respects as of such earlier date or (ii) qualified by materiality, in which case such representations and warranties are true in all respects;</w:t>
      </w:r>
    </w:p>
    <w:p>
      <w:pPr>
        <w:spacing w:after="0" w:line="179" w:lineRule="exact"/>
        <w:rPr>
          <w:rFonts w:ascii="Times New Roman" w:cs="Times New Roman" w:eastAsia="Times New Roman" w:hAnsi="Times New Roman"/>
          <w:sz w:val="18"/>
          <w:szCs w:val="18"/>
          <w:color w:val="auto"/>
        </w:rPr>
      </w:pPr>
    </w:p>
    <w:p>
      <w:pPr>
        <w:ind w:left="1760" w:hanging="366"/>
        <w:spacing w:after="0"/>
        <w:tabs>
          <w:tab w:leader="none" w:pos="17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are in compliance in all material respects with all terms and provisions set forth in the Loan Documents to</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it is a party; and</w:t>
      </w:r>
    </w:p>
    <w:p>
      <w:pPr>
        <w:spacing w:after="0" w:line="206" w:lineRule="exact"/>
        <w:rPr>
          <w:rFonts w:ascii="Times New Roman" w:cs="Times New Roman" w:eastAsia="Times New Roman" w:hAnsi="Times New Roman"/>
          <w:sz w:val="18"/>
          <w:szCs w:val="18"/>
          <w:color w:val="auto"/>
        </w:rPr>
      </w:pPr>
    </w:p>
    <w:p>
      <w:pPr>
        <w:ind w:left="1780" w:hanging="386"/>
        <w:spacing w:after="0"/>
        <w:tabs>
          <w:tab w:leader="none" w:pos="178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ind w:firstLine="656"/>
        <w:spacing w:after="0" w:line="282" w:lineRule="auto"/>
        <w:tabs>
          <w:tab w:leader="none" w:pos="9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The closing of this Amendment is subject to the satisfaction of the following conditions precedent at which time the amendments set forth herein shall become operative:</w:t>
      </w:r>
    </w:p>
    <w:p>
      <w:pPr>
        <w:spacing w:after="0" w:line="161" w:lineRule="exact"/>
        <w:rPr>
          <w:rFonts w:ascii="Times New Roman" w:cs="Times New Roman" w:eastAsia="Times New Roman" w:hAnsi="Times New Roman"/>
          <w:sz w:val="18"/>
          <w:szCs w:val="18"/>
          <w:color w:val="auto"/>
        </w:rPr>
      </w:pPr>
    </w:p>
    <w:p>
      <w:pPr>
        <w:ind w:left="1780" w:hanging="386"/>
        <w:spacing w:after="0"/>
        <w:tabs>
          <w:tab w:leader="none" w:pos="17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this Amendment duly executed and delivered by a Responsible Officer of each Loan Party and the</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Lenders;</w:t>
      </w:r>
    </w:p>
    <w:p>
      <w:pPr>
        <w:spacing w:after="0" w:line="206" w:lineRule="exact"/>
        <w:rPr>
          <w:rFonts w:ascii="Times New Roman" w:cs="Times New Roman" w:eastAsia="Times New Roman" w:hAnsi="Times New Roman"/>
          <w:sz w:val="18"/>
          <w:szCs w:val="18"/>
          <w:color w:val="auto"/>
        </w:rPr>
      </w:pPr>
    </w:p>
    <w:p>
      <w:pPr>
        <w:ind w:left="100" w:firstLine="1294"/>
        <w:spacing w:after="0" w:line="282" w:lineRule="auto"/>
        <w:tabs>
          <w:tab w:leader="none" w:pos="191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paid, or caused to be paid, to the Administrative Agent, for the account of each Lender party to this Amendment, the fee payable in that certain fee letter, dated as of the date hereof, between the Borrower and the Administrative Agent;</w:t>
      </w:r>
    </w:p>
    <w:p>
      <w:pPr>
        <w:spacing w:after="0" w:line="161" w:lineRule="exact"/>
        <w:rPr>
          <w:rFonts w:ascii="Times New Roman" w:cs="Times New Roman" w:eastAsia="Times New Roman" w:hAnsi="Times New Roman"/>
          <w:sz w:val="18"/>
          <w:szCs w:val="18"/>
          <w:color w:val="auto"/>
        </w:rPr>
      </w:pPr>
    </w:p>
    <w:p>
      <w:pPr>
        <w:ind w:left="100" w:firstLine="1294"/>
        <w:spacing w:after="0" w:line="282" w:lineRule="auto"/>
        <w:tabs>
          <w:tab w:leader="none" w:pos="18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paid, or caused to be paid the outstanding fees and expenses of Latham &amp; Watkins LLP, counsel for the Collateral Agent, and Winstead PC, counsel for the Administrative Agent;</w:t>
      </w:r>
    </w:p>
    <w:p>
      <w:pPr>
        <w:spacing w:after="0" w:line="161" w:lineRule="exact"/>
        <w:rPr>
          <w:rFonts w:ascii="Times New Roman" w:cs="Times New Roman" w:eastAsia="Times New Roman" w:hAnsi="Times New Roman"/>
          <w:sz w:val="18"/>
          <w:szCs w:val="18"/>
          <w:color w:val="auto"/>
        </w:rPr>
      </w:pPr>
    </w:p>
    <w:p>
      <w:pPr>
        <w:ind w:left="100" w:firstLine="1294"/>
        <w:spacing w:after="0" w:line="282" w:lineRule="auto"/>
        <w:tabs>
          <w:tab w:leader="none" w:pos="1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Agents shall have received a certificate from a Responsible Officer of the Borrower, in form and substance reasonably acceptable to the Administrative Agent, confirming compliance with the conditions precedent set forth in </w:t>
      </w:r>
      <w:r>
        <w:rPr>
          <w:rFonts w:ascii="Times New Roman" w:cs="Times New Roman" w:eastAsia="Times New Roman" w:hAnsi="Times New Roman"/>
          <w:sz w:val="18"/>
          <w:szCs w:val="18"/>
          <w:u w:val="single" w:color="auto"/>
          <w:color w:val="auto"/>
        </w:rPr>
        <w:t>Sections 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ind w:left="1780" w:hanging="386"/>
        <w:spacing w:after="0"/>
        <w:tabs>
          <w:tab w:leader="none" w:pos="17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August 1, 2025, no Material Adverse Effect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100" w:firstLine="1294"/>
        <w:spacing w:after="0" w:line="266" w:lineRule="auto"/>
        <w:tabs>
          <w:tab w:leader="none" w:pos="17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the representations and warranties of the Loan Parties contained in the Loan Documents are true and accurate in all material respects as of the date hereof with the same force and effect as if such had been made on and as of the date hereof; and</w:t>
      </w:r>
    </w:p>
    <w:p>
      <w:pPr>
        <w:spacing w:after="0" w:line="175" w:lineRule="exact"/>
        <w:rPr>
          <w:rFonts w:ascii="Times New Roman" w:cs="Times New Roman" w:eastAsia="Times New Roman" w:hAnsi="Times New Roman"/>
          <w:sz w:val="18"/>
          <w:szCs w:val="18"/>
          <w:color w:val="auto"/>
        </w:rPr>
      </w:pPr>
    </w:p>
    <w:p>
      <w:pPr>
        <w:ind w:left="100" w:firstLine="1294"/>
        <w:spacing w:after="0" w:line="282" w:lineRule="auto"/>
        <w:tabs>
          <w:tab w:leader="none" w:pos="17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no Default or Event of Default shall have occurred and be continuing on the date hereof or shall occur as a result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shall be conclusively deemed to be satisfied upon execution and delivery of this Amendment by each party hereto.</w:t>
      </w:r>
    </w:p>
    <w:p>
      <w:pPr>
        <w:spacing w:after="0" w:line="225"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0" w:firstLine="1294"/>
        <w:spacing w:after="0" w:line="282" w:lineRule="auto"/>
        <w:tabs>
          <w:tab w:leader="none" w:pos="181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constitute a Loan Document, as such term is defined in the Credit Agreement, and the Credit Agreement shall constitute such agreement as amended by this Amendment;</w:t>
      </w:r>
    </w:p>
    <w:p>
      <w:pPr>
        <w:spacing w:after="0" w:line="161" w:lineRule="exact"/>
        <w:rPr>
          <w:rFonts w:ascii="Times New Roman" w:cs="Times New Roman" w:eastAsia="Times New Roman" w:hAnsi="Times New Roman"/>
          <w:sz w:val="18"/>
          <w:szCs w:val="18"/>
          <w:color w:val="auto"/>
        </w:rPr>
      </w:pPr>
    </w:p>
    <w:p>
      <w:pPr>
        <w:ind w:left="1800" w:hanging="406"/>
        <w:spacing w:after="0"/>
        <w:tabs>
          <w:tab w:leader="none" w:pos="1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not intended to nor shall it be construed to create a novation or accord and satisfaction with respect to any of</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and</w:t>
      </w:r>
    </w:p>
    <w:p>
      <w:pPr>
        <w:spacing w:after="0" w:line="206" w:lineRule="exact"/>
        <w:rPr>
          <w:rFonts w:ascii="Times New Roman" w:cs="Times New Roman" w:eastAsia="Times New Roman" w:hAnsi="Times New Roman"/>
          <w:sz w:val="18"/>
          <w:szCs w:val="18"/>
          <w:color w:val="auto"/>
        </w:rPr>
      </w:pPr>
    </w:p>
    <w:p>
      <w:pPr>
        <w:jc w:val="both"/>
        <w:ind w:left="100" w:firstLine="1294"/>
        <w:spacing w:after="0" w:line="266" w:lineRule="auto"/>
        <w:tabs>
          <w:tab w:leader="none" w:pos="180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hereby reaffirms its respective obligations under each of the Loan Documents, as the same are amended hereby, and agrees and acknowledges that each such Loan Document, and all of such obligations thereunder, remains in full force and effect after giving effect to this Amendment.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one or more parties to this Amendment on any number of separate counterparts, and all of said counterparts taken together shall be deemed to constitute one and the same instrument. Delivery of an executed signature page of this Amendment by electronic transmission (including via e-mail in portable document format (.pdf) or facsimile transmission) shall be effective as delivery of a manually executed counterpart hereof. A set of the copies of this Amendment signed by all the parties shall be lodged with Borrower and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ind w:firstLine="656"/>
        <w:spacing w:after="0" w:line="266" w:lineRule="auto"/>
        <w:tabs>
          <w:tab w:leader="none" w:pos="10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Amendment and the other Loan Documents represent the entire agreement of the Borrower, the Administrative Agent, the Collateral Agent and the Lenders with respect to the subject matter hereof and thereof, and there are no promises, undertakings, representations or warranties by the Administrative Agent, the Collateral Agent or any Lender relative to subject matter hereof not expressly set forth or referred to herein or in the other Loan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THE RIGHTS AND OBLIGATIONS OF THE PARTIES UNDER THIS AMENDMENT (INCLUDING ANY CLAIM OR CONTROVERSY ARISING OUT OF OR RELATING TO THIS AMENDMENT WHETHER SOUNDING IN CONTRACT LAW, TORT LAW OR OTHERWISE)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1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Amendment shall survive the execution and delivery of this Amendment and the effectiveness of the amendments set forth herein.</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No Other Amendments; No 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or otherwise modified hereby, the Credit Agreement and each other Loan Document (in each case, as amended or otherwise modified hereby or in connection herewith) are each hereby ratified and confirmed by the parties hereto and remain in full force and effect in accordance with the respective terms thereof. Other than as otherwise expressly provided herein, this Amendment shall not be deemed to operate as an amendment or waiver of, or to prejudice, any right, power, privilege or remedy of any Lender, any Agent or any other Indemnitee under the Credit Agreement or any of the other Loan Documents (in each case, as amended or otherwise modified hereby or in connection herewith), nor shall the entering into of this Amendment preclude any such Person from refusing to enter into any further amendments with respect to the Credit Agreement or any of the other Loan Documents. Other than as expressly provided herein, this Amendment shall not constitute a waiver of compliance with any covenant or other provision in the Agreement or any other Loan Document or of the occurrence or continuance of any present or future Default or Event of Default.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Lenders, the Administrative Agent, and the Collateral Agent to enter into this Amendment, each Loan Party hereby acknowledges and reaffirms its obligations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without limiting the foregoing, acknowledges and agrees that each of the Loan Documents to which it is a party or otherwise bound shall continue in full force and effect and that all of its obligations thereunder shall not be impaired or limited by the execution or effectiveness of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jc w:val="both"/>
        <w:ind w:firstLine="656"/>
        <w:spacing w:after="0" w:line="261" w:lineRule="auto"/>
        <w:tabs>
          <w:tab w:leader="none" w:pos="105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Expenses</w:t>
      </w:r>
      <w:r>
        <w:rPr>
          <w:rFonts w:ascii="Times New Roman" w:cs="Times New Roman" w:eastAsia="Times New Roman" w:hAnsi="Times New Roman"/>
          <w:sz w:val="18"/>
          <w:szCs w:val="18"/>
          <w:color w:val="auto"/>
        </w:rPr>
        <w:t>. Subject to and in accordance with Section 9.5 of the Credit Agreement, regardless of whether the transactions contemplated by this Amendment are consummated, Borrower agrees to pay on demand all reasonable out-of-pocket costs and expenses of the Administrative Agent or Collateral Agent, as applicable, incurred in connection with the development, preparation, execution and delivery of this Amendment, including the reasonable fees and disbursements and other charges of counsel and consultants to the Administrative Agent or Collateral Agent, as applicable.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Amendment are inserted for convenience only and shall not affect in any way the meaning or interpretation of this Amendment.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Amendment may not be amended or modified except in the manner specified in Section 9.1 of the Credit Agreement for an amendment of or modification to the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ind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under seal and delivered by their respective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on the date first 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8280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Steven Tholen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8280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Steven Tholen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LAZY JJ PROPERTIES,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8280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Steven Tholen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ACQUISITION CORP.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828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Steven Tholen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ASSETS,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8280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Steven Tholen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EMPLOYEES,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8280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Steven Tholen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6" w:name="page147"/>
    <w:bookmarkEnd w:id="146"/>
    <w:p>
      <w:pPr>
        <w:ind w:left="4500"/>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TEXAS CAPITAL BANK</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Marc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-7620</wp:posOffset>
            </wp:positionV>
            <wp:extent cx="8026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Marc Graham</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47" w:name="page148"/>
    <w:bookmarkEnd w:id="147"/>
    <w:p>
      <w:pPr>
        <w:ind w:left="4500"/>
        <w:spacing w:after="0"/>
        <w:rPr>
          <w:sz w:val="20"/>
          <w:szCs w:val="20"/>
          <w:color w:val="auto"/>
        </w:rPr>
      </w:pPr>
      <w:r>
        <w:rPr>
          <w:rFonts w:ascii="Times New Roman" w:cs="Times New Roman" w:eastAsia="Times New Roman" w:hAnsi="Times New Roman"/>
          <w:sz w:val="18"/>
          <w:szCs w:val="18"/>
          <w:b w:val="1"/>
          <w:bCs w:val="1"/>
          <w:color w:val="auto"/>
        </w:rPr>
        <w:t>COLLATERAL AGENT:</w:t>
      </w:r>
    </w:p>
    <w:p>
      <w:pPr>
        <w:spacing w:after="0" w:line="225"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CHAMBERS ENERGY MANAGEMENT, LP</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 Robert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-7620</wp:posOffset>
            </wp:positionV>
            <wp:extent cx="10979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J. Robert Chambers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ectPr>
          <w:pgSz w:w="11900" w:h="16838" w:orient="portrait"/>
          <w:cols w:equalWidth="0" w:num="1">
            <w:col w:w="9019"/>
          </w:cols>
          <w:pgMar w:left="1440" w:top="576"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THIRD AMENDMENT TO CREDIT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March 5, 2026 to be effective as of the Third Amendment Effective Date (as defined in the Credit Agreement as amended by this Amendment) (the “</w:t>
      </w:r>
      <w:r>
        <w:rPr>
          <w:rFonts w:ascii="Times New Roman" w:cs="Times New Roman" w:eastAsia="Times New Roman" w:hAnsi="Times New Roman"/>
          <w:sz w:val="18"/>
          <w:szCs w:val="18"/>
          <w:b w:val="1"/>
          <w:bCs w:val="1"/>
          <w:i w:val="1"/>
          <w:iCs w:val="1"/>
          <w:color w:val="auto"/>
        </w:rPr>
        <w:t>Third Amendment Effective Date</w:t>
      </w:r>
      <w:r>
        <w:rPr>
          <w:rFonts w:ascii="Times New Roman" w:cs="Times New Roman" w:eastAsia="Times New Roman" w:hAnsi="Times New Roman"/>
          <w:sz w:val="18"/>
          <w:szCs w:val="18"/>
          <w:color w:val="auto"/>
        </w:rPr>
        <w:t xml:space="preserve">”), is among </w:t>
      </w:r>
      <w:r>
        <w:rPr>
          <w:rFonts w:ascii="Times New Roman" w:cs="Times New Roman" w:eastAsia="Times New Roman" w:hAnsi="Times New Roman"/>
          <w:sz w:val="18"/>
          <w:szCs w:val="18"/>
          <w:b w:val="1"/>
          <w:bCs w:val="1"/>
          <w:color w:val="auto"/>
        </w:rPr>
        <w:t>HIGHPEAK ENERGY,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FIFTH THIRD BANK, NATIONAL ASSOCIATION</w:t>
      </w:r>
      <w:r>
        <w:rPr>
          <w:rFonts w:ascii="Times New Roman" w:cs="Times New Roman" w:eastAsia="Times New Roman" w:hAnsi="Times New Roman"/>
          <w:sz w:val="18"/>
          <w:szCs w:val="18"/>
          <w:color w:val="auto"/>
        </w:rPr>
        <w:t>, as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each Guarantor party hereto, and each Lender party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firstLine="656"/>
        <w:spacing w:after="0" w:line="282" w:lineRule="auto"/>
        <w:tabs>
          <w:tab w:leader="none" w:pos="12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Lenders and the Administrative Agent are parties to a Credit Agreement dated as of November 1, 2023 (as the same has been or may be amended, restated, supplemented,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and the Administrative Agent and the Lenders have agreed, subject to the terms hereof, to certain amendments or modifications to the terms of the Credit Agreement, as more fully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hereby are acknowledged, the parties hereto hereby agree as follows: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meanings assigned to such terms in the Credit Agreement.</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Credit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644"/>
        <w:spacing w:after="0" w:line="282" w:lineRule="auto"/>
        <w:tabs>
          <w:tab w:leader="none" w:pos="17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are hereby added to Section 1.02 of the Credit Agreement, in proper alphabetical order, to read in their entireties as follows:</w:t>
      </w:r>
    </w:p>
    <w:p>
      <w:pPr>
        <w:spacing w:after="0" w:line="158" w:lineRule="exact"/>
        <w:rPr>
          <w:sz w:val="20"/>
          <w:szCs w:val="20"/>
          <w:color w:val="auto"/>
        </w:rPr>
      </w:pPr>
    </w:p>
    <w:p>
      <w:pPr>
        <w:ind w:left="1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means that certain Third Amendment to Credit Agreement, dated as of the Third Amendment Effective Date, by and among Borrower, the Administrative Agent and the Lenders and other parties party thereto.</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Amendment Effective Date</w:t>
      </w:r>
      <w:r>
        <w:rPr>
          <w:rFonts w:ascii="Times New Roman" w:cs="Times New Roman" w:eastAsia="Times New Roman" w:hAnsi="Times New Roman"/>
          <w:sz w:val="18"/>
          <w:szCs w:val="18"/>
          <w:color w:val="auto"/>
        </w:rPr>
        <w:t>” means December 30, 2025.</w:t>
      </w:r>
    </w:p>
    <w:p>
      <w:pPr>
        <w:spacing w:after="0" w:line="229"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following definition in Section 1.02 of the Credit Agreement is hereby amended to read in its entirety as follows:</w:t>
      </w:r>
    </w:p>
    <w:p>
      <w:pPr>
        <w:spacing w:after="0" w:line="221" w:lineRule="exact"/>
        <w:rPr>
          <w:sz w:val="20"/>
          <w:szCs w:val="20"/>
          <w:color w:val="auto"/>
        </w:rPr>
      </w:pPr>
    </w:p>
    <w:p>
      <w:pPr>
        <w:ind w:left="130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Credit Agreement, as amended by the First Amendment, the Second Amendment, the Third Amendment, and as further amended, restated, replaced, supplemented or otherwise modified from time to time.</w:t>
      </w:r>
    </w:p>
    <w:p>
      <w:pPr>
        <w:spacing w:after="0" w:line="159" w:lineRule="exact"/>
        <w:rPr>
          <w:sz w:val="20"/>
          <w:szCs w:val="20"/>
          <w:color w:val="auto"/>
        </w:rPr>
      </w:pPr>
    </w:p>
    <w:p>
      <w:pPr>
        <w:ind w:left="160" w:right="3100" w:firstLine="1144"/>
        <w:spacing w:after="0" w:line="532" w:lineRule="auto"/>
        <w:tabs>
          <w:tab w:leader="none" w:pos="169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5.11 of the Credit Agreement is hereby amended to read in its entirety as follows: THIRD AMENDMENT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ind w:left="1960"/>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Commodity Price Protection.</w:t>
      </w:r>
    </w:p>
    <w:p>
      <w:pPr>
        <w:spacing w:after="0" w:line="229" w:lineRule="exact"/>
        <w:rPr>
          <w:sz w:val="20"/>
          <w:szCs w:val="20"/>
          <w:color w:val="auto"/>
        </w:rPr>
      </w:pPr>
    </w:p>
    <w:p>
      <w:pPr>
        <w:jc w:val="both"/>
        <w:ind w:left="1960" w:firstLine="640"/>
        <w:spacing w:after="0" w:line="261" w:lineRule="auto"/>
        <w:tabs>
          <w:tab w:leader="none" w:pos="328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March 15, 2026, enter into, and at all times thereafter maintain, Qualified Hedging Agreements for not less than (i) 75% of the Projected Oil Production as provided in the Reserve Report dated as of January 1, 2026 for the period from April 1, 2026 to March 31, 2027 and (ii) 60% of the Projected Oil Production as provided in the Reserve Report dated as of January 1, 2026 for the period from April 1, 2027 to September 30, 2027.</w:t>
      </w:r>
    </w:p>
    <w:p>
      <w:pPr>
        <w:spacing w:after="0" w:line="179" w:lineRule="exact"/>
        <w:rPr>
          <w:rFonts w:ascii="Times New Roman" w:cs="Times New Roman" w:eastAsia="Times New Roman" w:hAnsi="Times New Roman"/>
          <w:sz w:val="18"/>
          <w:szCs w:val="18"/>
          <w:color w:val="auto"/>
        </w:rPr>
      </w:pPr>
    </w:p>
    <w:p>
      <w:pPr>
        <w:jc w:val="both"/>
        <w:ind w:left="1960" w:firstLine="640"/>
        <w:spacing w:after="0" w:line="261" w:lineRule="auto"/>
        <w:tabs>
          <w:tab w:leader="none" w:pos="336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last day of each fiscal quarter commencing on June 30, 2026, enter into, and at all times thereafter maintain, additional Qualified Hedging Agreements such that not less than 50% of the Projected Oil Production as provided in the most recently delivered Reserve Report pursuant to Sections 5.2(c) or 5.2(d) for each quarter during the succeeding 18-month period following any date of determination is subject to Qualified Hedging Agreements.</w:t>
      </w:r>
    </w:p>
    <w:p>
      <w:pPr>
        <w:spacing w:after="0" w:line="179" w:lineRule="exact"/>
        <w:rPr>
          <w:rFonts w:ascii="Times New Roman" w:cs="Times New Roman" w:eastAsia="Times New Roman" w:hAnsi="Times New Roman"/>
          <w:sz w:val="18"/>
          <w:szCs w:val="18"/>
          <w:color w:val="auto"/>
        </w:rPr>
      </w:pPr>
    </w:p>
    <w:p>
      <w:pPr>
        <w:jc w:val="both"/>
        <w:ind w:left="1960" w:firstLine="640"/>
        <w:spacing w:after="0" w:line="261" w:lineRule="auto"/>
        <w:tabs>
          <w:tab w:leader="none" w:pos="324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Qualified Hedging Agreements shall consist solely of (i) two-way costless collars which individually have a floor price equal to at least 90% of the NYMEX Strip Price (without adjustment for any basis differential) as of the date such new Qualified Hedging Agreement is entered into, or (ii) swaps which individually have a swap price substantially equal to the NYMEX Strip Price as of the date such new Qualified Hedging Agreement is entered into.</w:t>
      </w:r>
    </w:p>
    <w:p>
      <w:pPr>
        <w:spacing w:after="0" w:line="179" w:lineRule="exact"/>
        <w:rPr>
          <w:rFonts w:ascii="Times New Roman" w:cs="Times New Roman" w:eastAsia="Times New Roman" w:hAnsi="Times New Roman"/>
          <w:sz w:val="18"/>
          <w:szCs w:val="18"/>
          <w:color w:val="auto"/>
        </w:rPr>
      </w:pPr>
    </w:p>
    <w:p>
      <w:pPr>
        <w:ind w:left="1960" w:firstLine="640"/>
        <w:spacing w:after="0" w:line="282" w:lineRule="auto"/>
        <w:tabs>
          <w:tab w:leader="none" w:pos="324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Collateral Agent a copy of each Hedging Agreement confirmation provided to any Loan Party as soon as practicable, but in any event within five Business Days after the receipt thereof.</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 of the Credit Agreement is hereby amended to read in its entirety as follows:</w:t>
      </w:r>
    </w:p>
    <w:p>
      <w:pPr>
        <w:spacing w:after="0" w:line="221"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Financial Condition Covenants</w:t>
      </w:r>
      <w:r>
        <w:rPr>
          <w:rFonts w:ascii="Times New Roman" w:cs="Times New Roman" w:eastAsia="Times New Roman" w:hAnsi="Times New Roman"/>
          <w:sz w:val="17"/>
          <w:szCs w:val="17"/>
          <w:color w:val="auto"/>
        </w:rPr>
        <w:t>. Permit, as of the last day of any fiscal quarter of Borrower:</w:t>
      </w:r>
    </w:p>
    <w:p>
      <w:pPr>
        <w:spacing w:after="0" w:line="229" w:lineRule="exact"/>
        <w:rPr>
          <w:sz w:val="20"/>
          <w:szCs w:val="20"/>
          <w:color w:val="auto"/>
        </w:rPr>
      </w:pPr>
    </w:p>
    <w:p>
      <w:pPr>
        <w:jc w:val="both"/>
        <w:ind w:left="1960" w:firstLine="640"/>
        <w:spacing w:after="0" w:line="266" w:lineRule="auto"/>
        <w:tabs>
          <w:tab w:leader="none" w:pos="3291"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to be less than (i) for the fiscal quarters ending December 31, 2025 and March 31, 2026, 1.00 to 1.00; (ii) for the fiscal quarter ending June 30, 2026, 1.25 to 1.00; and (ii) beginning with the fiscal quarter ending September 30, 2026 and for each fiscal quarter thereafter, 1.50: to 1.00; or</w:t>
      </w:r>
    </w:p>
    <w:p>
      <w:pPr>
        <w:spacing w:after="0" w:line="17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331"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to exceed (i) for the fiscal quarters ending December 31, 2025 and March 31, 2026, 2.50 to 1.00; and (ii) beginning with the fiscal quarter ending June 30, 2026 and for each fiscal quarter thereafter, 2.00 to 1.00.</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6.6(f) of the Credit Agreement is hereby amended to read in its entirety as follows: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55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with the calendar quarter ending September 30, 2026, Borrower may make quarterly dividends on its Capital Stock and employee stock option grants outstanding not to exceed $0.05 per share of common stock or employee stock option grant, respectively, of Borrower then outstanding (or $0.075 per share of common stock and employee stock option grant of Borrower then outstanding if the Total Net Leverage Ratio at such time is less than 0.75 to 1.00), such dividends not to exceed an amount in excess of $30,026,856 in the aggregate for any fiscal year of the Borrower (or $45,040,284 if the Total Net Leverage Ratio at such time is less than 0.75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 share amounts shall be adjusted for proportionately for stock dividends, stock splits, combinations, reclassifications and the like; 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AMENDMENT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0" w:name="page151"/>
    <w:bookmarkEnd w:id="150"/>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Upon the satisfaction of the following conditions precedent, this Amendment shall become effective as of the Third Amendment Effective Date (as defined in the Credit Agreement as amended by this Amendment):</w:t>
      </w:r>
    </w:p>
    <w:p>
      <w:pPr>
        <w:spacing w:after="0" w:line="162" w:lineRule="exact"/>
        <w:rPr>
          <w:sz w:val="20"/>
          <w:szCs w:val="20"/>
          <w:color w:val="auto"/>
        </w:rPr>
      </w:pPr>
    </w:p>
    <w:p>
      <w:pPr>
        <w:ind w:left="660" w:firstLine="644"/>
        <w:spacing w:after="0" w:line="282" w:lineRule="auto"/>
        <w:tabs>
          <w:tab w:leader="none" w:pos="17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to this Amendment duly executed by a duly authorized officer of the Borrower, the Guarantor, and the Lenders;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paid, or caused to be paid, to the Administrative Agent, for the account of each Lender, the fee payable in that certain Fee Letter, dated as of the Third Amendment Effective Date, between the Borrower and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reimbursement for all of its costs and expenses incurred by it prior to or in connection with this Amendment and any other documents prepared in connection herewith, including, without limitation, the fees, charges and disbursements of Winstead PC, counsel to the Administrative Agent and any fees separately agreed to among the parties pursuant to any fee letter.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Responsible Officer of the Borrower, in form and substance reasonably acceptable to the Administrative Agent, confirming compliance with the conditions precedent set forth in Sections 3(e), (f) and (g) below;</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August 1, 2025, no Material Adverse Effect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8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the representations and warranties of the Loan Parties contained in the Loan Documents are true and accurate in all material respects as of the date hereof with the same force and effect as if such had been made on and as of the date 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no Default or Event of Default shall have occurred and be continuing on the date hereof or shall occur as a result 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Before and after giving effect to this Amendment, the Borrower hereby confirms that (a) the representations and warranties of Borrower and each other Loan Party contained in the Credit Agreement and the other Loan Documents are true and correct in all material respects (except to the extent such representations and warranties are qualified by materiality, in which case they shall be true and correct in all respects) on and as of the date hereof, except to the extent that such representations and warranties specifically refer to an earlier date, in which case they shall be true and correct in all material respects (except to the extent such representations and warranties are qualified by materiality, in which case they shall be true and correct in all respects) as of such earlier date, and (b) no Default or Event of Default shall have occurred and be continuing. The execution, delivery, and performance by each of Borrower and the Guarantors of this Amendment and compliance with the terms and provisions hereof have been duly authorized by all requisite action on the part of such Person and do not violate any contractual or other obligation by which such Person is bound.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AMENDMENT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Acknowledgment and Ratification</w:t>
      </w:r>
      <w:r>
        <w:rPr>
          <w:rFonts w:ascii="Times New Roman" w:cs="Times New Roman" w:eastAsia="Times New Roman" w:hAnsi="Times New Roman"/>
          <w:sz w:val="18"/>
          <w:szCs w:val="18"/>
          <w:color w:val="auto"/>
        </w:rPr>
        <w:t>. As a material inducement to Administrative Agent and the Lenders to execute and deliver this Amendment, each Loan Party acknowledges and agrees that (a) the execution, delivery, and performance of this Amendment shall, except as expressly provided herein, in no way release, diminish, impair, reduce, or otherwise affect the obligations of such Person under the Loan Documents to which such Person is a party, (b) each Loan Document to which such Person is a party shall remain in full force and effect and shall each continue to be the legal, valid and binding obligations of such Person enforceable against such Person in accordance with its terms, and (c) it has no claims or offsets against, or defenses or counterclaims to, any of the Loan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Without limiting the generality of the foregoing, the consent, waiver and modifications set forth herein shall be limited precisely as set forth above, and nothing in this Amendment shall be deemed (i) to constitute a waiver of compliance or consent to noncompliance by any of the Loan Parties to, or an amendment of, any other term, provision, condition or covenant of the Credit Agreement or other Loan Documents, other than as specifically set forth herein; or (ii) to prejudice any right or remedy that the Administrative Agent or the Lenders may now have or may have in the future under or in connection with the Credit Agreement or any other Loan Document. Upon the effectiveness of this Amendment, each reference in the Credit Agreement to “this Agreement”, “hereunder”, or words of like import shall mean and be a reference to the Credit Agreement, as affected hereby. This Amendment shall constitute a Loan Document for all purposes.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Confirmation of Security and Guaranty</w:t>
      </w:r>
      <w:r>
        <w:rPr>
          <w:rFonts w:ascii="Times New Roman" w:cs="Times New Roman" w:eastAsia="Times New Roman" w:hAnsi="Times New Roman"/>
          <w:sz w:val="18"/>
          <w:szCs w:val="18"/>
          <w:color w:val="auto"/>
        </w:rPr>
        <w:t>. Each Loan Party hereby confirms and agrees that all of the Security Documents that presently secure or guarantee the Obligations shall continue to secure or guarantee, in the same manner and to the same extent provided therein, the payment and performance of the Obligations as described in the Credit Agreement as modified by this Amendment.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Incorporation of Certain Provisions by Reference</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of the Credit Agreement captioned “GOVERNING LAW”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of the Credit Agreement captioned “Submission To Jurisdiction; Waivers” are incorporated herein by reference for all purposes.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Amendment, a counterpart hereof (or signature page thereto) signed and transmitted by any Person party hereto to the Administrative Agent (or its counsel) by facsimile machine, telecopier or electronic mail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color w:val="auto"/>
        </w:rPr>
        <w:t>. This Amendment and all of the other Loan Documents embody the entire agreement between the parties. THIS AMENDMENT AND ALL OF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AMENDMENT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proper and duly authorized officers as of the day and year first above written.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Michael L Hollis</w:t>
      </w:r>
    </w:p>
    <w:tbl>
      <w:tblPr>
        <w:tblLayout w:type="fixed"/>
        <w:tblInd w:w="562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1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99"/>
              </w:rPr>
              <w:t>Michael L Hollis</w:t>
            </w:r>
          </w:p>
        </w:tc>
        <w:tc>
          <w:tcPr>
            <w:tcW w:w="1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26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President &amp; Chief Executive Officer</w:t>
            </w:r>
          </w:p>
        </w:tc>
      </w:tr>
    </w:tbl>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HOLDINGS, LLC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Michael L Hollis</w:t>
      </w:r>
    </w:p>
    <w:p>
      <w:pPr>
        <w:spacing w:after="0" w:line="27" w:lineRule="exact"/>
        <w:rPr>
          <w:sz w:val="20"/>
          <w:szCs w:val="20"/>
          <w:color w:val="auto"/>
        </w:rPr>
      </w:pPr>
    </w:p>
    <w:p>
      <w:pPr>
        <w:ind w:left="5620"/>
        <w:spacing w:after="0"/>
        <w:tabs>
          <w:tab w:leader="none" w:pos="6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Michael L Hollis</w:t>
      </w:r>
    </w:p>
    <w:p>
      <w:pPr>
        <w:spacing w:after="0" w:line="9" w:lineRule="exact"/>
        <w:rPr>
          <w:sz w:val="20"/>
          <w:szCs w:val="20"/>
          <w:color w:val="auto"/>
        </w:rPr>
      </w:pPr>
    </w:p>
    <w:p>
      <w:pPr>
        <w:ind w:left="562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LAZY JJ PROPERTIES, LLC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Michael L Hollis</w:t>
      </w:r>
    </w:p>
    <w:p>
      <w:pPr>
        <w:spacing w:after="0" w:line="27" w:lineRule="exact"/>
        <w:rPr>
          <w:sz w:val="20"/>
          <w:szCs w:val="20"/>
          <w:color w:val="auto"/>
        </w:rPr>
      </w:pPr>
    </w:p>
    <w:p>
      <w:pPr>
        <w:ind w:left="5620"/>
        <w:spacing w:after="0"/>
        <w:tabs>
          <w:tab w:leader="none" w:pos="6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Michael L Hollis</w:t>
      </w:r>
    </w:p>
    <w:p>
      <w:pPr>
        <w:spacing w:after="0" w:line="9" w:lineRule="exact"/>
        <w:rPr>
          <w:sz w:val="20"/>
          <w:szCs w:val="20"/>
          <w:color w:val="auto"/>
        </w:rPr>
      </w:pPr>
    </w:p>
    <w:p>
      <w:pPr>
        <w:ind w:left="562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ACQUISITION CORP.</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Michael L Hollis</w:t>
      </w:r>
    </w:p>
    <w:p>
      <w:pPr>
        <w:spacing w:after="0" w:line="27" w:lineRule="exact"/>
        <w:rPr>
          <w:sz w:val="20"/>
          <w:szCs w:val="20"/>
          <w:color w:val="auto"/>
        </w:rPr>
      </w:pPr>
    </w:p>
    <w:p>
      <w:pPr>
        <w:ind w:left="5620"/>
        <w:spacing w:after="0"/>
        <w:tabs>
          <w:tab w:leader="none" w:pos="6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Michael L Hollis</w:t>
      </w:r>
    </w:p>
    <w:p>
      <w:pPr>
        <w:spacing w:after="0" w:line="9" w:lineRule="exact"/>
        <w:rPr>
          <w:sz w:val="20"/>
          <w:szCs w:val="20"/>
          <w:color w:val="auto"/>
        </w:rPr>
      </w:pPr>
    </w:p>
    <w:p>
      <w:pPr>
        <w:ind w:left="562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ASSETS, LLC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-7620</wp:posOffset>
            </wp:positionV>
            <wp:extent cx="9455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tbl>
      <w:tblPr>
        <w:tblLayout w:type="fixed"/>
        <w:tblInd w:w="562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1460" w:type="dxa"/>
            <w:vAlign w:val="bottom"/>
            <w:tcBorders>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w w:val="99"/>
              </w:rPr>
              <w:t>/s/ Michael L Hollis</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1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President</w:t>
            </w:r>
          </w:p>
        </w:tc>
      </w:tr>
      <w:tr>
        <w:trPr>
          <w:trHeight w:val="20"/>
        </w:trPr>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EMPLOYEES, INC.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-7620</wp:posOffset>
            </wp:positionV>
            <wp:extent cx="9455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945515" cy="8890"/>
                    </a:xfrm>
                    <a:prstGeom prst="rect">
                      <a:avLst/>
                    </a:prstGeom>
                    <a:noFill/>
                  </pic:spPr>
                </pic:pic>
              </a:graphicData>
            </a:graphic>
          </wp:anchor>
        </w:drawing>
      </w:r>
    </w:p>
    <w:tbl>
      <w:tblPr>
        <w:tblLayout w:type="fixed"/>
        <w:tblInd w:w="562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1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99"/>
              </w:rPr>
              <w:t>Michael L Hollis</w:t>
            </w:r>
          </w:p>
        </w:tc>
        <w:tc>
          <w:tcPr>
            <w:tcW w:w="4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17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Chief Executive Officer</w:t>
            </w:r>
          </w:p>
        </w:tc>
      </w:tr>
    </w:tbl>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THIRD AMENDMENT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FIFTH THIRD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210"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Dan Condley</w:t>
            </w:r>
          </w:p>
        </w:tc>
        <w:tc>
          <w:tcPr>
            <w:tcW w:w="500" w:type="dxa"/>
            <w:vAlign w:val="bottom"/>
          </w:tcPr>
          <w:p>
            <w:pPr>
              <w:spacing w:after="0"/>
              <w:rPr>
                <w:sz w:val="17"/>
                <w:szCs w:val="17"/>
                <w:color w:val="auto"/>
              </w:rPr>
            </w:pPr>
          </w:p>
        </w:tc>
      </w:tr>
      <w:tr>
        <w:trPr>
          <w:trHeight w:val="21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Name:</w:t>
            </w: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Dan Condley</w:t>
            </w:r>
          </w:p>
        </w:tc>
      </w:tr>
      <w:tr>
        <w:trPr>
          <w:trHeight w:val="23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7"/>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FIFTH THIRD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Issuing Bank</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Dan Condley</w:t>
      </w:r>
    </w:p>
    <w:p>
      <w:pPr>
        <w:spacing w:after="0" w:line="27" w:lineRule="exact"/>
        <w:rPr>
          <w:sz w:val="20"/>
          <w:szCs w:val="20"/>
          <w:color w:val="auto"/>
        </w:rPr>
      </w:pPr>
    </w:p>
    <w:p>
      <w:pPr>
        <w:ind w:left="5620"/>
        <w:spacing w:after="0"/>
        <w:tabs>
          <w:tab w:leader="none" w:pos="6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Dan Condley</w:t>
      </w:r>
    </w:p>
    <w:p>
      <w:pPr>
        <w:spacing w:after="0" w:line="9" w:lineRule="exact"/>
        <w:rPr>
          <w:sz w:val="20"/>
          <w:szCs w:val="20"/>
          <w:color w:val="auto"/>
        </w:rPr>
      </w:pPr>
    </w:p>
    <w:p>
      <w:pPr>
        <w:ind w:left="562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AMENDMENT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54" w:name="page155"/>
    <w:bookmarkEnd w:id="154"/>
    <w:p>
      <w:pPr>
        <w:ind w:left="5620"/>
        <w:spacing w:after="0"/>
        <w:rPr>
          <w:sz w:val="20"/>
          <w:szCs w:val="20"/>
          <w:color w:val="auto"/>
        </w:rPr>
      </w:pPr>
      <w:r>
        <w:rPr>
          <w:rFonts w:ascii="Times New Roman" w:cs="Times New Roman" w:eastAsia="Times New Roman" w:hAnsi="Times New Roman"/>
          <w:sz w:val="18"/>
          <w:szCs w:val="18"/>
          <w:b w:val="1"/>
          <w:bCs w:val="1"/>
          <w:color w:val="auto"/>
        </w:rPr>
        <w:t>TEXAS CAPITAL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Connor O’Reilly</w:t>
      </w:r>
    </w:p>
    <w:tbl>
      <w:tblPr>
        <w:tblLayout w:type="fixed"/>
        <w:tblInd w:w="562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w w:val="98"/>
              </w:rPr>
              <w:t>Connor O’Reilly</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10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6"/>
              </w:rPr>
              <w:t>Vice President</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AMENDMENT – Signature Page</w:t>
      </w:r>
    </w:p>
    <w:p>
      <w:pPr>
        <w:sectPr>
          <w:pgSz w:w="11900" w:h="16838" w:orient="portrait"/>
          <w:cols w:equalWidth="0" w:num="1">
            <w:col w:w="10139"/>
          </w:cols>
          <w:pgMar w:left="320" w:top="576"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(File Nos. 333-291266, 333-265895 and 333-267311) and in the Registration Statement on Form S-8 (File No. 333-249888) of HighPeak Energy, Inc., of our report dated March 11, 2026, relating to the consolidated financial statements as of December 31, 2025 and 2024, and for each of the three years in the period ended December 31, 2025,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117"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tc>
      </w:tr>
      <w:tr>
        <w:trPr>
          <w:trHeight w:val="414"/>
        </w:trPr>
        <w:tc>
          <w:tcPr>
            <w:tcW w:w="3180" w:type="dxa"/>
            <w:vAlign w:val="bottom"/>
          </w:tcPr>
          <w:p>
            <w:pPr>
              <w:spacing w:after="0"/>
              <w:rPr>
                <w:sz w:val="24"/>
                <w:szCs w:val="24"/>
                <w:color w:val="auto"/>
              </w:rPr>
            </w:pPr>
          </w:p>
        </w:tc>
        <w:tc>
          <w:tcPr>
            <w:tcW w:w="4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awley</w:t>
            </w:r>
            <w:r>
              <w:rPr>
                <w:rFonts w:ascii="Times New Roman" w:cs="Times New Roman" w:eastAsia="Times New Roman" w:hAnsi="Times New Roman"/>
                <w:sz w:val="18"/>
                <w:szCs w:val="18"/>
                <w:color w:val="auto"/>
              </w:rPr>
              <w:t>, G</w:t>
            </w:r>
            <w:r>
              <w:rPr>
                <w:rFonts w:ascii="Times New Roman" w:cs="Times New Roman" w:eastAsia="Times New Roman" w:hAnsi="Times New Roman"/>
                <w:sz w:val="12"/>
                <w:szCs w:val="12"/>
                <w:color w:val="auto"/>
              </w:rPr>
              <w:t>illespie</w:t>
            </w:r>
            <w:r>
              <w:rPr>
                <w:rFonts w:ascii="Times New Roman" w:cs="Times New Roman" w:eastAsia="Times New Roman" w:hAnsi="Times New Roman"/>
                <w:sz w:val="18"/>
                <w:szCs w:val="18"/>
                <w:color w:val="auto"/>
              </w:rPr>
              <w:t xml:space="preserve"> &amp;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4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PETROLEUM CONSULTANTS</w:t>
            </w:r>
          </w:p>
        </w:tc>
        <w:tc>
          <w:tcPr>
            <w:tcW w:w="3360" w:type="dxa"/>
            <w:vAlign w:val="bottom"/>
          </w:tcPr>
          <w:p>
            <w:pPr>
              <w:spacing w:after="0"/>
              <w:rPr>
                <w:sz w:val="20"/>
                <w:szCs w:val="20"/>
                <w:color w:val="auto"/>
              </w:rPr>
            </w:pP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6500 RIVER PLACE BLVD,</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 WEST SEVENTH STREET,</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LOUISIANA STREET,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SUITE 3-200</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SUITE 302</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SUITE 1900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78730-1111</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FORT WORTH, TEXAS 76102-4987</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HOUSTON, TEXAS 77002-5008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512-249-7000</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817- 336-2461</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713-651-9944</w:t>
            </w:r>
          </w:p>
        </w:tc>
      </w:tr>
      <w:tr>
        <w:trPr>
          <w:trHeight w:val="234"/>
        </w:trPr>
        <w:tc>
          <w:tcPr>
            <w:tcW w:w="318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www.cgaus.com</w:t>
            </w: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As independent petroleum engineers, we hereby consent to the inclusion in HighPeak Energy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Annual Report on Form 10-K, of our reserves reports of HighPeak Energy, Inc. proved oil and natural gas reserves estimates and associated estimates of future net revenues and their present value as of December 31, 2025, 2024 and 2023, included in or made a part of the Annual Report on Form 10-K, to the inclusion of its summary report dated January 15, 2026, January 10, 2025 and January 16, 2024, respectively, as exhibits to the Annual Report on Form 10-K and to the incorporation by reference in the Registration Statements on Forms S-3 (File Nos. 333-291266, 333-265895 and 333-267311) and on Form S-8 (File No. 333-249888) of such report.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CAWLEY, GILLESPIE &amp;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Registered Engineering Firm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 Todd Brooker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02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Todd Brooker, P.E.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33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Hollis, certify that:</w:t>
      </w:r>
    </w:p>
    <w:p>
      <w:pPr>
        <w:spacing w:after="0" w:line="22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HighPeak Energy,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Mike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Mike Hollis</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Date:</w:t>
        <w:tab/>
        <w:t>March 11, 2026</w:t>
      </w:r>
    </w:p>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HighPeak Energy,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40" w:hanging="328"/>
        <w:spacing w:after="0" w:line="260"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Date:</w:t>
        <w:tab/>
        <w:t>March 11, 2026</w:t>
      </w:r>
    </w:p>
    <w:p>
      <w:pPr>
        <w:sectPr>
          <w:pgSz w:w="11900" w:h="16838" w:orient="portrait"/>
          <w:cols w:equalWidth="0" w:num="1">
            <w:col w:w="11240"/>
          </w:cols>
          <w:pgMar w:left="32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2025 of HighPeak Energy, Inc. (the “Company”), as filed with the Securities and Exchange Commission on the date hereof (the “Report”), I, Mike Hollis,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460" w:hanging="480"/>
        <w:spacing w:after="0"/>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460" w:right="120" w:hanging="480"/>
        <w:spacing w:after="0" w:line="282"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Mike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747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Mike Hollis</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140"/>
        <w:spacing w:after="0"/>
        <w:tabs>
          <w:tab w:leader="none" w:pos="5740" w:val="left"/>
        </w:tabs>
        <w:rPr>
          <w:sz w:val="20"/>
          <w:szCs w:val="20"/>
          <w:color w:val="auto"/>
        </w:rPr>
      </w:pPr>
      <w:r>
        <w:rPr>
          <w:rFonts w:ascii="Times New Roman" w:cs="Times New Roman" w:eastAsia="Times New Roman" w:hAnsi="Times New Roman"/>
          <w:sz w:val="18"/>
          <w:szCs w:val="18"/>
          <w:color w:val="auto"/>
        </w:rPr>
        <w:t>Date:</w:t>
        <w:tab/>
        <w:t>March 11, 2026</w:t>
      </w:r>
    </w:p>
    <w:p>
      <w:pPr>
        <w:sectPr>
          <w:pgSz w:w="11900" w:h="16838" w:orient="portrait"/>
          <w:cols w:equalWidth="0" w:num="1">
            <w:col w:w="11240"/>
          </w:cols>
          <w:pgMar w:left="320" w:top="11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2025 of HighPeak Energy, Inc. (the “Company”), as filed with the Securities and Exchange Commission on the date hereof (the “Report”), I, Steven Tholen,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460" w:hanging="480"/>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460" w:right="120" w:hanging="480"/>
        <w:spacing w:after="0" w:line="282" w:lineRule="auto"/>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747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140"/>
        <w:spacing w:after="0"/>
        <w:tabs>
          <w:tab w:leader="none" w:pos="5740" w:val="left"/>
        </w:tabs>
        <w:rPr>
          <w:sz w:val="20"/>
          <w:szCs w:val="20"/>
          <w:color w:val="auto"/>
        </w:rPr>
      </w:pPr>
      <w:r>
        <w:rPr>
          <w:rFonts w:ascii="Times New Roman" w:cs="Times New Roman" w:eastAsia="Times New Roman" w:hAnsi="Times New Roman"/>
          <w:sz w:val="18"/>
          <w:szCs w:val="18"/>
          <w:color w:val="auto"/>
        </w:rPr>
        <w:t>Date:</w:t>
        <w:tab/>
        <w:t>March 11, 2026</w:t>
      </w:r>
    </w:p>
    <w:p>
      <w:pPr>
        <w:sectPr>
          <w:pgSz w:w="11900" w:h="16838" w:orient="portrait"/>
          <w:cols w:equalWidth="0" w:num="1">
            <w:col w:w="11240"/>
          </w:cols>
          <w:pgMar w:left="320" w:top="117"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536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awley</w:t>
            </w:r>
            <w:r>
              <w:rPr>
                <w:rFonts w:ascii="Times New Roman" w:cs="Times New Roman" w:eastAsia="Times New Roman" w:hAnsi="Times New Roman"/>
                <w:sz w:val="18"/>
                <w:szCs w:val="18"/>
                <w:color w:val="auto"/>
              </w:rPr>
              <w:t>, G</w:t>
            </w:r>
            <w:r>
              <w:rPr>
                <w:rFonts w:ascii="Times New Roman" w:cs="Times New Roman" w:eastAsia="Times New Roman" w:hAnsi="Times New Roman"/>
                <w:sz w:val="12"/>
                <w:szCs w:val="12"/>
                <w:color w:val="auto"/>
              </w:rPr>
              <w:t>illespie</w:t>
            </w:r>
            <w:r>
              <w:rPr>
                <w:rFonts w:ascii="Times New Roman" w:cs="Times New Roman" w:eastAsia="Times New Roman" w:hAnsi="Times New Roman"/>
                <w:sz w:val="18"/>
                <w:szCs w:val="18"/>
                <w:color w:val="auto"/>
              </w:rPr>
              <w:t xml:space="preserve"> &amp;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5360" w:type="dxa"/>
            <w:vAlign w:val="bottom"/>
          </w:tcPr>
          <w:p>
            <w:pPr>
              <w:jc w:val="center"/>
              <w:ind w:right="512"/>
              <w:spacing w:after="0"/>
              <w:rPr>
                <w:sz w:val="20"/>
                <w:szCs w:val="20"/>
                <w:color w:val="auto"/>
              </w:rPr>
            </w:pPr>
            <w:r>
              <w:rPr>
                <w:rFonts w:ascii="Times New Roman" w:cs="Times New Roman" w:eastAsia="Times New Roman" w:hAnsi="Times New Roman"/>
                <w:sz w:val="12"/>
                <w:szCs w:val="12"/>
                <w:color w:val="auto"/>
              </w:rPr>
              <w:t>petroleum consultants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6500 RIVER PLACE BLVD,</w:t>
            </w:r>
          </w:p>
        </w:tc>
        <w:tc>
          <w:tcPr>
            <w:tcW w:w="536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9"/>
              </w:rPr>
              <w:t>306 WEST SEVENTH STREET,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LOUISIANA STREET,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SUITE 3-200</w:t>
            </w:r>
          </w:p>
        </w:tc>
        <w:tc>
          <w:tcPr>
            <w:tcW w:w="536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SUITE 302</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SUITE 1900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78730-1111</w:t>
            </w:r>
          </w:p>
        </w:tc>
        <w:tc>
          <w:tcPr>
            <w:tcW w:w="536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8"/>
              </w:rPr>
              <w:t>FORT WORTH, TEXAS 76102-4987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HOUSTON, TEXAS 77002-5008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512-249-7000</w:t>
            </w:r>
          </w:p>
        </w:tc>
        <w:tc>
          <w:tcPr>
            <w:tcW w:w="536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9"/>
              </w:rPr>
              <w:t>817- 336-2461</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713-651-9944</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536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8"/>
              </w:rPr>
              <w:t>www.cgaus.com</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Michael L. Hollis</w:t>
            </w:r>
          </w:p>
        </w:tc>
        <w:tc>
          <w:tcPr>
            <w:tcW w:w="536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rPr>
              <w:t>January 15, 2026</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5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&amp; CEO</w:t>
            </w:r>
          </w:p>
        </w:tc>
        <w:tc>
          <w:tcPr>
            <w:tcW w:w="5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HighPeak Energy, Inc.</w:t>
            </w:r>
          </w:p>
        </w:tc>
        <w:tc>
          <w:tcPr>
            <w:tcW w:w="5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421 W 3rd St, Suite 1000</w:t>
            </w:r>
          </w:p>
        </w:tc>
        <w:tc>
          <w:tcPr>
            <w:tcW w:w="5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Fort Worth, Texas 76102</w:t>
            </w:r>
          </w:p>
        </w:tc>
        <w:tc>
          <w:tcPr>
            <w:tcW w:w="536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color w:val="auto"/>
              </w:rPr>
              <w:t>Re:Evaluation Summary</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536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HighPeak Energy, Inc. Interests</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53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Total Proved Reserves</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800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Certain Properties in Texas as of December 31, 2025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2720"/>
              <w:spacing w:after="0"/>
              <w:rPr>
                <w:sz w:val="20"/>
                <w:szCs w:val="20"/>
                <w:color w:val="auto"/>
              </w:rPr>
            </w:pPr>
            <w:r>
              <w:rPr>
                <w:rFonts w:ascii="Times New Roman" w:cs="Times New Roman" w:eastAsia="Times New Roman" w:hAnsi="Times New Roman"/>
                <w:sz w:val="18"/>
                <w:szCs w:val="18"/>
                <w:i w:val="1"/>
                <w:iCs w:val="1"/>
                <w:color w:val="auto"/>
              </w:rPr>
              <w:t>Pursuant to the Guidelines of the Securities and</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Dear Mr. Hollis:</w:t>
            </w:r>
          </w:p>
        </w:tc>
        <w:tc>
          <w:tcPr>
            <w:tcW w:w="8000" w:type="dxa"/>
            <w:vAlign w:val="bottom"/>
            <w:gridSpan w:val="2"/>
          </w:tcPr>
          <w:p>
            <w:pPr>
              <w:ind w:left="2720"/>
              <w:spacing w:after="0"/>
              <w:rPr>
                <w:sz w:val="20"/>
                <w:szCs w:val="20"/>
                <w:color w:val="auto"/>
              </w:rPr>
            </w:pPr>
            <w:r>
              <w:rPr>
                <w:rFonts w:ascii="Times New Roman" w:cs="Times New Roman" w:eastAsia="Times New Roman" w:hAnsi="Times New Roman"/>
                <w:sz w:val="18"/>
                <w:szCs w:val="18"/>
                <w:i w:val="1"/>
                <w:iCs w:val="1"/>
                <w:color w:val="auto"/>
              </w:rPr>
              <w:t>Exchange Commission for Reporting Corporate</w:t>
            </w: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5360" w:type="dxa"/>
            <w:vAlign w:val="bottom"/>
          </w:tcPr>
          <w:p>
            <w:pPr>
              <w:ind w:left="2720"/>
              <w:spacing w:after="0"/>
              <w:rPr>
                <w:sz w:val="20"/>
                <w:szCs w:val="20"/>
                <w:color w:val="auto"/>
              </w:rPr>
            </w:pPr>
            <w:r>
              <w:rPr>
                <w:rFonts w:ascii="Times New Roman" w:cs="Times New Roman" w:eastAsia="Times New Roman" w:hAnsi="Times New Roman"/>
                <w:sz w:val="18"/>
                <w:szCs w:val="18"/>
                <w:i w:val="1"/>
                <w:iCs w:val="1"/>
                <w:color w:val="auto"/>
              </w:rPr>
              <w:t>Reserves and Future Net Revenue</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you have requested, this report was completed on January 15, 2026 for the purpose of submitting our estimates of proved reserves and forecasts of economics attributable to the </w:t>
      </w:r>
      <w:r>
        <w:rPr>
          <w:rFonts w:ascii="Times New Roman" w:cs="Times New Roman" w:eastAsia="Times New Roman" w:hAnsi="Times New Roman"/>
          <w:sz w:val="18"/>
          <w:szCs w:val="18"/>
          <w:i w:val="1"/>
          <w:iCs w:val="1"/>
          <w:color w:val="auto"/>
        </w:rPr>
        <w:t>HighPeak Energy, Inc.</w:t>
      </w:r>
      <w:r>
        <w:rPr>
          <w:rFonts w:ascii="Times New Roman" w:cs="Times New Roman" w:eastAsia="Times New Roman" w:hAnsi="Times New Roman"/>
          <w:sz w:val="18"/>
          <w:szCs w:val="18"/>
          <w:color w:val="auto"/>
        </w:rPr>
        <w:t xml:space="preserve"> (“HighPeak”) interests and for inclusion as an exhibit in a filing made with the U.S. Securities and Exchange Commission (“SEC”). This report includes 100% of HighPeak’s proved reserves, which are made up of oil and gas properties in Borden, Howard, and Mitchell Counties, Texas. This report utilized an effective date of December 31, 2025 and was prepared in accordance with the disclosure requirements set forth in SEC regulations. This evaluation was prepared using constant prices and costs, and conforms to Item 1202(a)(8) of Regulation S-K and other rules of the SEC. The results of this evaluation are presented below in a composite summary by reserve category: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Proved</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Proved</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Developed</w:t>
            </w: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Developed</w:t>
            </w:r>
          </w:p>
        </w:tc>
        <w:tc>
          <w:tcPr>
            <w:tcW w:w="1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Proved</w:t>
            </w:r>
          </w:p>
        </w:tc>
        <w:tc>
          <w:tcPr>
            <w:tcW w:w="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Proved</w:t>
            </w:r>
          </w:p>
        </w:tc>
        <w:tc>
          <w:tcPr>
            <w:tcW w:w="100" w:type="dxa"/>
            <w:vAlign w:val="bottom"/>
          </w:tcPr>
          <w:p>
            <w:pPr>
              <w:spacing w:after="0"/>
              <w:rPr>
                <w:sz w:val="18"/>
                <w:szCs w:val="18"/>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2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Producing</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Non-Producing</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Developed</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Undeveloped</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Proved</w:t>
            </w: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Reserves</w:t>
            </w:r>
          </w:p>
        </w:tc>
        <w:tc>
          <w:tcPr>
            <w:tcW w:w="1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Mbbl</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49,538.6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5,554.0</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55,092.5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59,105.9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114,198.4</w:t>
            </w:r>
          </w:p>
        </w:tc>
      </w:tr>
      <w:tr>
        <w:trPr>
          <w:trHeight w:val="216"/>
        </w:trPr>
        <w:tc>
          <w:tcPr>
            <w:tcW w:w="2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w:t>
            </w:r>
          </w:p>
        </w:tc>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MMcf</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114,217.1</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120,565.8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54,927.9</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175,493.8</w:t>
            </w:r>
          </w:p>
        </w:tc>
      </w:tr>
      <w:tr>
        <w:trPr>
          <w:trHeight w:val="216"/>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NGL</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Mbbl</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19,839.6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1,101.1</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20,940.7</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9,503.4</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30,444.1</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3,238,527.7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363,374.1</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3,601,901.8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3,857,868.3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7,459,769.9</w:t>
            </w:r>
          </w:p>
        </w:tc>
      </w:tr>
      <w:tr>
        <w:trPr>
          <w:trHeight w:val="216"/>
        </w:trPr>
        <w:tc>
          <w:tcPr>
            <w:tcW w:w="2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w:t>
            </w:r>
          </w:p>
        </w:tc>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100,549.8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105,768.7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33,823.1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139,591.8</w:t>
            </w:r>
          </w:p>
        </w:tc>
      </w:tr>
      <w:tr>
        <w:trPr>
          <w:trHeight w:val="216"/>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NGL</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95,955.9</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2,786.2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98,742.1</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-1,422.7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97,319.4</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Taxes</w:t>
            </w:r>
          </w:p>
        </w:tc>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163,710.2</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17,315.6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181,025.8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179,891.9</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360,917.8</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25,843.5</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2,797.1</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28,640.6</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29,312.0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57,952.5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1,173,522.7</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88,937.1</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1,262,459.7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917,480.8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2,179,940.8</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Abandonment Costs</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23,009.2</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1,223.7</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24,232.9</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12,156.5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36,389.5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Development Costs</w:t>
            </w:r>
          </w:p>
        </w:tc>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49,511.2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49,511.2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1,323,756.2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1,373,267.5</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 (BFIT)</w:t>
            </w: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2,048,948.1</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211,594.5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2,260,542.5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1,427,671.3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3,688,213.2</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Discounted @ 10%</w:t>
            </w:r>
          </w:p>
        </w:tc>
        <w:tc>
          <w:tcPr>
            <w:tcW w:w="1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M$</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1,354,031.9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139,384.2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1,493,415.9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563,580.8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2,056,997.0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Proved Developed (“PD”) reserves are the summation of the Proved Developed Producing (“PDP”) and Proved Developed Non-Producing (“PDNP”) reserve estimates. Proved Developed reserves were estimated at 55,092.5 Mbbl oil, 120,565.8 MMcf gas and 20,940.7 Mbbl NGLs.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Future revenue is prior to deducting state production taxes and ad valorem taxes. Future net cash flow (Net Operating Income – BFIT) is after deducting these taxes, future production costs and future development costs, but before consideration of federal income taxes. In accordance with SEC guidelines, the future net cash flow has been discounted at an annual rate of ten percent to determine its “present worth”. The present worth is shown to indicate the effect of time on the value of money and should not be construed as being the fair market value of the reserves by Cawley, Gillespie &amp; Associates, Inc. (“CG&amp;A”).</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oil reserves include oil and condensate. Oil and natural gas liquid (NGL) volumes are expressed in barrels (42 U.S. gallons). Gas volumes are expressed in thousands of standard cubic feet (Mcf) at contract temperature and pressure base.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Hydrocarbon Pricing</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requested for SEC purposes, the base oil and gas prices calculated for December 31, 2025 were $65.34/BBL and $3.387/MMBTU, respectively. As specified by the SEC, a company must use a 12-month average price, calculated as the unweighted arithmetic average of the first-day-of-the-month price for each month within the 12-month period prior to the end of the reporting period. The base oil price is based upon WTI-Cushing spot prices (EIA) during January 2025 through December 2025 and the base gas price is based upon Henry Hub spot prices (Platts Gas Daily) during January 2025 through December 2025. NGL prices were adjusted on a per-property basis and averaged 4.9% of the oil price on a composite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base prices were adjusted for differentials on a per-property basis, which may include local basis differential, treating cost, transportation, gas shrinkage, gas heating value (BTU content) and/or crude quality and gravity corrections. After these adjustments, the net realized prices for the SEC price case over the life of the proved properties was estimated to be $65.322 per barrel for oil, $0.795 per MCF for natural gas and $3.22 per barrel for NGL. Economic factors were held constant in accordance with SEC guidelines.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Development Costs, Expenses and Taxes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Capital expenditures (Future Development Costs), lease operating expenses (Future Production Costs) and ad valorem tax values were forecast as provided by your office. As you explained, the capital costs were based on the most current estimates, lease operating expenses were based on the analysis of historical expenses, Operating expenses include water disposal costs which are based on historic costs. Severance tax rates were applied at normal state percentages of oil, gas and NGL revenue. The commercial parameters provided by HighPeak were reviewed for completeness and were found to be reasonable. Capital costs and lease operating expenses were held constant in accordance with SEC guidelines.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 Conformance and Regulations</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reserve classifications and the economic considerations used herein conform to the criteria of the SEC as defined in pages 7 and 8 of this report letter. The reserves and economics are predicated on regulatory agency classifications, rules, policies, laws, taxes and royalties currently in effect except as noted herein. Federal, state, and local laws and regulations, which are currently in effect and that govern the development and production of oil and natural gas, have been considered in the evaluation of proved reserves for this report. The possible effects of changes in legislation or other Federal or State restrictive actions which could affect the reserves and economics have not been considered. These possible changes could have an effect on the reserves and economics. However, we do not anticipate nor are we aware of any legislative changes or restrictive regulatory actions that may impact the recovery of reserves.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evaluation includes 20 “drilled but uncompleted” wells classified as proved developed non-producing reserves anticipated to begin production by June 2026 and 203 proved undeveloped locations, all of which are commercial using required SEC pricing. Each of these commercial drilling locations proposed as part of HighPeak’s development plans conforms to the proved undeveloped standards as set forth by the SEC. In our opinion, HighPeak has indicated it has every intent to complete this development plan as scheduled. Furthermore, HighPeak has demonstrated that it has adequate company staffing, financial backing and prior development success to ensure this development plan will be fully executed.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Reserve Estimation Methods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methods employed in estimating reserves are described on page 6 of this report letter. 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Non-producing reserve estimates, for both developed and undeveloped properties, were forecast using either volumetric or analogy methods, or a combination of both. These methods provide a relatively high degree of accuracy for predicting proved developed non-producing and proved undeveloped reserves. The assumptions, data, methods and procedures used herein are appropriate for the purpose served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on-site field inspection of the properties has not been performed nor has the mechanical operation or condition of the wells and their related facilities been examined, nor have the wells been tested by Cawley, Gillespie &amp; Associates, Inc. Possible environmental liability related to the properties has not been investigated nor considered. However, the net cost of plugging and the salvage value of equipment at abandonment have been included herein for commercial wells.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reserve estimates and forecasts were based upon interpretations of data furnished by your office and available from our files. Ownership information and economic factors such as liquid and gas prices, price differentials and expenses was furnished by your office. To some extent, information from public records was used to check and/or supplement these data. The basic engineering and geological data were utilized subject to third party reservations and qualifications. Nothing has come to our attention, however, that would cause us to believe that we are not justified in relying on such data. All estimates represent our best judgment based on the data available at the time of preparation. Due to inherent uncertainties in future production rates, commodity prices and geologic conditions, it should be realized that the reserve estimates, the reserves actually recovered, the revenue derived therefrom and the actual cost incurred could be more or less than the estimated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 of Texas Licensed Professional Engineer (License #83462), with Professional Qualifications noted on the next page. We do not own an interest in the properties or </w:t>
      </w:r>
      <w:r>
        <w:rPr>
          <w:rFonts w:ascii="Times New Roman" w:cs="Times New Roman" w:eastAsia="Times New Roman" w:hAnsi="Times New Roman"/>
          <w:sz w:val="18"/>
          <w:szCs w:val="18"/>
          <w:i w:val="1"/>
          <w:iCs w:val="1"/>
          <w:color w:val="auto"/>
        </w:rPr>
        <w:t>HighPeak Energy, Inc.</w:t>
      </w:r>
      <w:r>
        <w:rPr>
          <w:rFonts w:ascii="Times New Roman" w:cs="Times New Roman" w:eastAsia="Times New Roman" w:hAnsi="Times New Roman"/>
          <w:sz w:val="18"/>
          <w:szCs w:val="18"/>
          <w:color w:val="auto"/>
        </w:rPr>
        <w:t xml:space="preserve">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CAWLEY, GILLESPIE &amp;</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ASSOCIATES, INC.</w:t>
      </w:r>
    </w:p>
    <w:p>
      <w:pPr>
        <w:spacing w:after="0" w:line="20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Texas Registered Engineering Firm</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142875</wp:posOffset>
            </wp:positionV>
            <wp:extent cx="968375" cy="9772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9683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u w:val="single" w:color="auto"/>
          <w:color w:val="auto"/>
        </w:rPr>
        <w:t>/S/ W. TODD BROOKER</w:t>
      </w:r>
    </w:p>
    <w:p>
      <w:pPr>
        <w:spacing w:after="0" w:line="27"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8"/>
          <w:szCs w:val="18"/>
          <w:color w:val="auto"/>
        </w:rPr>
        <w:t>W.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rooker</w:t>
      </w:r>
      <w:r>
        <w:rPr>
          <w:rFonts w:ascii="Times New Roman" w:cs="Times New Roman" w:eastAsia="Times New Roman" w:hAnsi="Times New Roman"/>
          <w:sz w:val="18"/>
          <w:szCs w:val="18"/>
          <w:color w:val="auto"/>
        </w:rPr>
        <w:t>, P.E.</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142875</wp:posOffset>
            </wp:positionV>
            <wp:extent cx="951230" cy="9340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95123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u w:val="single" w:color="auto"/>
          <w:color w:val="auto"/>
        </w:rPr>
        <w:t>/S/ ROBERT P.</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u w:val="single" w:color="auto"/>
          <w:color w:val="auto"/>
        </w:rPr>
        <w:t>BERGERON</w:t>
      </w:r>
    </w:p>
    <w:p>
      <w:pPr>
        <w:spacing w:after="0" w:line="9"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P. B</w:t>
      </w:r>
      <w:r>
        <w:rPr>
          <w:rFonts w:ascii="Times New Roman" w:cs="Times New Roman" w:eastAsia="Times New Roman" w:hAnsi="Times New Roman"/>
          <w:sz w:val="12"/>
          <w:szCs w:val="12"/>
          <w:color w:val="auto"/>
        </w:rPr>
        <w:t>ergeron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 P.E.</w:t>
      </w:r>
    </w:p>
    <w:p>
      <w:pPr>
        <w:spacing w:after="0" w:line="9"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142875</wp:posOffset>
            </wp:positionV>
            <wp:extent cx="960120" cy="9512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9601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u w:val="single" w:color="auto"/>
          <w:color w:val="auto"/>
        </w:rPr>
        <w:t>/S/ NICHOLAS J. LONCAR</w:t>
      </w:r>
    </w:p>
    <w:p>
      <w:pPr>
        <w:spacing w:after="0" w:line="2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icholas</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oncar</w:t>
      </w:r>
      <w:r>
        <w:rPr>
          <w:rFonts w:ascii="Times New Roman" w:cs="Times New Roman" w:eastAsia="Times New Roman" w:hAnsi="Times New Roman"/>
          <w:sz w:val="18"/>
          <w:szCs w:val="18"/>
          <w:color w:val="auto"/>
        </w:rPr>
        <w:t>, P.E.</w:t>
      </w:r>
    </w:p>
    <w:p>
      <w:pPr>
        <w:spacing w:after="0" w:line="9"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eservoir</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Professional Qualifications of W. Todd Brooker, P.E.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Primary Technical Person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summarized by this report was conducted by a proficient team of geologists and reservoir engineers who integrate geological, geophysical, engineering and economic data to produce high quality reserve estimates and economic forecasts. This report was supervised by Todd Brooker, President of Cawley, Gillespie &amp; Associates, Inc. (CG&amp;A).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joining CG&amp;A, Mr. Brooker worked in Gulf of Mexico drilling and production engineering at Chevron USA. Mr. Brooker has been an employee of CG&amp;A since 1992 and became President in 2017. His responsibilities include reserve and economic evaluations, fair market valuations, expert reporting and testimony, field/reservoir studies, pipeline resource assessments, field development planning and acquisition/divestiture analysis. His reserve reports are routinely used for public company U.S. Securities and Exchange Commission (SEC) disclosures. His experience includes significant projects in both conventional and unconventional resources in every major U.S. producing basin and abroad, including oil and gas shale plays, coalbed methane fields, waterfloods and complex, faulted structures.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Brooker graduated with honors from the University of Texas at Austin in 1989 with a Bachelor of Science degree in Petroleum Engineering. He is a registered Professional Engineer in the State of Texas (License #83462), and a member of the Society of Petroleum Engineers (SPE) and the Society of Petroleum Evaluation Engineers (SPEE).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his educational background, professional training and more than 30 years of experience, Mr. Brooker and CG&amp;A continue to deliver independent, professional, ethical and reliable engineering and geological services to the petroleum industry.</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CAWLEY, GILLESPIE &amp; ASSOCIATES,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exas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egistered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ngineering</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irm</w:t>
      </w:r>
      <w:r>
        <w:rPr>
          <w:rFonts w:ascii="Times New Roman" w:cs="Times New Roman" w:eastAsia="Times New Roman" w:hAnsi="Times New Roman"/>
          <w:sz w:val="18"/>
          <w:szCs w:val="18"/>
          <w:color w:val="auto"/>
        </w:rPr>
        <w:t xml:space="preserve">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Methods Employed in the Estimation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four methods customarily employed in the estimation of reserves are (1) </w:t>
      </w: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xml:space="preserve"> and (4) </w:t>
      </w: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Most estimates, although based primarily on one method, utilize other methods depending on the nature and extent of the data available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of the reservoirs.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Basic information includes production, pressure, geological and laboratory data. However, a large variation exists in the quality, quantity and types of information available on individual properties. Operators are generally required by regulatory authorities to file monthly production reports and </w:t>
      </w:r>
      <w:r>
        <w:rPr>
          <w:rFonts w:ascii="Times New Roman" w:cs="Times New Roman" w:eastAsia="Times New Roman" w:hAnsi="Times New Roman"/>
          <w:sz w:val="18"/>
          <w:szCs w:val="18"/>
          <w:u w:val="single" w:color="auto"/>
          <w:color w:val="auto"/>
        </w:rPr>
        <w:t>may</w:t>
      </w:r>
      <w:r>
        <w:rPr>
          <w:rFonts w:ascii="Times New Roman" w:cs="Times New Roman" w:eastAsia="Times New Roman" w:hAnsi="Times New Roman"/>
          <w:sz w:val="18"/>
          <w:szCs w:val="18"/>
          <w:color w:val="auto"/>
        </w:rPr>
        <w:t xml:space="preserve"> be required to measure and report periodically such data as well pressures, gas-oil ratios, well tests, etc. As a general rule, an operator has complete discretion in obtaining and/or making available geological and engineering data. The resulting lack of uniformity in data renders impossible the application of identical methods to all properties, and may result in significant differences in the accuracy and reliability of estimates.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brief discussion of each method, its basis, data requirements, applicability and generalization as to its relative degree of accuracy follows: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This method employs graphical analyses of production data on the premise that all factors which have controlled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to date will continue to control and that historical trends can be extrapolated to predict future performance. The only information required is production history. Capacity production can usually be analyzed from graphs of rates versus time or cumulative production. This procedure is referred to as "decline curve" analysis. Both capacity and restricted production can, in some cases, be analyzed from graphs of producing rate relationships of the various production components. Reserve estimates obtained by this method are generally considered to have a relatively high degree of accuracy with the degree of accuracy increasing as production history accumulates.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This method employs the analysis of the relationship of production and pressure performance on the premise that the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its initial hydrocarbon content are fixed and that this initial hydrocarbon volume and recoveries therefrom can be estimated by analyzing changes in pressure with respect to production relationships. This method requires reliable pressure and temperature data, production data, fluid analyses and knowledge of the nature of the reservoir. The material balance method is applicable to all reservoirs, but the time and expense required for its use is dependent on the nature of the reservoir and its fluids. Reserves for depletion type reservoirs can be estimated from graphs of pressures corrected for compressibility versus cumulative production, requiring only data that are usually available. Estimates for other reservoir types require extensive data and involve complex calculations most suited to computer models which makes this method generally applicable only to reservoirs where there is economic justification for its use. Reserve estimates obtained by this method are generally considered to have a degree of accuracy that is directly related to the complexity of the reservoir and the quality and quantity of data available.</w:t>
      </w:r>
    </w:p>
    <w:p>
      <w:pPr>
        <w:spacing w:after="0" w:line="188"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This method employs analyses of physical measurements of rock and fluid properties to calculate the volume of hydrocarbons in-place. The data required are well information sufficient to determine reservoir subsurface datum, thickness, storage volume, fluid content and location. The volumetric meth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od is most applicable to reservoirs which are not susceptible to analysis by production performance or material balance methods. These are most commonly newly developed and/or no-pressure depleting reservoirs. The amount of hydrocarbons in-place that can be recovered is not an integral part of the volumetric calculations but is an estimate inferred by other methods and a knowledge of the nature of the reservoir. Reserve estimates obtained by this method are generally considered to have a low degree of accuracy; but the degree of accuracy can be relatively high where rock quality and subsurface control is good and the nature of the reservoir is uncomplicated.</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This method, which employs experience and judgment to estimate reserves, is based on observations of similar situations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theoretical performance. The analogy method is a common approach used for “resource plays,” where an abundance of wells with similar production profiles facilitates the reliable estimation of future reserves with a relatively high degree of accuracy. The analogy method may also be applicable where the data are insufficient or so inconclusive that reliable reserve estimates cannot be made by other methods. Reserve estimates obtained in this manner are generally considered to have a relatively low degree of accuracy.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Much of the information used in the estimation of reserves is itself arrived at by the use of estimates. These estimates are subject to continuing change as additional information becomes available. Reserve estimates which presently appear to be correct may be found to contain substantial errors as time passes and new information is obtained about well and reservoir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 Definitions and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right="20" w:firstLine="648"/>
        <w:spacing w:after="0" w:line="245" w:lineRule="exact"/>
        <w:rPr>
          <w:sz w:val="20"/>
          <w:szCs w:val="20"/>
          <w:color w:val="auto"/>
        </w:rPr>
      </w:pPr>
      <w:r>
        <w:rPr>
          <w:rFonts w:ascii="Times New Roman" w:cs="Times New Roman" w:eastAsia="Times New Roman" w:hAnsi="Times New Roman"/>
          <w:sz w:val="18"/>
          <w:szCs w:val="18"/>
          <w:color w:val="auto"/>
        </w:rPr>
        <w:t>The Securities and Exchange Commission, in SX Reg. 210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.4-10 dated November 18, 1981, as amended on September 19, 1989 and January 1, 2010, requires adherence to the following definitions of oil and gas reserves: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Proved oil and gas reserves</w:t>
      </w:r>
      <w:r>
        <w:rPr>
          <w:rFonts w:ascii="Times New Roman" w:cs="Times New Roman" w:eastAsia="Times New Roman" w:hAnsi="Times New Roman"/>
          <w:sz w:val="18"/>
          <w:szCs w:val="18"/>
          <w:color w:val="auto"/>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Developed oil and gas reserves</w:t>
            </w:r>
            <w:r>
              <w:rPr>
                <w:rFonts w:ascii="Times New Roman" w:cs="Times New Roman" w:eastAsia="Times New Roman" w:hAnsi="Times New Roman"/>
                <w:sz w:val="18"/>
                <w:szCs w:val="18"/>
                <w:color w:val="auto"/>
                <w:w w:val="99"/>
              </w:rPr>
              <w:t>. Developed oil and gas reserves are reserves of any category that can be expected to be recovered:</w:t>
            </w: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10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Through existing wells with existing equipment and operating methods or in which the cost of the required equipment is relatively minor</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compared to the cost of a new well; and</w:t>
            </w:r>
          </w:p>
        </w:tc>
      </w:tr>
      <w:tr>
        <w:trPr>
          <w:trHeight w:val="432"/>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24"/>
                <w:szCs w:val="24"/>
                <w:color w:val="auto"/>
              </w:rPr>
            </w:pPr>
          </w:p>
        </w:tc>
        <w:tc>
          <w:tcPr>
            <w:tcW w:w="9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Through installed extraction equipment and infrastructure operational at the time of the reserves estimate if the extraction is by means</w:t>
            </w:r>
          </w:p>
        </w:tc>
      </w:tr>
    </w:tbl>
    <w:p>
      <w:pPr>
        <w:spacing w:after="0"/>
        <w:rPr>
          <w:sz w:val="20"/>
          <w:szCs w:val="20"/>
          <w:color w:val="auto"/>
        </w:rPr>
      </w:pPr>
      <w:r>
        <w:rPr>
          <w:rFonts w:ascii="Times New Roman" w:cs="Times New Roman" w:eastAsia="Times New Roman" w:hAnsi="Times New Roman"/>
          <w:sz w:val="18"/>
          <w:szCs w:val="18"/>
          <w:color w:val="auto"/>
        </w:rPr>
        <w:t>not involving a well.</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Undeveloped oil and gas reserves</w:t>
      </w:r>
      <w:r>
        <w:rPr>
          <w:rFonts w:ascii="Times New Roman" w:cs="Times New Roman" w:eastAsia="Times New Roman" w:hAnsi="Times New Roman"/>
          <w:sz w:val="18"/>
          <w:szCs w:val="18"/>
          <w:color w:val="auto"/>
        </w:rPr>
        <w:t>. Undeveloped oil and gas reserves are reserves of any category that are expected to be recovered from new wells on undrilled acreage, or from existing wells where a relatively major expenditure is required for recompletion.</w:t>
      </w:r>
    </w:p>
    <w:p>
      <w:pPr>
        <w:spacing w:after="0" w:line="15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3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“(ii) Undrilled locations can be classified as having undeveloped reserves only if a development plan has been adopted indicating that they are scheduled to be drilled within five years, unless the specific circumstances, justify a longer time.</w:t>
      </w:r>
    </w:p>
    <w:p>
      <w:pPr>
        <w:spacing w:after="0" w:line="162"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Under no circumstances shall estimates for undeveloped reserves be attributable to any acreage for which an application of fluid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7" w:name="page168"/>
    <w:bookmarkEnd w:id="16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Probable reserves</w:t>
      </w:r>
      <w:r>
        <w:rPr>
          <w:rFonts w:ascii="Times New Roman" w:cs="Times New Roman" w:eastAsia="Times New Roman" w:hAnsi="Times New Roman"/>
          <w:sz w:val="18"/>
          <w:szCs w:val="18"/>
          <w:color w:val="auto"/>
        </w:rPr>
        <w:t>. Probable reserves are those additional reserves that are less certain to be recovered than proved reserves but which, together with proved reserves, are as likely as not to be recovered.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“(iii)</w:t>
            </w:r>
          </w:p>
        </w:tc>
        <w:tc>
          <w:tcPr>
            <w:tcW w:w="260" w:type="dxa"/>
            <w:vAlign w:val="bottom"/>
          </w:tcPr>
          <w:p>
            <w:pPr>
              <w:spacing w:after="0"/>
              <w:rPr>
                <w:sz w:val="18"/>
                <w:szCs w:val="18"/>
                <w:color w:val="auto"/>
              </w:rPr>
            </w:pPr>
          </w:p>
        </w:tc>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Probable reserves estimates also include potential incremental quantities associated with a greater percentage recovery of the</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hydrocarbons in place than assumed for proved reserves.</w:t>
            </w:r>
          </w:p>
        </w:tc>
      </w:tr>
      <w:tr>
        <w:trPr>
          <w:trHeight w:val="432"/>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“(iv)</w:t>
            </w:r>
          </w:p>
        </w:tc>
        <w:tc>
          <w:tcPr>
            <w:tcW w:w="10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See also guidelines in paragraphs (17)(iv) and (17)(vi) of this section (below).</w:t>
            </w:r>
          </w:p>
        </w:tc>
      </w:tr>
      <w:tr>
        <w:trPr>
          <w:trHeight w:val="392"/>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Possible reserves</w:t>
            </w:r>
            <w:r>
              <w:rPr>
                <w:rFonts w:ascii="Times New Roman" w:cs="Times New Roman" w:eastAsia="Times New Roman" w:hAnsi="Times New Roman"/>
                <w:sz w:val="18"/>
                <w:szCs w:val="18"/>
                <w:color w:val="auto"/>
              </w:rPr>
              <w:t>. Possible reserves are those additional reserves that are less certain to be recovered than probable reserves.</w:t>
            </w:r>
          </w:p>
        </w:tc>
      </w:tr>
      <w:tr>
        <w:trPr>
          <w:trHeight w:val="20"/>
        </w:trPr>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453"/>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10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When deterministic methods are used, the total quantities ultimately recovered from a project have a low probability of exceeding proved</w:t>
            </w:r>
          </w:p>
        </w:tc>
      </w:tr>
    </w:tbl>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Possible reserves also include incremental quantities associated with a greater percentage recovery of the hydrocarbons in place than the recovery quantities assumed for probable reserves.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The proved plus probable and proved plus probable plus possible reserves estimates must be based on reasonable alternative technical</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and commercial interpretations within the reservoir or subject project that are clearly documented, including comparisons to results in successful similar projects.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 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 w:cs="Times New Roman" w:eastAsia="Times New Roman" w:hAnsi="Times New Roman"/>
          <w:sz w:val="18"/>
          <w:szCs w:val="18"/>
          <w:i w:val="1"/>
          <w:iCs w:val="1"/>
          <w:color w:val="auto"/>
        </w:rPr>
        <w:t>permitted, but not required</w:t>
      </w:r>
      <w:r>
        <w:rPr>
          <w:rFonts w:ascii="Times New Roman" w:cs="Times New Roman" w:eastAsia="Times New Roman" w:hAnsi="Times New Roman"/>
          <w:sz w:val="18"/>
          <w:szCs w:val="18"/>
          <w:color w:val="auto"/>
        </w:rPr>
        <w:t>, to disclose probable or possible reserves pursuant to paragraphs (a)(2)(iv) through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(2)(vii) of this Item.”</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Reserves</w:t>
      </w:r>
      <w:r>
        <w:rPr>
          <w:rFonts w:ascii="Times New Roman" w:cs="Times New Roman" w:eastAsia="Times New Roman" w:hAnsi="Times New Roman"/>
          <w:sz w:val="18"/>
          <w:szCs w:val="18"/>
          <w:color w:val="auto"/>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“Note to paragraph (26)</w:t>
      </w:r>
      <w:r>
        <w:rPr>
          <w:rFonts w:ascii="Times New Roman" w:cs="Times New Roman" w:eastAsia="Times New Roman" w:hAnsi="Times New Roman"/>
          <w:sz w:val="18"/>
          <w:szCs w:val="18"/>
          <w:color w:val="auto"/>
        </w:rPr>
        <w:t>: Reserves should not be assigned to adjacent reservoirs isolated by major, potentially sealing, faults until those reservoirs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lvl w:ilvl="1">
      <w:lvlJc w:val="left"/>
      <w:lvlText w:val="(%2)"/>
      <w:numFmt w:val="lowerRoman"/>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3"/>
    </w:lvl>
  </w:abstractNum>
  <w:abstractNum w:abstractNumId="15">
    <w:nsid w:val="70C6A529"/>
    <w:multiLevelType w:val="hybridMultilevel"/>
    <w:lvl w:ilvl="0">
      <w:lvlJc w:val="left"/>
      <w:lvlText w:val="\endash "/>
      <w:numFmt w:val="bullet"/>
      <w:start w:val="1"/>
    </w:lvl>
  </w:abstractNum>
  <w:abstractNum w:abstractNumId="16">
    <w:nsid w:val="520EEDD1"/>
    <w:multiLevelType w:val="hybridMultilevel"/>
    <w:lvl w:ilvl="0">
      <w:lvlJc w:val="left"/>
      <w:lvlText w:val="%1"/>
      <w:numFmt w:val="upperLetter"/>
      <w:start w:val="6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lowerLetter"/>
      <w:start w:val="3"/>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lowerRoman"/>
      <w:start w:val="1"/>
    </w:lvl>
  </w:abstractNum>
  <w:abstractNum w:abstractNumId="44">
    <w:nsid w:val="1381823A"/>
    <w:multiLevelType w:val="hybridMultilevel"/>
    <w:lvl w:ilvl="0">
      <w:lvlJc w:val="left"/>
      <w:lvlText w:val="(%1)"/>
      <w:numFmt w:val="lowerRoman"/>
      <w:start w:val="6"/>
    </w:lvl>
  </w:abstractNum>
  <w:abstractNum w:abstractNumId="45">
    <w:nsid w:val="5DB70AE5"/>
    <w:multiLevelType w:val="hybridMultilevel"/>
    <w:lvl w:ilvl="0">
      <w:lvlJc w:val="left"/>
      <w:lvlText w:val="•"/>
      <w:numFmt w:val="bullet"/>
      <w:start w:val="1"/>
    </w:lvl>
    <w:lvl w:ilvl="1">
      <w:lvlJc w:val="left"/>
      <w:lvlText w:val="•"/>
      <w:numFmt w:val="bullet"/>
      <w:start w:val="1"/>
    </w:lvl>
  </w:abstractNum>
  <w:abstractNum w:abstractNumId="46">
    <w:nsid w:val="100F8FCA"/>
    <w:multiLevelType w:val="hybridMultilevel"/>
    <w:lvl w:ilvl="0">
      <w:lvlJc w:val="left"/>
      <w:lvlText w:val="•"/>
      <w:numFmt w:val="bullet"/>
      <w:start w:val="1"/>
    </w:lvl>
    <w:lvl w:ilvl="1">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lowerRoman"/>
      <w:start w:val="3"/>
    </w:lvl>
  </w:abstractNum>
  <w:abstractNum w:abstractNumId="49">
    <w:nsid w:val="5F5E7FD0"/>
    <w:multiLevelType w:val="hybridMultilevel"/>
    <w:lvl w:ilvl="0">
      <w:lvlJc w:val="left"/>
      <w:lvlText w:val="(%1)"/>
      <w:numFmt w:val="lowerRoman"/>
      <w:start w:val="5"/>
    </w:lvl>
  </w:abstractNum>
  <w:abstractNum w:abstractNumId="50">
    <w:nsid w:val="98A3148"/>
    <w:multiLevelType w:val="hybridMultilevel"/>
    <w:lvl w:ilvl="0">
      <w:lvlJc w:val="left"/>
      <w:lvlText w:val="(%1)"/>
      <w:numFmt w:val="lowerRoman"/>
      <w:start w:val="2"/>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lowerRoman"/>
      <w:start w:val="4"/>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Roman"/>
      <w:start w:val="3"/>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lowerRoman"/>
      <w:start w:val="3"/>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1."/>
      <w:numFmt w:val="decimal"/>
      <w:start w:val="1"/>
    </w:lvl>
    <w:lvl w:ilvl="1">
      <w:lvlJc w:val="left"/>
      <w:lvlText w:val="(%2)"/>
      <w:numFmt w:val="lowerLetter"/>
      <w:start w:val="1"/>
    </w:lvl>
  </w:abstractNum>
  <w:abstractNum w:abstractNumId="68">
    <w:nsid w:val="3B0FD379"/>
    <w:multiLevelType w:val="hybridMultilevel"/>
    <w:lvl w:ilvl="0">
      <w:lvlJc w:val="left"/>
      <w:lvlText w:val="(%1)"/>
      <w:numFmt w:val="lowerLetter"/>
      <w:start w:val="2"/>
    </w:lvl>
  </w:abstractNum>
  <w:abstractNum w:abstractNumId="69">
    <w:nsid w:val="68EB2F6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0">
    <w:nsid w:val="4962813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6"/>
    </w:lvl>
  </w:abstractNum>
  <w:abstractNum w:abstractNumId="73">
    <w:nsid w:val="1433062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4">
    <w:nsid w:val="7FFFCA11"/>
    <w:multiLevelType w:val="hybridMultilevel"/>
    <w:lvl w:ilvl="0">
      <w:lvlJc w:val="left"/>
      <w:lvlText w:val="%1."/>
      <w:numFmt w:val="decimal"/>
      <w:start w:val="4"/>
    </w:lvl>
    <w:lvl w:ilvl="1">
      <w:lvlJc w:val="left"/>
      <w:lvlText w:val="(%2)"/>
      <w:numFmt w:val="lowerLetter"/>
      <w:start w:val="1"/>
    </w:lvl>
  </w:abstractNum>
  <w:abstractNum w:abstractNumId="75">
    <w:nsid w:val="1A27709E"/>
    <w:multiLevelType w:val="hybridMultilevel"/>
    <w:lvl w:ilvl="0">
      <w:lvlJc w:val="left"/>
      <w:lvlText w:val="%1."/>
      <w:numFmt w:val="decimal"/>
      <w:start w:val="5"/>
    </w:lvl>
    <w:lvl w:ilvl="1">
      <w:lvlJc w:val="left"/>
      <w:lvlText w:val="(%2)"/>
      <w:numFmt w:val="lowerLetter"/>
      <w:start w:val="1"/>
    </w:lvl>
  </w:abstractNum>
  <w:abstractNum w:abstractNumId="76">
    <w:nsid w:val="71EA1109"/>
    <w:multiLevelType w:val="hybridMultilevel"/>
    <w:lvl w:ilvl="0">
      <w:lvlJc w:val="left"/>
      <w:lvlText w:val="%1."/>
      <w:numFmt w:val="decimal"/>
      <w:start w:val="7"/>
    </w:lvl>
    <w:lvl w:ilvl="1">
      <w:lvlJc w:val="left"/>
      <w:lvlText w:val="(%2)"/>
      <w:numFmt w:val="lowerLetter"/>
      <w:start w:val="1"/>
    </w:lvl>
  </w:abstractNum>
  <w:abstractNum w:abstractNumId="77">
    <w:nsid w:val="100F59DC"/>
    <w:multiLevelType w:val="hybridMultilevel"/>
    <w:lvl w:ilvl="0">
      <w:lvlJc w:val="left"/>
      <w:lvlText w:val="%1."/>
      <w:numFmt w:val="decimal"/>
      <w:start w:val="12"/>
    </w:lvl>
  </w:abstractNum>
  <w:abstractNum w:abstractNumId="78">
    <w:nsid w:val="7FB7E0AA"/>
    <w:multiLevelType w:val="hybridMultilevel"/>
    <w:lvl w:ilvl="0">
      <w:lvlJc w:val="left"/>
      <w:lvlText w:val="%1."/>
      <w:numFmt w:val="upperLetter"/>
      <w:start w:val="1"/>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3"/>
    </w:lvl>
  </w:abstractNum>
  <w:abstractNum w:abstractNumId="81">
    <w:nsid w:val="94211F2"/>
    <w:multiLevelType w:val="hybridMultilevel"/>
    <w:lvl w:ilvl="0">
      <w:lvlJc w:val="left"/>
      <w:lvlText w:val="%1"/>
      <w:numFmt w:val="lowerLetter"/>
      <w:start w:val="1"/>
    </w:lvl>
    <w:lvl w:ilvl="1">
      <w:lvlJc w:val="left"/>
      <w:lvlText w:val="(%2)"/>
      <w:numFmt w:val="lowerLetter"/>
      <w:start w:val="1"/>
    </w:lvl>
  </w:abstractNum>
  <w:abstractNum w:abstractNumId="82">
    <w:nsid w:val="885E1B"/>
    <w:multiLevelType w:val="hybridMultilevel"/>
    <w:lvl w:ilvl="0">
      <w:lvlJc w:val="left"/>
      <w:lvlText w:val="(%1)"/>
      <w:numFmt w:val="lowerLetter"/>
      <w:start w:val="4"/>
    </w:lvl>
    <w:lvl w:ilvl="1">
      <w:lvlJc w:val="left"/>
      <w:lvlText w:val="%2"/>
      <w:numFmt w:val="lowerLetter"/>
      <w:start w:val="1"/>
    </w:lvl>
  </w:abstractNum>
  <w:abstractNum w:abstractNumId="83">
    <w:nsid w:val="7627211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4">
    <w:nsid w:val="4C04A8AF"/>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jpeg"/><Relationship Id="rId211" Type="http://schemas.openxmlformats.org/officeDocument/2006/relationships/image" Target="media/image178.jpeg"/><Relationship Id="rId212" Type="http://schemas.openxmlformats.org/officeDocument/2006/relationships/image" Target="media/image179.jpe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141" Type="http://schemas.openxmlformats.org/officeDocument/2006/relationships/hyperlink" Target="http://www.sec.gov/Archives/edgar/data/1792849/000143774923016414/ex_528908.htm" TargetMode="External"/><Relationship Id="rId142" Type="http://schemas.openxmlformats.org/officeDocument/2006/relationships/hyperlink" Target="http://www.sec.gov/Archives/edgar/data/1792849/000143774920023072/ex_212713.htm" TargetMode="External"/><Relationship Id="rId143" Type="http://schemas.openxmlformats.org/officeDocument/2006/relationships/hyperlink" Target="http://www.sec.gov/Archives/edgar/data/1792849/000143774920018850/ex_201560.htm" TargetMode="External"/><Relationship Id="rId144" Type="http://schemas.openxmlformats.org/officeDocument/2006/relationships/hyperlink" Target="http://www.sec.gov/Archives/edgar/data/1792849/000143774920018850/ex_201559.htm" TargetMode="External"/><Relationship Id="rId145" Type="http://schemas.openxmlformats.org/officeDocument/2006/relationships/hyperlink" Target="http://www.sec.gov/Archives/edgar/data/1792849/000143774921006064/ex_226993.htm" TargetMode="External"/><Relationship Id="rId146" Type="http://schemas.openxmlformats.org/officeDocument/2006/relationships/hyperlink" Target="http://www.sec.gov/Archives/edgar/data/1792849/000143774923005522/ex_478605.htm" TargetMode="External"/><Relationship Id="rId147" Type="http://schemas.openxmlformats.org/officeDocument/2006/relationships/hyperlink" Target="http://www.sec.gov/Archives/edgar/data/1792849/000143774920018850/ex_201563.htm" TargetMode="External"/><Relationship Id="rId148" Type="http://schemas.openxmlformats.org/officeDocument/2006/relationships/hyperlink" Target="http://www.sec.gov/Archives/edgar/data/1792849/000143774920023072/ex_212714.htm" TargetMode="External"/><Relationship Id="rId149" Type="http://schemas.openxmlformats.org/officeDocument/2006/relationships/hyperlink" Target="http://www.sec.gov/Archives/edgar/data/1792849/000143774923025960/ex_569247.htm" TargetMode="External"/><Relationship Id="rId150" Type="http://schemas.openxmlformats.org/officeDocument/2006/relationships/hyperlink" Target="http://www.sec.gov/Archives/edgar/data/1792849/000143774923025960/ex_569248.htm" TargetMode="External"/><Relationship Id="rId151" Type="http://schemas.openxmlformats.org/officeDocument/2006/relationships/hyperlink" Target="http://www.sec.gov/Archives/edgar/data/1792849/000143774923030383/ex_590946.htm" TargetMode="External"/><Relationship Id="rId152" Type="http://schemas.openxmlformats.org/officeDocument/2006/relationships/hyperlink" Target="http://www.sec.gov/Archives/edgar/data/1792849/000143774924010594/ex_649019.htm" TargetMode="External"/><Relationship Id="rId153" Type="http://schemas.openxmlformats.org/officeDocument/2006/relationships/hyperlink" Target="http://www.sec.gov/Archives/edgar/data/1792849/000143774925024452/ex_847112.htm" TargetMode="External"/><Relationship Id="rId154" Type="http://schemas.openxmlformats.org/officeDocument/2006/relationships/hyperlink" Target="http://www.sec.gov/Archives/edgar/data/1792849/000143774925024452/ex_847113.htm" TargetMode="External"/><Relationship Id="rId155" Type="http://schemas.openxmlformats.org/officeDocument/2006/relationships/hyperlink" Target="http://www.sec.gov/Archives/edgar/data/1792849/000143774925029088/ex_861548.htm" TargetMode="External"/><Relationship Id="rId156" Type="http://schemas.openxmlformats.org/officeDocument/2006/relationships/hyperlink" Target="http://www.sec.gov/Archives/edgar/data/1792849/000143774921019137/ex_269205.htm" TargetMode="External"/><Relationship Id="rId157" Type="http://schemas.openxmlformats.org/officeDocument/2006/relationships/hyperlink" Target="http://www.sec.gov/Archives/edgar/data/1792849/000143774920022825/ex_211960.htm" TargetMode="External"/><Relationship Id="rId158" Type="http://schemas.openxmlformats.org/officeDocument/2006/relationships/hyperlink" Target="http://www.sec.gov/Archives/edgar/data/1792849/000143774925006838/ex_779790.htm" TargetMode="External"/><Relationship Id="rId159" Type="http://schemas.openxmlformats.org/officeDocument/2006/relationships/hyperlink" Target="http://www.sec.gov/Archives/edgar/data/1792849/000143774922005397/ex_343362.htm" TargetMode="External"/><Relationship Id="rId160" Type="http://schemas.openxmlformats.org/officeDocument/2006/relationships/hyperlink" Target="http://www.sec.gov/Archives/edgar/data/1792849/000143774922021260/ex_416290.htm" TargetMode="External"/><Relationship Id="rId161" Type="http://schemas.openxmlformats.org/officeDocument/2006/relationships/hyperlink" Target="http://www.sec.gov/Archives/edgar/data/1792849/000143774925029107/ex_861643.htm" TargetMode="External"/><Relationship Id="rId162" Type="http://schemas.openxmlformats.org/officeDocument/2006/relationships/hyperlink" Target="http://www.sec.gov/Archives/edgar/data/1792849/000143774925006838/ex_779904.htm" TargetMode="External"/><Relationship Id="rId163" Type="http://schemas.openxmlformats.org/officeDocument/2006/relationships/hyperlink" Target="http://www.sec.gov/Archives/edgar/data/1792849/000143774924006816/ex_619696.htm" TargetMode="External"/><Relationship Id="rId164" Type="http://schemas.openxmlformats.org/officeDocument/2006/relationships/hyperlink" Target="http://www.sec.gov/Archives/edgar/data/1792849/000143774924006816/ex_619695.htm" TargetMode="External"/><Relationship Id="rId165" Type="http://schemas.openxmlformats.org/officeDocument/2006/relationships/hyperlink" Target="http://www.sec.gov/Archives/edgar/data/1792849/000143774925006838/ex_773851.htm" TargetMode="External"/><Relationship Id="rId166" Type="http://schemas.openxmlformats.org/officeDocument/2006/relationships/hyperlink" Target="http://www.sec.gov/Archives/edgar/data/1792849/000143774924006816/ex_6197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2026-03-11T15:39:16Z</dcterms:created>
  <dcterms:modified xsi:type="dcterms:W3CDTF">2026-03-11T15:39:16Z</dcterms:modified>
</cp:coreProperties>
</file>